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684C9">
      <w:pPr>
        <w:pStyle w:val="34"/>
        <w:ind w:firstLine="600"/>
        <w:jc w:val="center"/>
        <w:outlineLvl w:val="0"/>
        <w:rPr>
          <w:rFonts w:ascii="黑体" w:hAnsi="黑体" w:eastAsia="黑体"/>
          <w:snapToGrid w:val="0"/>
          <w:color w:val="auto"/>
          <w:sz w:val="30"/>
          <w:szCs w:val="30"/>
        </w:rPr>
      </w:pPr>
      <w:bookmarkStart w:id="0" w:name="_Toc70503419"/>
      <w:r>
        <w:rPr>
          <w:rFonts w:hint="eastAsia" w:ascii="黑体" w:hAnsi="黑体" w:eastAsia="黑体"/>
          <w:snapToGrid w:val="0"/>
          <w:color w:val="auto"/>
          <w:sz w:val="30"/>
          <w:szCs w:val="30"/>
        </w:rPr>
        <w:t>一、建设项目基本情况</w:t>
      </w:r>
      <w:bookmarkEnd w:id="0"/>
    </w:p>
    <w:tbl>
      <w:tblPr>
        <w:tblStyle w:val="37"/>
        <w:tblW w:w="497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2"/>
        <w:gridCol w:w="3290"/>
        <w:gridCol w:w="1649"/>
        <w:gridCol w:w="3258"/>
      </w:tblGrid>
      <w:tr w14:paraId="07034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634" w:type="pct"/>
            <w:tcMar>
              <w:top w:w="16" w:type="dxa"/>
              <w:left w:w="16" w:type="dxa"/>
              <w:right w:w="16" w:type="dxa"/>
            </w:tcMar>
            <w:vAlign w:val="center"/>
          </w:tcPr>
          <w:p w14:paraId="666F56E4">
            <w:pPr>
              <w:adjustRightInd w:val="0"/>
              <w:snapToGrid w:val="0"/>
              <w:spacing w:line="240" w:lineRule="auto"/>
              <w:ind w:firstLine="0" w:firstLineChars="0"/>
              <w:jc w:val="center"/>
              <w:rPr>
                <w:b/>
                <w:bCs/>
                <w:color w:val="auto"/>
                <w:szCs w:val="21"/>
              </w:rPr>
            </w:pPr>
            <w:r>
              <w:rPr>
                <w:b/>
                <w:bCs/>
                <w:color w:val="auto"/>
                <w:szCs w:val="21"/>
              </w:rPr>
              <w:t>建设项目名称</w:t>
            </w:r>
          </w:p>
        </w:tc>
        <w:tc>
          <w:tcPr>
            <w:tcW w:w="4365" w:type="pct"/>
            <w:gridSpan w:val="3"/>
            <w:vAlign w:val="center"/>
          </w:tcPr>
          <w:p w14:paraId="70A47170">
            <w:pPr>
              <w:adjustRightInd w:val="0"/>
              <w:snapToGrid w:val="0"/>
              <w:spacing w:line="240" w:lineRule="auto"/>
              <w:ind w:firstLine="0" w:firstLineChars="0"/>
              <w:jc w:val="center"/>
              <w:rPr>
                <w:color w:val="auto"/>
                <w:szCs w:val="21"/>
              </w:rPr>
            </w:pPr>
            <w:r>
              <w:rPr>
                <w:rFonts w:hint="eastAsia"/>
                <w:color w:val="auto"/>
                <w:szCs w:val="21"/>
              </w:rPr>
              <w:t>安徽名之尚文具有限公司鞋服装饰配件及文具生产项目</w:t>
            </w:r>
          </w:p>
        </w:tc>
      </w:tr>
      <w:tr w14:paraId="6F74E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34" w:type="pct"/>
            <w:tcMar>
              <w:top w:w="16" w:type="dxa"/>
              <w:left w:w="16" w:type="dxa"/>
              <w:right w:w="16" w:type="dxa"/>
            </w:tcMar>
            <w:vAlign w:val="center"/>
          </w:tcPr>
          <w:p w14:paraId="133F5D65">
            <w:pPr>
              <w:adjustRightInd w:val="0"/>
              <w:snapToGrid w:val="0"/>
              <w:spacing w:line="240" w:lineRule="auto"/>
              <w:ind w:firstLine="0" w:firstLineChars="0"/>
              <w:jc w:val="center"/>
              <w:rPr>
                <w:b/>
                <w:bCs/>
                <w:color w:val="auto"/>
                <w:szCs w:val="21"/>
              </w:rPr>
            </w:pPr>
            <w:r>
              <w:rPr>
                <w:b/>
                <w:bCs/>
                <w:color w:val="auto"/>
                <w:szCs w:val="21"/>
              </w:rPr>
              <w:t>项目代码</w:t>
            </w:r>
          </w:p>
        </w:tc>
        <w:tc>
          <w:tcPr>
            <w:tcW w:w="4365" w:type="pct"/>
            <w:gridSpan w:val="3"/>
            <w:vAlign w:val="center"/>
          </w:tcPr>
          <w:p w14:paraId="2F751B30">
            <w:pPr>
              <w:adjustRightInd w:val="0"/>
              <w:snapToGrid w:val="0"/>
              <w:spacing w:line="240" w:lineRule="auto"/>
              <w:ind w:firstLine="0" w:firstLineChars="0"/>
              <w:jc w:val="center"/>
              <w:rPr>
                <w:color w:val="auto"/>
              </w:rPr>
            </w:pPr>
            <w:r>
              <w:rPr>
                <w:rFonts w:hint="eastAsia"/>
                <w:color w:val="auto"/>
              </w:rPr>
              <w:t>2410-341361-04-01-146406</w:t>
            </w:r>
          </w:p>
        </w:tc>
      </w:tr>
      <w:tr w14:paraId="3F392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34" w:type="pct"/>
            <w:tcMar>
              <w:top w:w="16" w:type="dxa"/>
              <w:left w:w="16" w:type="dxa"/>
              <w:right w:w="16" w:type="dxa"/>
            </w:tcMar>
            <w:vAlign w:val="center"/>
          </w:tcPr>
          <w:p w14:paraId="0C59E051">
            <w:pPr>
              <w:adjustRightInd w:val="0"/>
              <w:snapToGrid w:val="0"/>
              <w:spacing w:line="240" w:lineRule="auto"/>
              <w:ind w:firstLine="0" w:firstLineChars="0"/>
              <w:jc w:val="center"/>
              <w:rPr>
                <w:b/>
                <w:bCs/>
                <w:color w:val="auto"/>
                <w:szCs w:val="21"/>
              </w:rPr>
            </w:pPr>
            <w:r>
              <w:rPr>
                <w:b/>
                <w:bCs/>
                <w:color w:val="auto"/>
                <w:szCs w:val="21"/>
              </w:rPr>
              <w:t>建设单位</w:t>
            </w:r>
          </w:p>
          <w:p w14:paraId="50B66032">
            <w:pPr>
              <w:adjustRightInd w:val="0"/>
              <w:snapToGrid w:val="0"/>
              <w:spacing w:line="240" w:lineRule="auto"/>
              <w:ind w:firstLine="0" w:firstLineChars="0"/>
              <w:jc w:val="center"/>
              <w:rPr>
                <w:b/>
                <w:bCs/>
                <w:color w:val="auto"/>
                <w:szCs w:val="21"/>
              </w:rPr>
            </w:pPr>
            <w:r>
              <w:rPr>
                <w:b/>
                <w:bCs/>
                <w:color w:val="auto"/>
                <w:szCs w:val="21"/>
              </w:rPr>
              <w:t>联系人</w:t>
            </w:r>
          </w:p>
        </w:tc>
        <w:tc>
          <w:tcPr>
            <w:tcW w:w="1752" w:type="pct"/>
            <w:vAlign w:val="center"/>
          </w:tcPr>
          <w:p w14:paraId="4BC8464B">
            <w:pPr>
              <w:adjustRightInd w:val="0"/>
              <w:snapToGrid w:val="0"/>
              <w:spacing w:line="240" w:lineRule="auto"/>
              <w:ind w:firstLine="0" w:firstLineChars="0"/>
              <w:jc w:val="center"/>
              <w:rPr>
                <w:color w:val="auto"/>
              </w:rPr>
            </w:pPr>
            <w:r>
              <w:rPr>
                <w:color w:val="auto"/>
              </w:rPr>
              <w:t>彭伟伟</w:t>
            </w:r>
          </w:p>
        </w:tc>
        <w:tc>
          <w:tcPr>
            <w:tcW w:w="878" w:type="pct"/>
            <w:vAlign w:val="center"/>
          </w:tcPr>
          <w:p w14:paraId="22694F4E">
            <w:pPr>
              <w:adjustRightInd w:val="0"/>
              <w:snapToGrid w:val="0"/>
              <w:spacing w:line="240" w:lineRule="auto"/>
              <w:ind w:firstLine="0" w:firstLineChars="0"/>
              <w:jc w:val="center"/>
              <w:rPr>
                <w:color w:val="auto"/>
              </w:rPr>
            </w:pPr>
            <w:r>
              <w:rPr>
                <w:color w:val="auto"/>
              </w:rPr>
              <w:t>联系方式</w:t>
            </w:r>
          </w:p>
        </w:tc>
        <w:tc>
          <w:tcPr>
            <w:tcW w:w="1734" w:type="pct"/>
            <w:vAlign w:val="center"/>
          </w:tcPr>
          <w:p w14:paraId="420A9E3F">
            <w:pPr>
              <w:adjustRightInd w:val="0"/>
              <w:snapToGrid w:val="0"/>
              <w:spacing w:line="240" w:lineRule="auto"/>
              <w:ind w:firstLine="0" w:firstLineChars="0"/>
              <w:jc w:val="center"/>
              <w:rPr>
                <w:color w:val="auto"/>
              </w:rPr>
            </w:pPr>
            <w:r>
              <w:rPr>
                <w:color w:val="auto"/>
              </w:rPr>
              <w:t>18857738736</w:t>
            </w:r>
          </w:p>
        </w:tc>
      </w:tr>
      <w:tr w14:paraId="3CDEC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634" w:type="pct"/>
            <w:tcMar>
              <w:top w:w="16" w:type="dxa"/>
              <w:left w:w="16" w:type="dxa"/>
              <w:right w:w="16" w:type="dxa"/>
            </w:tcMar>
            <w:vAlign w:val="center"/>
          </w:tcPr>
          <w:p w14:paraId="6E6F2EC4">
            <w:pPr>
              <w:adjustRightInd w:val="0"/>
              <w:snapToGrid w:val="0"/>
              <w:spacing w:line="240" w:lineRule="auto"/>
              <w:ind w:firstLine="0" w:firstLineChars="0"/>
              <w:jc w:val="center"/>
              <w:rPr>
                <w:b/>
                <w:bCs/>
                <w:color w:val="auto"/>
                <w:szCs w:val="21"/>
              </w:rPr>
            </w:pPr>
            <w:r>
              <w:rPr>
                <w:b/>
                <w:bCs/>
                <w:color w:val="auto"/>
                <w:szCs w:val="21"/>
              </w:rPr>
              <w:t>建设地点</w:t>
            </w:r>
          </w:p>
        </w:tc>
        <w:tc>
          <w:tcPr>
            <w:tcW w:w="4365" w:type="pct"/>
            <w:gridSpan w:val="3"/>
            <w:vAlign w:val="center"/>
          </w:tcPr>
          <w:p w14:paraId="5A3F2AAD">
            <w:pPr>
              <w:adjustRightInd w:val="0"/>
              <w:snapToGrid w:val="0"/>
              <w:spacing w:line="240" w:lineRule="auto"/>
              <w:ind w:firstLine="0" w:firstLineChars="0"/>
              <w:jc w:val="center"/>
              <w:rPr>
                <w:color w:val="auto"/>
                <w:szCs w:val="21"/>
              </w:rPr>
            </w:pPr>
            <w:r>
              <w:rPr>
                <w:color w:val="auto"/>
              </w:rPr>
              <w:t>安徽省</w:t>
            </w:r>
            <w:r>
              <w:rPr>
                <w:rFonts w:hint="eastAsia"/>
                <w:color w:val="auto"/>
                <w:lang w:eastAsia="zh-CN"/>
              </w:rPr>
              <w:t>宿州市经济开发区陈河路与鞋</w:t>
            </w:r>
            <w:r>
              <w:rPr>
                <w:rFonts w:hint="eastAsia"/>
                <w:color w:val="auto"/>
              </w:rPr>
              <w:t>城八路交叉口东南角</w:t>
            </w:r>
          </w:p>
        </w:tc>
      </w:tr>
      <w:tr w14:paraId="6082A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634" w:type="pct"/>
            <w:tcMar>
              <w:top w:w="16" w:type="dxa"/>
              <w:left w:w="16" w:type="dxa"/>
              <w:right w:w="16" w:type="dxa"/>
            </w:tcMar>
            <w:vAlign w:val="center"/>
          </w:tcPr>
          <w:p w14:paraId="5B34800A">
            <w:pPr>
              <w:adjustRightInd w:val="0"/>
              <w:snapToGrid w:val="0"/>
              <w:spacing w:line="240" w:lineRule="auto"/>
              <w:ind w:firstLine="0" w:firstLineChars="0"/>
              <w:jc w:val="center"/>
              <w:rPr>
                <w:b/>
                <w:bCs/>
                <w:color w:val="auto"/>
                <w:szCs w:val="21"/>
              </w:rPr>
            </w:pPr>
            <w:r>
              <w:rPr>
                <w:b/>
                <w:bCs/>
                <w:color w:val="auto"/>
                <w:szCs w:val="21"/>
              </w:rPr>
              <w:t>地理坐标</w:t>
            </w:r>
          </w:p>
        </w:tc>
        <w:tc>
          <w:tcPr>
            <w:tcW w:w="4365" w:type="pct"/>
            <w:gridSpan w:val="3"/>
            <w:vAlign w:val="center"/>
          </w:tcPr>
          <w:p w14:paraId="11CEE84A">
            <w:pPr>
              <w:spacing w:line="240" w:lineRule="auto"/>
              <w:ind w:firstLine="0" w:firstLineChars="0"/>
              <w:jc w:val="center"/>
              <w:rPr>
                <w:color w:val="auto"/>
                <w:szCs w:val="21"/>
              </w:rPr>
            </w:pPr>
            <w:r>
              <w:rPr>
                <w:color w:val="auto"/>
              </w:rPr>
              <w:t>（E</w:t>
            </w:r>
            <w:r>
              <w:rPr>
                <w:color w:val="auto"/>
                <w:u w:val="single"/>
              </w:rPr>
              <w:t>11</w:t>
            </w:r>
            <w:r>
              <w:rPr>
                <w:rFonts w:hint="eastAsia"/>
                <w:color w:val="auto"/>
                <w:u w:val="single"/>
              </w:rPr>
              <w:t>6</w:t>
            </w:r>
            <w:r>
              <w:rPr>
                <w:color w:val="auto"/>
              </w:rPr>
              <w:t>度</w:t>
            </w:r>
            <w:r>
              <w:rPr>
                <w:rFonts w:hint="eastAsia"/>
                <w:color w:val="auto"/>
                <w:u w:val="single"/>
              </w:rPr>
              <w:t>41</w:t>
            </w:r>
            <w:r>
              <w:rPr>
                <w:color w:val="auto"/>
              </w:rPr>
              <w:t>分</w:t>
            </w:r>
            <w:r>
              <w:rPr>
                <w:rFonts w:hint="eastAsia"/>
                <w:color w:val="auto"/>
                <w:u w:val="single"/>
              </w:rPr>
              <w:t>4.905</w:t>
            </w:r>
            <w:r>
              <w:rPr>
                <w:color w:val="auto"/>
              </w:rPr>
              <w:t>秒，N</w:t>
            </w:r>
            <w:r>
              <w:rPr>
                <w:color w:val="auto"/>
                <w:u w:val="single"/>
              </w:rPr>
              <w:t>3</w:t>
            </w:r>
            <w:r>
              <w:rPr>
                <w:rFonts w:hint="eastAsia"/>
                <w:color w:val="auto"/>
                <w:u w:val="single"/>
              </w:rPr>
              <w:t>0</w:t>
            </w:r>
            <w:r>
              <w:rPr>
                <w:color w:val="auto"/>
              </w:rPr>
              <w:t>度</w:t>
            </w:r>
            <w:r>
              <w:rPr>
                <w:rFonts w:hint="eastAsia"/>
                <w:color w:val="auto"/>
                <w:u w:val="single"/>
              </w:rPr>
              <w:t>48</w:t>
            </w:r>
            <w:r>
              <w:rPr>
                <w:color w:val="auto"/>
              </w:rPr>
              <w:t>分</w:t>
            </w:r>
            <w:r>
              <w:rPr>
                <w:rFonts w:hint="eastAsia"/>
                <w:color w:val="auto"/>
                <w:u w:val="single"/>
              </w:rPr>
              <w:t>16.951</w:t>
            </w:r>
            <w:r>
              <w:rPr>
                <w:color w:val="auto"/>
              </w:rPr>
              <w:t>秒）</w:t>
            </w:r>
          </w:p>
        </w:tc>
      </w:tr>
      <w:tr w14:paraId="395D8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34" w:type="pct"/>
            <w:tcMar>
              <w:top w:w="16" w:type="dxa"/>
              <w:left w:w="16" w:type="dxa"/>
              <w:right w:w="16" w:type="dxa"/>
            </w:tcMar>
            <w:vAlign w:val="center"/>
          </w:tcPr>
          <w:p w14:paraId="3500D947">
            <w:pPr>
              <w:adjustRightInd w:val="0"/>
              <w:snapToGrid w:val="0"/>
              <w:spacing w:line="240" w:lineRule="auto"/>
              <w:ind w:firstLine="0" w:firstLineChars="0"/>
              <w:jc w:val="center"/>
              <w:rPr>
                <w:b/>
                <w:bCs/>
                <w:color w:val="auto"/>
                <w:szCs w:val="21"/>
              </w:rPr>
            </w:pPr>
            <w:r>
              <w:rPr>
                <w:b/>
                <w:bCs/>
                <w:color w:val="auto"/>
                <w:szCs w:val="21"/>
              </w:rPr>
              <w:t>国民经济</w:t>
            </w:r>
          </w:p>
          <w:p w14:paraId="3F6359C1">
            <w:pPr>
              <w:adjustRightInd w:val="0"/>
              <w:snapToGrid w:val="0"/>
              <w:spacing w:line="240" w:lineRule="auto"/>
              <w:ind w:firstLine="0" w:firstLineChars="0"/>
              <w:jc w:val="center"/>
              <w:rPr>
                <w:b/>
                <w:bCs/>
                <w:color w:val="auto"/>
                <w:szCs w:val="21"/>
              </w:rPr>
            </w:pPr>
            <w:r>
              <w:rPr>
                <w:b/>
                <w:bCs/>
                <w:color w:val="auto"/>
                <w:szCs w:val="21"/>
              </w:rPr>
              <w:t>行业类别</w:t>
            </w:r>
          </w:p>
        </w:tc>
        <w:tc>
          <w:tcPr>
            <w:tcW w:w="1752" w:type="pct"/>
            <w:vAlign w:val="center"/>
          </w:tcPr>
          <w:p w14:paraId="19CCEFF9">
            <w:pPr>
              <w:adjustRightInd w:val="0"/>
              <w:snapToGrid w:val="0"/>
              <w:spacing w:line="240" w:lineRule="auto"/>
              <w:ind w:firstLine="0" w:firstLineChars="0"/>
              <w:jc w:val="center"/>
              <w:rPr>
                <w:color w:val="auto"/>
                <w:szCs w:val="21"/>
              </w:rPr>
            </w:pPr>
            <w:r>
              <w:rPr>
                <w:color w:val="auto"/>
                <w:szCs w:val="21"/>
              </w:rPr>
              <w:t>C2412笔的制造</w:t>
            </w:r>
          </w:p>
          <w:p w14:paraId="0EB5E1DF">
            <w:pPr>
              <w:adjustRightInd w:val="0"/>
              <w:snapToGrid w:val="0"/>
              <w:spacing w:line="240" w:lineRule="auto"/>
              <w:ind w:firstLine="0" w:firstLineChars="0"/>
              <w:jc w:val="center"/>
              <w:rPr>
                <w:color w:val="auto"/>
                <w:szCs w:val="21"/>
              </w:rPr>
            </w:pPr>
            <w:r>
              <w:rPr>
                <w:color w:val="auto"/>
                <w:szCs w:val="21"/>
              </w:rPr>
              <w:t>C2929塑料零件及其他塑料制品制造</w:t>
            </w:r>
          </w:p>
        </w:tc>
        <w:tc>
          <w:tcPr>
            <w:tcW w:w="878" w:type="pct"/>
            <w:vAlign w:val="center"/>
          </w:tcPr>
          <w:p w14:paraId="24D4807C">
            <w:pPr>
              <w:adjustRightInd w:val="0"/>
              <w:snapToGrid w:val="0"/>
              <w:spacing w:line="240" w:lineRule="auto"/>
              <w:ind w:firstLine="0" w:firstLineChars="0"/>
              <w:jc w:val="center"/>
              <w:rPr>
                <w:color w:val="auto"/>
              </w:rPr>
            </w:pPr>
            <w:r>
              <w:rPr>
                <w:color w:val="auto"/>
              </w:rPr>
              <w:t>建设项目</w:t>
            </w:r>
          </w:p>
          <w:p w14:paraId="4EC79A36">
            <w:pPr>
              <w:adjustRightInd w:val="0"/>
              <w:snapToGrid w:val="0"/>
              <w:spacing w:line="240" w:lineRule="auto"/>
              <w:ind w:firstLine="0" w:firstLineChars="0"/>
              <w:jc w:val="center"/>
              <w:rPr>
                <w:color w:val="auto"/>
                <w:szCs w:val="21"/>
              </w:rPr>
            </w:pPr>
            <w:r>
              <w:rPr>
                <w:color w:val="auto"/>
              </w:rPr>
              <w:t>行业类别</w:t>
            </w:r>
          </w:p>
        </w:tc>
        <w:tc>
          <w:tcPr>
            <w:tcW w:w="1734" w:type="pct"/>
            <w:vAlign w:val="center"/>
          </w:tcPr>
          <w:p w14:paraId="17C39A18">
            <w:pPr>
              <w:numPr>
                <w:ilvl w:val="0"/>
                <w:numId w:val="1"/>
              </w:numPr>
              <w:spacing w:line="240" w:lineRule="auto"/>
              <w:ind w:firstLine="0" w:firstLineChars="0"/>
              <w:jc w:val="center"/>
              <w:rPr>
                <w:color w:val="auto"/>
                <w:szCs w:val="21"/>
              </w:rPr>
            </w:pPr>
            <w:r>
              <w:rPr>
                <w:color w:val="auto"/>
                <w:szCs w:val="21"/>
              </w:rPr>
              <w:t>文教、工美、体育和娱乐用品制造业24，文教办公用品制造241，其他</w:t>
            </w:r>
          </w:p>
          <w:p w14:paraId="21061A06">
            <w:pPr>
              <w:spacing w:line="240" w:lineRule="auto"/>
              <w:ind w:firstLine="0" w:firstLineChars="0"/>
              <w:jc w:val="center"/>
              <w:rPr>
                <w:color w:val="auto"/>
                <w:szCs w:val="21"/>
              </w:rPr>
            </w:pPr>
            <w:r>
              <w:rPr>
                <w:color w:val="auto"/>
                <w:szCs w:val="21"/>
              </w:rPr>
              <w:t>二十四、橡胶和塑料制品业29，塑料制品业292，塑料零件及其他塑料制品制造2929</w:t>
            </w:r>
          </w:p>
        </w:tc>
      </w:tr>
      <w:tr w14:paraId="21C44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34" w:type="pct"/>
            <w:tcMar>
              <w:top w:w="16" w:type="dxa"/>
              <w:left w:w="16" w:type="dxa"/>
              <w:right w:w="16" w:type="dxa"/>
            </w:tcMar>
            <w:vAlign w:val="center"/>
          </w:tcPr>
          <w:p w14:paraId="7FEE1BF7">
            <w:pPr>
              <w:adjustRightInd w:val="0"/>
              <w:snapToGrid w:val="0"/>
              <w:spacing w:line="240" w:lineRule="auto"/>
              <w:ind w:firstLine="0" w:firstLineChars="0"/>
              <w:jc w:val="center"/>
              <w:rPr>
                <w:b/>
                <w:bCs/>
                <w:color w:val="auto"/>
                <w:szCs w:val="21"/>
              </w:rPr>
            </w:pPr>
            <w:r>
              <w:rPr>
                <w:b/>
                <w:bCs/>
                <w:color w:val="auto"/>
                <w:szCs w:val="21"/>
              </w:rPr>
              <w:t>建设性质</w:t>
            </w:r>
          </w:p>
        </w:tc>
        <w:tc>
          <w:tcPr>
            <w:tcW w:w="1752" w:type="pct"/>
            <w:vAlign w:val="center"/>
          </w:tcPr>
          <w:p w14:paraId="225A75B4">
            <w:pPr>
              <w:spacing w:line="240" w:lineRule="auto"/>
              <w:ind w:firstLine="0" w:firstLineChars="0"/>
              <w:jc w:val="left"/>
              <w:rPr>
                <w:color w:val="auto"/>
              </w:rPr>
            </w:pPr>
            <w:r>
              <w:rPr>
                <w:color w:val="auto"/>
              </w:rPr>
              <w:sym w:font="Wingdings 2" w:char="0052"/>
            </w:r>
            <w:r>
              <w:rPr>
                <w:color w:val="auto"/>
              </w:rPr>
              <w:t>新建（迁建）</w:t>
            </w:r>
          </w:p>
          <w:p w14:paraId="2A63B6A0">
            <w:pPr>
              <w:spacing w:line="240" w:lineRule="auto"/>
              <w:ind w:firstLine="0" w:firstLineChars="0"/>
              <w:jc w:val="left"/>
              <w:rPr>
                <w:color w:val="auto"/>
              </w:rPr>
            </w:pPr>
            <w:r>
              <w:rPr>
                <w:color w:val="auto"/>
              </w:rPr>
              <w:sym w:font="Wingdings 2" w:char="00A3"/>
            </w:r>
            <w:r>
              <w:rPr>
                <w:color w:val="auto"/>
              </w:rPr>
              <w:t>改建</w:t>
            </w:r>
          </w:p>
          <w:p w14:paraId="1C592D75">
            <w:pPr>
              <w:spacing w:line="240" w:lineRule="auto"/>
              <w:ind w:firstLine="0" w:firstLineChars="0"/>
              <w:jc w:val="left"/>
              <w:rPr>
                <w:color w:val="auto"/>
              </w:rPr>
            </w:pPr>
            <w:r>
              <w:rPr>
                <w:color w:val="auto"/>
              </w:rPr>
              <w:sym w:font="Wingdings 2" w:char="00A3"/>
            </w:r>
            <w:r>
              <w:rPr>
                <w:color w:val="auto"/>
              </w:rPr>
              <w:t>扩建</w:t>
            </w:r>
          </w:p>
          <w:p w14:paraId="1A4FAA24">
            <w:pPr>
              <w:spacing w:line="240" w:lineRule="auto"/>
              <w:ind w:firstLine="0" w:firstLineChars="0"/>
              <w:jc w:val="left"/>
              <w:rPr>
                <w:color w:val="auto"/>
                <w:szCs w:val="21"/>
              </w:rPr>
            </w:pPr>
            <w:r>
              <w:rPr>
                <w:color w:val="auto"/>
              </w:rPr>
              <w:sym w:font="Wingdings 2" w:char="00A3"/>
            </w:r>
            <w:r>
              <w:rPr>
                <w:color w:val="auto"/>
              </w:rPr>
              <w:t>技术改造</w:t>
            </w:r>
          </w:p>
        </w:tc>
        <w:tc>
          <w:tcPr>
            <w:tcW w:w="878" w:type="pct"/>
            <w:vAlign w:val="center"/>
          </w:tcPr>
          <w:p w14:paraId="295CF769">
            <w:pPr>
              <w:adjustRightInd w:val="0"/>
              <w:snapToGrid w:val="0"/>
              <w:spacing w:line="240" w:lineRule="auto"/>
              <w:ind w:firstLine="0" w:firstLineChars="0"/>
              <w:jc w:val="center"/>
              <w:rPr>
                <w:color w:val="auto"/>
              </w:rPr>
            </w:pPr>
            <w:r>
              <w:rPr>
                <w:color w:val="auto"/>
              </w:rPr>
              <w:t>建设项目</w:t>
            </w:r>
          </w:p>
          <w:p w14:paraId="62569BC9">
            <w:pPr>
              <w:adjustRightInd w:val="0"/>
              <w:snapToGrid w:val="0"/>
              <w:spacing w:line="240" w:lineRule="auto"/>
              <w:ind w:firstLine="0" w:firstLineChars="0"/>
              <w:jc w:val="center"/>
              <w:rPr>
                <w:color w:val="auto"/>
                <w:szCs w:val="21"/>
              </w:rPr>
            </w:pPr>
            <w:r>
              <w:rPr>
                <w:color w:val="auto"/>
              </w:rPr>
              <w:t>申报情形</w:t>
            </w:r>
          </w:p>
        </w:tc>
        <w:tc>
          <w:tcPr>
            <w:tcW w:w="1734" w:type="pct"/>
            <w:vAlign w:val="center"/>
          </w:tcPr>
          <w:p w14:paraId="1A0C5548">
            <w:pPr>
              <w:spacing w:line="240" w:lineRule="auto"/>
              <w:ind w:firstLine="0" w:firstLineChars="0"/>
              <w:jc w:val="left"/>
              <w:rPr>
                <w:color w:val="auto"/>
              </w:rPr>
            </w:pPr>
            <w:r>
              <w:rPr>
                <w:color w:val="auto"/>
              </w:rPr>
              <w:sym w:font="Wingdings 2" w:char="0052"/>
            </w:r>
            <w:r>
              <w:rPr>
                <w:color w:val="auto"/>
              </w:rPr>
              <w:t>首次申报项目</w:t>
            </w:r>
          </w:p>
          <w:p w14:paraId="3B2C993C">
            <w:pPr>
              <w:spacing w:line="240" w:lineRule="auto"/>
              <w:ind w:firstLine="0" w:firstLineChars="0"/>
              <w:jc w:val="left"/>
              <w:rPr>
                <w:color w:val="auto"/>
              </w:rPr>
            </w:pPr>
            <w:r>
              <w:rPr>
                <w:color w:val="auto"/>
              </w:rPr>
              <w:sym w:font="Wingdings 2" w:char="00A3"/>
            </w:r>
            <w:r>
              <w:rPr>
                <w:color w:val="auto"/>
              </w:rPr>
              <w:t>不予批准后再次申报项目</w:t>
            </w:r>
          </w:p>
          <w:p w14:paraId="607A9E37">
            <w:pPr>
              <w:spacing w:line="240" w:lineRule="auto"/>
              <w:ind w:firstLine="0" w:firstLineChars="0"/>
              <w:jc w:val="left"/>
              <w:rPr>
                <w:color w:val="auto"/>
              </w:rPr>
            </w:pPr>
            <w:r>
              <w:rPr>
                <w:color w:val="auto"/>
              </w:rPr>
              <w:sym w:font="Wingdings 2" w:char="00A3"/>
            </w:r>
            <w:r>
              <w:rPr>
                <w:color w:val="auto"/>
              </w:rPr>
              <w:t>超五年重新审核项目</w:t>
            </w:r>
          </w:p>
          <w:p w14:paraId="17A3BE9C">
            <w:pPr>
              <w:spacing w:line="240" w:lineRule="auto"/>
              <w:ind w:firstLine="0" w:firstLineChars="0"/>
              <w:jc w:val="left"/>
              <w:rPr>
                <w:color w:val="auto"/>
                <w:szCs w:val="21"/>
              </w:rPr>
            </w:pPr>
            <w:r>
              <w:rPr>
                <w:color w:val="auto"/>
              </w:rPr>
              <w:sym w:font="Wingdings 2" w:char="00A3"/>
            </w:r>
            <w:r>
              <w:rPr>
                <w:color w:val="auto"/>
              </w:rPr>
              <w:t>重大变动重新报批项目</w:t>
            </w:r>
          </w:p>
        </w:tc>
      </w:tr>
      <w:tr w14:paraId="70A60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34" w:type="pct"/>
            <w:tcMar>
              <w:top w:w="16" w:type="dxa"/>
              <w:left w:w="16" w:type="dxa"/>
              <w:right w:w="16" w:type="dxa"/>
            </w:tcMar>
            <w:vAlign w:val="center"/>
          </w:tcPr>
          <w:p w14:paraId="686A6CA6">
            <w:pPr>
              <w:adjustRightInd w:val="0"/>
              <w:snapToGrid w:val="0"/>
              <w:spacing w:line="240" w:lineRule="auto"/>
              <w:ind w:firstLine="0" w:firstLineChars="0"/>
              <w:jc w:val="center"/>
              <w:rPr>
                <w:b/>
                <w:bCs/>
                <w:color w:val="auto"/>
                <w:szCs w:val="21"/>
              </w:rPr>
            </w:pPr>
            <w:r>
              <w:rPr>
                <w:b/>
                <w:bCs/>
                <w:color w:val="auto"/>
                <w:szCs w:val="21"/>
              </w:rPr>
              <w:t>项目审批（核准/</w:t>
            </w:r>
          </w:p>
          <w:p w14:paraId="1B003EAB">
            <w:pPr>
              <w:adjustRightInd w:val="0"/>
              <w:snapToGrid w:val="0"/>
              <w:spacing w:line="240" w:lineRule="auto"/>
              <w:ind w:firstLine="0" w:firstLineChars="0"/>
              <w:jc w:val="center"/>
              <w:rPr>
                <w:b/>
                <w:bCs/>
                <w:color w:val="auto"/>
                <w:szCs w:val="21"/>
              </w:rPr>
            </w:pPr>
            <w:r>
              <w:rPr>
                <w:b/>
                <w:bCs/>
                <w:color w:val="auto"/>
                <w:szCs w:val="21"/>
              </w:rPr>
              <w:t>备案）部门（选填）</w:t>
            </w:r>
          </w:p>
        </w:tc>
        <w:tc>
          <w:tcPr>
            <w:tcW w:w="1752" w:type="pct"/>
            <w:vAlign w:val="center"/>
          </w:tcPr>
          <w:p w14:paraId="675C271E">
            <w:pPr>
              <w:widowControl/>
              <w:spacing w:line="240" w:lineRule="auto"/>
              <w:ind w:firstLine="0" w:firstLineChars="0"/>
              <w:jc w:val="center"/>
              <w:rPr>
                <w:color w:val="auto"/>
                <w:szCs w:val="21"/>
              </w:rPr>
            </w:pPr>
            <w:r>
              <w:rPr>
                <w:color w:val="auto"/>
                <w:szCs w:val="21"/>
              </w:rPr>
              <w:t>宿州经开区经科局</w:t>
            </w:r>
          </w:p>
        </w:tc>
        <w:tc>
          <w:tcPr>
            <w:tcW w:w="878" w:type="pct"/>
            <w:vAlign w:val="center"/>
          </w:tcPr>
          <w:p w14:paraId="1A5A6BCC">
            <w:pPr>
              <w:adjustRightInd w:val="0"/>
              <w:snapToGrid w:val="0"/>
              <w:spacing w:line="240" w:lineRule="auto"/>
              <w:ind w:firstLine="0" w:firstLineChars="0"/>
              <w:jc w:val="center"/>
              <w:rPr>
                <w:color w:val="auto"/>
                <w:szCs w:val="21"/>
              </w:rPr>
            </w:pPr>
            <w:r>
              <w:rPr>
                <w:color w:val="auto"/>
              </w:rPr>
              <w:t>项目审批（核准/备案）文号（选填）</w:t>
            </w:r>
          </w:p>
        </w:tc>
        <w:tc>
          <w:tcPr>
            <w:tcW w:w="1734" w:type="pct"/>
            <w:vAlign w:val="center"/>
          </w:tcPr>
          <w:p w14:paraId="3DC6A95F">
            <w:pPr>
              <w:adjustRightInd w:val="0"/>
              <w:snapToGrid w:val="0"/>
              <w:spacing w:line="240" w:lineRule="auto"/>
              <w:ind w:firstLine="0" w:firstLineChars="0"/>
              <w:jc w:val="center"/>
              <w:rPr>
                <w:color w:val="auto"/>
                <w:szCs w:val="21"/>
              </w:rPr>
            </w:pPr>
            <w:r>
              <w:rPr>
                <w:color w:val="auto"/>
                <w:szCs w:val="21"/>
              </w:rPr>
              <w:t>宿开经审批[2024]127号</w:t>
            </w:r>
          </w:p>
        </w:tc>
      </w:tr>
      <w:tr w14:paraId="1548D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85" w:hRule="atLeast"/>
          <w:jc w:val="center"/>
        </w:trPr>
        <w:tc>
          <w:tcPr>
            <w:tcW w:w="634" w:type="pct"/>
            <w:tcMar>
              <w:top w:w="16" w:type="dxa"/>
              <w:left w:w="16" w:type="dxa"/>
              <w:right w:w="16" w:type="dxa"/>
            </w:tcMar>
            <w:vAlign w:val="center"/>
          </w:tcPr>
          <w:p w14:paraId="155C11DA">
            <w:pPr>
              <w:adjustRightInd w:val="0"/>
              <w:snapToGrid w:val="0"/>
              <w:spacing w:line="240" w:lineRule="auto"/>
              <w:ind w:firstLine="0" w:firstLineChars="0"/>
              <w:jc w:val="center"/>
              <w:rPr>
                <w:b/>
                <w:bCs/>
                <w:color w:val="auto"/>
                <w:szCs w:val="21"/>
              </w:rPr>
            </w:pPr>
            <w:r>
              <w:rPr>
                <w:b/>
                <w:bCs/>
                <w:color w:val="auto"/>
                <w:szCs w:val="21"/>
              </w:rPr>
              <w:t>总投资</w:t>
            </w:r>
          </w:p>
          <w:p w14:paraId="5B733C22">
            <w:pPr>
              <w:adjustRightInd w:val="0"/>
              <w:snapToGrid w:val="0"/>
              <w:spacing w:line="240" w:lineRule="auto"/>
              <w:ind w:firstLine="0" w:firstLineChars="0"/>
              <w:jc w:val="center"/>
              <w:rPr>
                <w:b/>
                <w:bCs/>
                <w:color w:val="auto"/>
                <w:szCs w:val="21"/>
              </w:rPr>
            </w:pPr>
            <w:r>
              <w:rPr>
                <w:b/>
                <w:bCs/>
                <w:color w:val="auto"/>
                <w:szCs w:val="21"/>
              </w:rPr>
              <w:t>（万元）</w:t>
            </w:r>
          </w:p>
        </w:tc>
        <w:tc>
          <w:tcPr>
            <w:tcW w:w="1752" w:type="pct"/>
            <w:vAlign w:val="center"/>
          </w:tcPr>
          <w:p w14:paraId="5CE23601">
            <w:pPr>
              <w:adjustRightInd w:val="0"/>
              <w:snapToGrid w:val="0"/>
              <w:spacing w:line="240" w:lineRule="auto"/>
              <w:ind w:firstLine="0" w:firstLineChars="0"/>
              <w:jc w:val="center"/>
              <w:rPr>
                <w:color w:val="auto"/>
                <w:szCs w:val="21"/>
              </w:rPr>
            </w:pPr>
            <w:r>
              <w:rPr>
                <w:rFonts w:hint="eastAsia"/>
                <w:color w:val="auto"/>
                <w:szCs w:val="21"/>
              </w:rPr>
              <w:t>10000</w:t>
            </w:r>
          </w:p>
        </w:tc>
        <w:tc>
          <w:tcPr>
            <w:tcW w:w="878" w:type="pct"/>
            <w:tcMar>
              <w:top w:w="16" w:type="dxa"/>
              <w:left w:w="16" w:type="dxa"/>
              <w:right w:w="16" w:type="dxa"/>
            </w:tcMar>
            <w:vAlign w:val="center"/>
          </w:tcPr>
          <w:p w14:paraId="0CD71DD0">
            <w:pPr>
              <w:adjustRightInd w:val="0"/>
              <w:snapToGrid w:val="0"/>
              <w:spacing w:line="240" w:lineRule="auto"/>
              <w:ind w:firstLine="0" w:firstLineChars="0"/>
              <w:jc w:val="center"/>
              <w:rPr>
                <w:color w:val="auto"/>
              </w:rPr>
            </w:pPr>
            <w:r>
              <w:rPr>
                <w:color w:val="auto"/>
              </w:rPr>
              <w:t>环保投资</w:t>
            </w:r>
          </w:p>
          <w:p w14:paraId="76026BB9">
            <w:pPr>
              <w:adjustRightInd w:val="0"/>
              <w:snapToGrid w:val="0"/>
              <w:spacing w:line="240" w:lineRule="auto"/>
              <w:ind w:firstLine="0" w:firstLineChars="0"/>
              <w:jc w:val="center"/>
              <w:rPr>
                <w:color w:val="auto"/>
                <w:szCs w:val="21"/>
              </w:rPr>
            </w:pPr>
            <w:r>
              <w:rPr>
                <w:color w:val="auto"/>
              </w:rPr>
              <w:t>（万元）</w:t>
            </w:r>
          </w:p>
        </w:tc>
        <w:tc>
          <w:tcPr>
            <w:tcW w:w="1734" w:type="pct"/>
            <w:vAlign w:val="center"/>
          </w:tcPr>
          <w:p w14:paraId="56A0C30B">
            <w:pPr>
              <w:adjustRightInd w:val="0"/>
              <w:snapToGrid w:val="0"/>
              <w:spacing w:line="240" w:lineRule="auto"/>
              <w:ind w:firstLine="0" w:firstLineChars="0"/>
              <w:jc w:val="center"/>
              <w:rPr>
                <w:color w:val="auto"/>
                <w:szCs w:val="21"/>
              </w:rPr>
            </w:pPr>
            <w:r>
              <w:rPr>
                <w:rFonts w:hint="eastAsia"/>
                <w:color w:val="auto"/>
                <w:szCs w:val="21"/>
              </w:rPr>
              <w:t>57</w:t>
            </w:r>
          </w:p>
        </w:tc>
      </w:tr>
      <w:tr w14:paraId="2EFA8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34" w:type="pct"/>
            <w:tcMar>
              <w:top w:w="16" w:type="dxa"/>
              <w:left w:w="16" w:type="dxa"/>
              <w:right w:w="16" w:type="dxa"/>
            </w:tcMar>
            <w:vAlign w:val="center"/>
          </w:tcPr>
          <w:p w14:paraId="4E004C6B">
            <w:pPr>
              <w:adjustRightInd w:val="0"/>
              <w:snapToGrid w:val="0"/>
              <w:spacing w:line="240" w:lineRule="auto"/>
              <w:ind w:firstLine="0" w:firstLineChars="0"/>
              <w:jc w:val="center"/>
              <w:rPr>
                <w:b/>
                <w:bCs/>
                <w:color w:val="auto"/>
                <w:szCs w:val="21"/>
              </w:rPr>
            </w:pPr>
            <w:r>
              <w:rPr>
                <w:b/>
                <w:bCs/>
                <w:color w:val="auto"/>
                <w:szCs w:val="21"/>
              </w:rPr>
              <w:t>环保投资占比（%）</w:t>
            </w:r>
          </w:p>
        </w:tc>
        <w:tc>
          <w:tcPr>
            <w:tcW w:w="1752" w:type="pct"/>
            <w:vAlign w:val="center"/>
          </w:tcPr>
          <w:p w14:paraId="3C0EA6CE">
            <w:pPr>
              <w:adjustRightInd w:val="0"/>
              <w:snapToGrid w:val="0"/>
              <w:spacing w:line="240" w:lineRule="auto"/>
              <w:ind w:firstLine="0" w:firstLineChars="0"/>
              <w:jc w:val="center"/>
              <w:rPr>
                <w:color w:val="auto"/>
                <w:szCs w:val="21"/>
              </w:rPr>
            </w:pPr>
            <w:r>
              <w:rPr>
                <w:rFonts w:hint="eastAsia"/>
                <w:color w:val="auto"/>
                <w:szCs w:val="21"/>
              </w:rPr>
              <w:t>0.57</w:t>
            </w:r>
          </w:p>
        </w:tc>
        <w:tc>
          <w:tcPr>
            <w:tcW w:w="878" w:type="pct"/>
            <w:tcMar>
              <w:top w:w="16" w:type="dxa"/>
              <w:left w:w="16" w:type="dxa"/>
              <w:right w:w="16" w:type="dxa"/>
            </w:tcMar>
            <w:vAlign w:val="center"/>
          </w:tcPr>
          <w:p w14:paraId="25757F14">
            <w:pPr>
              <w:adjustRightInd w:val="0"/>
              <w:snapToGrid w:val="0"/>
              <w:spacing w:line="240" w:lineRule="auto"/>
              <w:ind w:firstLine="0" w:firstLineChars="0"/>
              <w:jc w:val="center"/>
              <w:rPr>
                <w:color w:val="auto"/>
                <w:szCs w:val="21"/>
              </w:rPr>
            </w:pPr>
            <w:r>
              <w:rPr>
                <w:color w:val="auto"/>
              </w:rPr>
              <w:t>施工工期</w:t>
            </w:r>
          </w:p>
        </w:tc>
        <w:tc>
          <w:tcPr>
            <w:tcW w:w="1734" w:type="pct"/>
            <w:vAlign w:val="center"/>
          </w:tcPr>
          <w:p w14:paraId="7CF2D160">
            <w:pPr>
              <w:adjustRightInd w:val="0"/>
              <w:snapToGrid w:val="0"/>
              <w:spacing w:line="240" w:lineRule="auto"/>
              <w:ind w:firstLine="0" w:firstLineChars="0"/>
              <w:jc w:val="center"/>
              <w:rPr>
                <w:color w:val="auto"/>
                <w:szCs w:val="21"/>
              </w:rPr>
            </w:pPr>
            <w:r>
              <w:rPr>
                <w:rFonts w:hint="eastAsia"/>
                <w:color w:val="auto"/>
                <w:szCs w:val="21"/>
              </w:rPr>
              <w:t>12</w:t>
            </w:r>
            <w:r>
              <w:rPr>
                <w:color w:val="auto"/>
                <w:szCs w:val="21"/>
              </w:rPr>
              <w:t>个月</w:t>
            </w:r>
          </w:p>
        </w:tc>
      </w:tr>
      <w:tr w14:paraId="6B3F1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634" w:type="pct"/>
            <w:tcMar>
              <w:top w:w="16" w:type="dxa"/>
              <w:left w:w="16" w:type="dxa"/>
              <w:right w:w="16" w:type="dxa"/>
            </w:tcMar>
            <w:vAlign w:val="center"/>
          </w:tcPr>
          <w:p w14:paraId="5A9E47A4">
            <w:pPr>
              <w:adjustRightInd w:val="0"/>
              <w:snapToGrid w:val="0"/>
              <w:spacing w:line="240" w:lineRule="auto"/>
              <w:ind w:firstLine="0" w:firstLineChars="0"/>
              <w:jc w:val="center"/>
              <w:rPr>
                <w:b/>
                <w:bCs/>
                <w:color w:val="auto"/>
                <w:szCs w:val="21"/>
              </w:rPr>
            </w:pPr>
            <w:r>
              <w:rPr>
                <w:b/>
                <w:bCs/>
                <w:color w:val="auto"/>
                <w:szCs w:val="21"/>
              </w:rPr>
              <w:t>是否开工建设</w:t>
            </w:r>
          </w:p>
        </w:tc>
        <w:tc>
          <w:tcPr>
            <w:tcW w:w="1752" w:type="pct"/>
            <w:vAlign w:val="center"/>
          </w:tcPr>
          <w:p w14:paraId="62E747AE">
            <w:pPr>
              <w:adjustRightInd w:val="0"/>
              <w:snapToGrid w:val="0"/>
              <w:spacing w:line="240" w:lineRule="auto"/>
              <w:ind w:firstLine="0" w:firstLineChars="0"/>
              <w:rPr>
                <w:color w:val="auto"/>
              </w:rPr>
            </w:pPr>
            <w:r>
              <w:rPr>
                <w:color w:val="auto"/>
              </w:rPr>
              <w:sym w:font="Wingdings 2" w:char="0052"/>
            </w:r>
            <w:r>
              <w:rPr>
                <w:color w:val="auto"/>
              </w:rPr>
              <w:t>否</w:t>
            </w:r>
          </w:p>
          <w:p w14:paraId="0F33C335">
            <w:pPr>
              <w:adjustRightInd w:val="0"/>
              <w:snapToGrid w:val="0"/>
              <w:spacing w:line="240" w:lineRule="auto"/>
              <w:ind w:firstLine="0" w:firstLineChars="0"/>
              <w:rPr>
                <w:color w:val="auto"/>
                <w:szCs w:val="21"/>
              </w:rPr>
            </w:pPr>
            <w:r>
              <w:rPr>
                <w:color w:val="auto"/>
              </w:rPr>
              <w:sym w:font="Wingdings 2" w:char="00A3"/>
            </w:r>
            <w:r>
              <w:rPr>
                <w:color w:val="auto"/>
              </w:rPr>
              <w:t>是：</w:t>
            </w:r>
            <w:r>
              <w:rPr>
                <w:rFonts w:hint="eastAsia"/>
                <w:color w:val="auto"/>
                <w:u w:val="single"/>
              </w:rPr>
              <w:t xml:space="preserve">            </w:t>
            </w:r>
          </w:p>
        </w:tc>
        <w:tc>
          <w:tcPr>
            <w:tcW w:w="878" w:type="pct"/>
            <w:tcMar>
              <w:top w:w="16" w:type="dxa"/>
              <w:left w:w="16" w:type="dxa"/>
              <w:right w:w="16" w:type="dxa"/>
            </w:tcMar>
            <w:vAlign w:val="center"/>
          </w:tcPr>
          <w:p w14:paraId="5490B557">
            <w:pPr>
              <w:adjustRightInd w:val="0"/>
              <w:snapToGrid w:val="0"/>
              <w:spacing w:line="240" w:lineRule="auto"/>
              <w:ind w:firstLine="0" w:firstLineChars="0"/>
              <w:jc w:val="center"/>
              <w:rPr>
                <w:color w:val="auto"/>
                <w:spacing w:val="-6"/>
              </w:rPr>
            </w:pPr>
            <w:r>
              <w:rPr>
                <w:color w:val="auto"/>
                <w:spacing w:val="-6"/>
              </w:rPr>
              <w:t>用地（用海）</w:t>
            </w:r>
          </w:p>
          <w:p w14:paraId="1FCF1A23">
            <w:pPr>
              <w:adjustRightInd w:val="0"/>
              <w:snapToGrid w:val="0"/>
              <w:spacing w:line="240" w:lineRule="auto"/>
              <w:ind w:firstLine="0" w:firstLineChars="0"/>
              <w:jc w:val="center"/>
              <w:rPr>
                <w:color w:val="auto"/>
                <w:szCs w:val="21"/>
              </w:rPr>
            </w:pPr>
            <w:r>
              <w:rPr>
                <w:color w:val="auto"/>
                <w:spacing w:val="-6"/>
              </w:rPr>
              <w:t>面积（m</w:t>
            </w:r>
            <w:r>
              <w:rPr>
                <w:color w:val="auto"/>
                <w:spacing w:val="-6"/>
                <w:vertAlign w:val="superscript"/>
              </w:rPr>
              <w:t>2</w:t>
            </w:r>
            <w:r>
              <w:rPr>
                <w:color w:val="auto"/>
                <w:spacing w:val="-6"/>
              </w:rPr>
              <w:t>）</w:t>
            </w:r>
          </w:p>
        </w:tc>
        <w:tc>
          <w:tcPr>
            <w:tcW w:w="1734" w:type="pct"/>
            <w:vAlign w:val="center"/>
          </w:tcPr>
          <w:p w14:paraId="351CEC0B">
            <w:pPr>
              <w:adjustRightInd w:val="0"/>
              <w:snapToGrid w:val="0"/>
              <w:spacing w:line="240" w:lineRule="auto"/>
              <w:ind w:firstLine="0" w:firstLineChars="0"/>
              <w:jc w:val="center"/>
              <w:rPr>
                <w:color w:val="auto"/>
                <w:szCs w:val="21"/>
              </w:rPr>
            </w:pPr>
            <w:r>
              <w:rPr>
                <w:rFonts w:hint="eastAsia"/>
                <w:color w:val="auto"/>
                <w:szCs w:val="21"/>
              </w:rPr>
              <w:t>6420</w:t>
            </w:r>
          </w:p>
        </w:tc>
      </w:tr>
      <w:tr w14:paraId="6EEC5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4" w:type="pct"/>
            <w:vAlign w:val="center"/>
          </w:tcPr>
          <w:p w14:paraId="7550DA53">
            <w:pPr>
              <w:adjustRightInd w:val="0"/>
              <w:snapToGrid w:val="0"/>
              <w:spacing w:line="240" w:lineRule="auto"/>
              <w:ind w:firstLine="0" w:firstLineChars="0"/>
              <w:jc w:val="center"/>
              <w:rPr>
                <w:b/>
                <w:bCs/>
                <w:color w:val="auto"/>
                <w:kern w:val="0"/>
                <w:szCs w:val="21"/>
              </w:rPr>
            </w:pPr>
            <w:r>
              <w:rPr>
                <w:b/>
                <w:bCs/>
                <w:color w:val="auto"/>
                <w:kern w:val="0"/>
                <w:szCs w:val="21"/>
              </w:rPr>
              <w:t>专项评价设置情况</w:t>
            </w:r>
          </w:p>
        </w:tc>
        <w:tc>
          <w:tcPr>
            <w:tcW w:w="4365" w:type="pct"/>
            <w:gridSpan w:val="3"/>
            <w:vAlign w:val="center"/>
          </w:tcPr>
          <w:p w14:paraId="5B5804A4">
            <w:pPr>
              <w:spacing w:line="240" w:lineRule="auto"/>
              <w:ind w:firstLine="0" w:firstLineChars="0"/>
              <w:jc w:val="center"/>
              <w:rPr>
                <w:color w:val="auto"/>
                <w:kern w:val="0"/>
                <w:szCs w:val="21"/>
              </w:rPr>
            </w:pPr>
            <w:r>
              <w:rPr>
                <w:color w:val="auto"/>
                <w:spacing w:val="4"/>
              </w:rPr>
              <w:t>无</w:t>
            </w:r>
          </w:p>
        </w:tc>
      </w:tr>
      <w:tr w14:paraId="6784F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4" w:type="pct"/>
            <w:vAlign w:val="center"/>
          </w:tcPr>
          <w:p w14:paraId="7394F12E">
            <w:pPr>
              <w:adjustRightInd w:val="0"/>
              <w:snapToGrid w:val="0"/>
              <w:spacing w:line="240" w:lineRule="auto"/>
              <w:ind w:firstLine="0" w:firstLineChars="0"/>
              <w:jc w:val="center"/>
              <w:rPr>
                <w:b/>
                <w:bCs/>
                <w:color w:val="auto"/>
                <w:kern w:val="0"/>
                <w:szCs w:val="21"/>
              </w:rPr>
            </w:pPr>
            <w:r>
              <w:rPr>
                <w:b/>
                <w:bCs/>
                <w:color w:val="auto"/>
                <w:szCs w:val="21"/>
              </w:rPr>
              <w:t>规划情况</w:t>
            </w:r>
          </w:p>
        </w:tc>
        <w:tc>
          <w:tcPr>
            <w:tcW w:w="4365" w:type="pct"/>
            <w:gridSpan w:val="3"/>
            <w:vAlign w:val="center"/>
          </w:tcPr>
          <w:p w14:paraId="440D3B15">
            <w:pPr>
              <w:widowControl/>
              <w:spacing w:line="240" w:lineRule="auto"/>
              <w:ind w:firstLine="0" w:firstLineChars="0"/>
              <w:jc w:val="left"/>
              <w:rPr>
                <w:color w:val="auto"/>
              </w:rPr>
            </w:pPr>
            <w:r>
              <w:rPr>
                <w:b/>
                <w:bCs/>
                <w:color w:val="auto"/>
              </w:rPr>
              <w:t>规划名称：</w:t>
            </w:r>
            <w:r>
              <w:rPr>
                <w:color w:val="auto"/>
              </w:rPr>
              <w:t>《宿州经济技术开发区总体发展规划（2016-2030）》</w:t>
            </w:r>
          </w:p>
          <w:p w14:paraId="6028F973">
            <w:pPr>
              <w:widowControl/>
              <w:spacing w:line="240" w:lineRule="auto"/>
              <w:ind w:firstLine="0" w:firstLineChars="0"/>
              <w:jc w:val="left"/>
              <w:rPr>
                <w:color w:val="auto"/>
              </w:rPr>
            </w:pPr>
            <w:r>
              <w:rPr>
                <w:b/>
                <w:bCs/>
                <w:color w:val="auto"/>
              </w:rPr>
              <w:t>审批机关：</w:t>
            </w:r>
            <w:r>
              <w:rPr>
                <w:color w:val="auto"/>
              </w:rPr>
              <w:t>安徽省人民政府</w:t>
            </w:r>
          </w:p>
          <w:p w14:paraId="2BFBCD0A">
            <w:pPr>
              <w:widowControl/>
              <w:spacing w:line="240" w:lineRule="auto"/>
              <w:ind w:firstLine="0" w:firstLineChars="0"/>
              <w:jc w:val="left"/>
              <w:rPr>
                <w:color w:val="auto"/>
              </w:rPr>
            </w:pPr>
            <w:r>
              <w:rPr>
                <w:b/>
                <w:bCs/>
                <w:color w:val="auto"/>
              </w:rPr>
              <w:t>审批文件名称及文号：</w:t>
            </w:r>
            <w:r>
              <w:rPr>
                <w:color w:val="auto"/>
              </w:rPr>
              <w:t>《关于同意设立宿州经济技术开发区的批复》（皖政秘【2001】102号）</w:t>
            </w:r>
          </w:p>
        </w:tc>
      </w:tr>
      <w:tr w14:paraId="527E2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pct"/>
            <w:vAlign w:val="center"/>
          </w:tcPr>
          <w:p w14:paraId="252423E7">
            <w:pPr>
              <w:adjustRightInd w:val="0"/>
              <w:snapToGrid w:val="0"/>
              <w:spacing w:line="240" w:lineRule="auto"/>
              <w:ind w:firstLine="0" w:firstLineChars="0"/>
              <w:jc w:val="center"/>
              <w:rPr>
                <w:b/>
                <w:bCs/>
                <w:color w:val="auto"/>
                <w:kern w:val="0"/>
                <w:szCs w:val="21"/>
              </w:rPr>
            </w:pPr>
            <w:r>
              <w:rPr>
                <w:b/>
                <w:bCs/>
                <w:color w:val="auto"/>
                <w:szCs w:val="21"/>
              </w:rPr>
              <w:t>规划环境影响评价情况</w:t>
            </w:r>
          </w:p>
        </w:tc>
        <w:tc>
          <w:tcPr>
            <w:tcW w:w="4365" w:type="pct"/>
            <w:gridSpan w:val="3"/>
            <w:vAlign w:val="center"/>
          </w:tcPr>
          <w:p w14:paraId="01F787DC">
            <w:pPr>
              <w:widowControl/>
              <w:wordWrap w:val="0"/>
              <w:spacing w:line="240" w:lineRule="auto"/>
              <w:ind w:firstLine="0" w:firstLineChars="0"/>
              <w:jc w:val="left"/>
              <w:rPr>
                <w:color w:val="auto"/>
              </w:rPr>
            </w:pPr>
            <w:r>
              <w:rPr>
                <w:b/>
                <w:bCs/>
                <w:color w:val="auto"/>
              </w:rPr>
              <w:t>规划环境影响评价文件名称：</w:t>
            </w:r>
            <w:r>
              <w:rPr>
                <w:color w:val="auto"/>
              </w:rPr>
              <w:t>《宿州经济技术开发区总体发展规划（2016-2030）环境影响报告书》</w:t>
            </w:r>
          </w:p>
          <w:p w14:paraId="1D50E44E">
            <w:pPr>
              <w:widowControl/>
              <w:spacing w:line="240" w:lineRule="auto"/>
              <w:ind w:firstLine="0" w:firstLineChars="0"/>
              <w:jc w:val="left"/>
              <w:rPr>
                <w:color w:val="auto"/>
              </w:rPr>
            </w:pPr>
            <w:r>
              <w:rPr>
                <w:b/>
                <w:bCs/>
                <w:color w:val="auto"/>
              </w:rPr>
              <w:t>召集审查机关：</w:t>
            </w:r>
            <w:r>
              <w:rPr>
                <w:color w:val="auto"/>
              </w:rPr>
              <w:t>安徽省环境保护厅</w:t>
            </w:r>
          </w:p>
          <w:p w14:paraId="4B641F35">
            <w:pPr>
              <w:widowControl/>
              <w:spacing w:line="240" w:lineRule="auto"/>
              <w:ind w:firstLine="0" w:firstLineChars="0"/>
              <w:jc w:val="left"/>
              <w:rPr>
                <w:color w:val="auto"/>
              </w:rPr>
            </w:pPr>
            <w:r>
              <w:rPr>
                <w:b/>
                <w:bCs/>
                <w:color w:val="auto"/>
              </w:rPr>
              <w:t>审查文件名称及文号：</w:t>
            </w:r>
            <w:r>
              <w:rPr>
                <w:color w:val="auto"/>
              </w:rPr>
              <w:t>《安徽省环保厅关于宿州经济技术开发区总体发展规划环境影响报告书审查意见的函》（皖环函【2016】622号）</w:t>
            </w:r>
          </w:p>
        </w:tc>
      </w:tr>
      <w:tr w14:paraId="5CE24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34" w:hRule="atLeast"/>
          <w:jc w:val="center"/>
        </w:trPr>
        <w:tc>
          <w:tcPr>
            <w:tcW w:w="634" w:type="pct"/>
            <w:vAlign w:val="center"/>
          </w:tcPr>
          <w:p w14:paraId="1A5D280B">
            <w:pPr>
              <w:autoSpaceDE w:val="0"/>
              <w:autoSpaceDN w:val="0"/>
              <w:adjustRightInd w:val="0"/>
              <w:snapToGrid w:val="0"/>
              <w:ind w:firstLine="0" w:firstLineChars="0"/>
              <w:jc w:val="center"/>
              <w:rPr>
                <w:b/>
                <w:bCs/>
                <w:color w:val="auto"/>
                <w:kern w:val="0"/>
                <w:szCs w:val="21"/>
              </w:rPr>
            </w:pPr>
            <w:r>
              <w:rPr>
                <w:b/>
                <w:bCs/>
                <w:color w:val="auto"/>
                <w:kern w:val="0"/>
                <w:szCs w:val="21"/>
              </w:rPr>
              <w:t>规划及规划环境影响评价符</w:t>
            </w:r>
          </w:p>
          <w:p w14:paraId="6FD48405">
            <w:pPr>
              <w:autoSpaceDE w:val="0"/>
              <w:autoSpaceDN w:val="0"/>
              <w:adjustRightInd w:val="0"/>
              <w:snapToGrid w:val="0"/>
              <w:ind w:firstLine="0" w:firstLineChars="0"/>
              <w:jc w:val="center"/>
              <w:rPr>
                <w:color w:val="auto"/>
                <w:kern w:val="0"/>
                <w:szCs w:val="21"/>
              </w:rPr>
            </w:pPr>
            <w:r>
              <w:rPr>
                <w:b/>
                <w:bCs/>
                <w:color w:val="auto"/>
                <w:kern w:val="0"/>
                <w:szCs w:val="21"/>
              </w:rPr>
              <w:t>合性分析</w:t>
            </w:r>
          </w:p>
        </w:tc>
        <w:tc>
          <w:tcPr>
            <w:tcW w:w="4365" w:type="pct"/>
            <w:gridSpan w:val="3"/>
            <w:vAlign w:val="center"/>
          </w:tcPr>
          <w:p w14:paraId="58D44DDB">
            <w:pPr>
              <w:autoSpaceDE w:val="0"/>
              <w:autoSpaceDN w:val="0"/>
              <w:adjustRightInd w:val="0"/>
              <w:snapToGrid w:val="0"/>
              <w:ind w:firstLine="482"/>
              <w:jc w:val="left"/>
              <w:rPr>
                <w:b/>
                <w:bCs/>
                <w:color w:val="auto"/>
                <w:kern w:val="0"/>
                <w:szCs w:val="28"/>
              </w:rPr>
            </w:pPr>
            <w:r>
              <w:rPr>
                <w:b/>
                <w:bCs/>
                <w:color w:val="auto"/>
                <w:kern w:val="0"/>
                <w:szCs w:val="28"/>
              </w:rPr>
              <w:t>1、与</w:t>
            </w:r>
            <w:r>
              <w:rPr>
                <w:rFonts w:hint="eastAsia"/>
                <w:b/>
                <w:bCs/>
                <w:color w:val="auto"/>
                <w:kern w:val="0"/>
                <w:szCs w:val="28"/>
              </w:rPr>
              <w:t>《</w:t>
            </w:r>
            <w:r>
              <w:rPr>
                <w:b/>
                <w:bCs/>
                <w:color w:val="auto"/>
                <w:kern w:val="0"/>
                <w:szCs w:val="28"/>
              </w:rPr>
              <w:t>宿州经济技术开发区总体发展规划（2016-2030）相符性分析</w:t>
            </w:r>
          </w:p>
          <w:p w14:paraId="12E74D8D">
            <w:pPr>
              <w:widowControl/>
              <w:ind w:firstLine="480"/>
              <w:rPr>
                <w:rFonts w:hint="eastAsia" w:cs="宋体"/>
                <w:color w:val="auto"/>
                <w:kern w:val="0"/>
                <w:lang w:bidi="en-US"/>
              </w:rPr>
            </w:pPr>
            <w:r>
              <w:rPr>
                <w:rFonts w:hint="eastAsia"/>
                <w:color w:val="auto"/>
              </w:rPr>
              <w:t>宿州经开区应重点围绕生化医药、新能源新材料、高端装备及鞋服产业，大力实施“战略性新兴产业集聚发展”等工程，加快由企业集聚向产业集聚转型。集群发展战略。根据宿州经开区产业发展阶段和趋势，以新型工业化为引领，以集群化发展为方向，以“调转促”为抓手，着力实施生化医药、新能源新材料集聚发展工程，以及机械制造、食品加工、鞋服改造提升工程，拉宽延伸产业链，加快培育和壮大以生化医药、鞋服制造为首位产业的主导产业集群，强化宿州经开区产业支撑。立足宿州鞋城产业基础和优势，着力做大制鞋产业规模，推动制鞋纵向产业链延伸，拓展横向服装制造业，打造集加工制造、商贸物流、研发创意、教育培训、会展中心五位一体的国际化、现代化制鞋产业基地。</w:t>
            </w:r>
          </w:p>
          <w:p w14:paraId="4E98EFF1">
            <w:pPr>
              <w:ind w:firstLine="480"/>
              <w:rPr>
                <w:color w:val="auto"/>
              </w:rPr>
            </w:pPr>
            <w:r>
              <w:rPr>
                <w:rFonts w:hint="eastAsia" w:cs="宋体"/>
                <w:color w:val="auto"/>
                <w:kern w:val="0"/>
                <w:lang w:bidi="en-US"/>
              </w:rPr>
              <w:t>本项目主要进行</w:t>
            </w:r>
            <w:r>
              <w:rPr>
                <w:rFonts w:hint="eastAsia"/>
                <w:color w:val="auto"/>
                <w:szCs w:val="21"/>
              </w:rPr>
              <w:t>鞋服装饰配件及文具生产</w:t>
            </w:r>
            <w:r>
              <w:rPr>
                <w:rFonts w:hint="eastAsia" w:cs="宋体"/>
                <w:color w:val="auto"/>
                <w:kern w:val="0"/>
                <w:lang w:bidi="en-US"/>
              </w:rPr>
              <w:t>，其中</w:t>
            </w:r>
            <w:r>
              <w:rPr>
                <w:rFonts w:hint="eastAsia"/>
                <w:color w:val="auto"/>
                <w:szCs w:val="21"/>
              </w:rPr>
              <w:t>鞋服装饰配件产品</w:t>
            </w:r>
            <w:r>
              <w:rPr>
                <w:rFonts w:hint="eastAsia" w:cs="宋体"/>
                <w:color w:val="auto"/>
                <w:kern w:val="0"/>
                <w:lang w:bidi="en-US"/>
              </w:rPr>
              <w:t>属于宿州经济技术开发区主要产业中鞋服产业的配套行业，可为开发区内制鞋企业提供鞋服装饰配件。因此，本项目建设符合宿州经济技术开发区总体发展规划（2016-2030）要求。</w:t>
            </w:r>
          </w:p>
          <w:p w14:paraId="7ADBBF86">
            <w:pPr>
              <w:wordWrap w:val="0"/>
              <w:autoSpaceDE w:val="0"/>
              <w:autoSpaceDN w:val="0"/>
              <w:adjustRightInd w:val="0"/>
              <w:snapToGrid w:val="0"/>
              <w:ind w:firstLine="482"/>
              <w:jc w:val="left"/>
              <w:rPr>
                <w:b/>
                <w:bCs/>
                <w:color w:val="auto"/>
                <w:kern w:val="0"/>
                <w:szCs w:val="28"/>
              </w:rPr>
            </w:pPr>
            <w:r>
              <w:rPr>
                <w:b/>
                <w:bCs/>
                <w:color w:val="auto"/>
                <w:kern w:val="0"/>
                <w:szCs w:val="28"/>
              </w:rPr>
              <w:t>2、与《安徽省环保厅关于宿州经济技术开发区总体发展规划环境影响报告书》</w:t>
            </w:r>
            <w:r>
              <w:rPr>
                <w:rFonts w:hint="eastAsia"/>
                <w:b/>
                <w:bCs/>
                <w:color w:val="auto"/>
                <w:kern w:val="0"/>
                <w:szCs w:val="28"/>
              </w:rPr>
              <w:t>及其</w:t>
            </w:r>
            <w:r>
              <w:rPr>
                <w:b/>
                <w:bCs/>
                <w:color w:val="auto"/>
                <w:kern w:val="0"/>
                <w:szCs w:val="28"/>
              </w:rPr>
              <w:t>审查意见的相符性分析</w:t>
            </w:r>
          </w:p>
          <w:p w14:paraId="4151BA77">
            <w:pPr>
              <w:pStyle w:val="58"/>
              <w:ind w:firstLine="422"/>
              <w:rPr>
                <w:color w:val="auto"/>
              </w:rPr>
            </w:pPr>
            <w:r>
              <w:rPr>
                <w:color w:val="auto"/>
              </w:rPr>
              <w:t>表1-1与园区规划环评审查意见的相符性分析</w:t>
            </w:r>
          </w:p>
          <w:tbl>
            <w:tblPr>
              <w:tblStyle w:val="38"/>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986"/>
              <w:gridCol w:w="3059"/>
            </w:tblGrid>
            <w:tr w14:paraId="4F0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7F531EBA">
                  <w:pPr>
                    <w:pStyle w:val="57"/>
                    <w:rPr>
                      <w:rFonts w:hint="eastAsia"/>
                      <w:b/>
                      <w:bCs w:val="0"/>
                      <w:color w:val="auto"/>
                    </w:rPr>
                  </w:pPr>
                  <w:r>
                    <w:rPr>
                      <w:rFonts w:hint="eastAsia"/>
                      <w:b/>
                      <w:bCs w:val="0"/>
                      <w:color w:val="auto"/>
                    </w:rPr>
                    <w:t>序号</w:t>
                  </w:r>
                </w:p>
              </w:tc>
              <w:tc>
                <w:tcPr>
                  <w:tcW w:w="3986" w:type="dxa"/>
                  <w:tcBorders>
                    <w:tl2br w:val="nil"/>
                    <w:tr2bl w:val="nil"/>
                  </w:tcBorders>
                  <w:vAlign w:val="center"/>
                </w:tcPr>
                <w:p w14:paraId="7BD8C1B6">
                  <w:pPr>
                    <w:pStyle w:val="57"/>
                    <w:rPr>
                      <w:rFonts w:hint="eastAsia"/>
                      <w:b/>
                      <w:bCs w:val="0"/>
                      <w:color w:val="auto"/>
                    </w:rPr>
                  </w:pPr>
                  <w:r>
                    <w:rPr>
                      <w:rFonts w:hint="eastAsia"/>
                      <w:b/>
                      <w:bCs w:val="0"/>
                      <w:color w:val="auto"/>
                    </w:rPr>
                    <w:t>规划内容</w:t>
                  </w:r>
                </w:p>
              </w:tc>
              <w:tc>
                <w:tcPr>
                  <w:tcW w:w="3059" w:type="dxa"/>
                  <w:tcBorders>
                    <w:tl2br w:val="nil"/>
                    <w:tr2bl w:val="nil"/>
                  </w:tcBorders>
                  <w:vAlign w:val="center"/>
                </w:tcPr>
                <w:p w14:paraId="45C180BF">
                  <w:pPr>
                    <w:pStyle w:val="57"/>
                    <w:rPr>
                      <w:rFonts w:hint="eastAsia"/>
                      <w:b/>
                      <w:bCs w:val="0"/>
                      <w:color w:val="auto"/>
                    </w:rPr>
                  </w:pPr>
                  <w:r>
                    <w:rPr>
                      <w:rFonts w:hint="eastAsia"/>
                      <w:b/>
                      <w:bCs w:val="0"/>
                      <w:color w:val="auto"/>
                    </w:rPr>
                    <w:t>符合性分析</w:t>
                  </w:r>
                </w:p>
              </w:tc>
            </w:tr>
            <w:tr w14:paraId="7615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5258F9DD">
                  <w:pPr>
                    <w:pStyle w:val="57"/>
                    <w:rPr>
                      <w:rFonts w:hint="eastAsia"/>
                      <w:color w:val="auto"/>
                    </w:rPr>
                  </w:pPr>
                  <w:r>
                    <w:rPr>
                      <w:rFonts w:hint="eastAsia"/>
                      <w:color w:val="auto"/>
                    </w:rPr>
                    <w:t>1</w:t>
                  </w:r>
                </w:p>
              </w:tc>
              <w:tc>
                <w:tcPr>
                  <w:tcW w:w="3986" w:type="dxa"/>
                  <w:tcBorders>
                    <w:tl2br w:val="nil"/>
                    <w:tr2bl w:val="nil"/>
                  </w:tcBorders>
                  <w:vAlign w:val="center"/>
                </w:tcPr>
                <w:p w14:paraId="7F5ECF14">
                  <w:pPr>
                    <w:pStyle w:val="57"/>
                    <w:rPr>
                      <w:rFonts w:hint="eastAsia"/>
                      <w:color w:val="auto"/>
                    </w:rPr>
                  </w:pPr>
                  <w:r>
                    <w:rPr>
                      <w:rFonts w:hint="eastAsia"/>
                      <w:color w:val="auto"/>
                    </w:rPr>
                    <w:t>开发区主导产业为生物医药化工、鞋帽服装、高端装备制造、新材料和新能源</w:t>
                  </w:r>
                </w:p>
              </w:tc>
              <w:tc>
                <w:tcPr>
                  <w:tcW w:w="3059" w:type="dxa"/>
                  <w:tcBorders>
                    <w:tl2br w:val="nil"/>
                    <w:tr2bl w:val="nil"/>
                  </w:tcBorders>
                  <w:vAlign w:val="center"/>
                </w:tcPr>
                <w:p w14:paraId="41B08FC1">
                  <w:pPr>
                    <w:pStyle w:val="57"/>
                    <w:rPr>
                      <w:color w:val="auto"/>
                    </w:rPr>
                  </w:pPr>
                  <w:r>
                    <w:rPr>
                      <w:rFonts w:hint="eastAsia"/>
                      <w:color w:val="auto"/>
                    </w:rPr>
                    <w:t>本项目主要进行鞋服装饰配件及文具生产，属于宿州经济技术开发区主要产业中鞋服产业的配套行业，可为开发区内制鞋企业提供鞋服装饰配件，符合总体规划要求</w:t>
                  </w:r>
                </w:p>
              </w:tc>
            </w:tr>
            <w:tr w14:paraId="690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76FFB876">
                  <w:pPr>
                    <w:pStyle w:val="57"/>
                    <w:rPr>
                      <w:rFonts w:hint="eastAsia"/>
                      <w:color w:val="auto"/>
                    </w:rPr>
                  </w:pPr>
                  <w:r>
                    <w:rPr>
                      <w:rFonts w:hint="eastAsia"/>
                      <w:color w:val="auto"/>
                    </w:rPr>
                    <w:t>2</w:t>
                  </w:r>
                </w:p>
              </w:tc>
              <w:tc>
                <w:tcPr>
                  <w:tcW w:w="3986" w:type="dxa"/>
                  <w:tcBorders>
                    <w:tl2br w:val="nil"/>
                    <w:tr2bl w:val="nil"/>
                  </w:tcBorders>
                  <w:vAlign w:val="center"/>
                </w:tcPr>
                <w:p w14:paraId="122FF58D">
                  <w:pPr>
                    <w:pStyle w:val="57"/>
                    <w:rPr>
                      <w:rFonts w:hint="eastAsia"/>
                      <w:color w:val="auto"/>
                    </w:rPr>
                  </w:pPr>
                  <w:r>
                    <w:rPr>
                      <w:rFonts w:hint="eastAsia"/>
                      <w:color w:val="auto"/>
                    </w:rPr>
                    <w:t>充分考虑开发区内外居住区域环境要求，进一步优化调整开发区空间布局、组团结构，设置生态隔离措施，减轻和避免各功能区之间、项目之间的相互影响。化工产业片区设置的环境防护距离应符合环评函[2011]892号文要求。严格控制开发区周边用地规划，加强对敏感点的保护。开发区内现有天然水体应予以保留。</w:t>
                  </w:r>
                </w:p>
              </w:tc>
              <w:tc>
                <w:tcPr>
                  <w:tcW w:w="3059" w:type="dxa"/>
                  <w:tcBorders>
                    <w:tl2br w:val="nil"/>
                    <w:tr2bl w:val="nil"/>
                  </w:tcBorders>
                  <w:vAlign w:val="center"/>
                </w:tcPr>
                <w:p w14:paraId="4CC284E0">
                  <w:pPr>
                    <w:pStyle w:val="57"/>
                    <w:rPr>
                      <w:color w:val="auto"/>
                    </w:rPr>
                  </w:pPr>
                  <w:r>
                    <w:rPr>
                      <w:rFonts w:hint="eastAsia"/>
                      <w:color w:val="auto"/>
                    </w:rPr>
                    <w:t>本项目位于陈河路与鞋城八路交叉口东南角，周边均为制鞋企业与本项目相容，最近居民点位于东北侧319m处的洪学庄，对敏感点影响较小</w:t>
                  </w:r>
                </w:p>
              </w:tc>
            </w:tr>
            <w:tr w14:paraId="1059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7" w:type="dxa"/>
                  <w:tcBorders>
                    <w:tl2br w:val="nil"/>
                    <w:tr2bl w:val="nil"/>
                  </w:tcBorders>
                  <w:vAlign w:val="center"/>
                </w:tcPr>
                <w:p w14:paraId="4422084C">
                  <w:pPr>
                    <w:pStyle w:val="57"/>
                    <w:rPr>
                      <w:rFonts w:hint="eastAsia"/>
                      <w:color w:val="auto"/>
                    </w:rPr>
                  </w:pPr>
                  <w:r>
                    <w:rPr>
                      <w:rFonts w:hint="eastAsia"/>
                      <w:color w:val="auto"/>
                    </w:rPr>
                    <w:t>3</w:t>
                  </w:r>
                </w:p>
              </w:tc>
              <w:tc>
                <w:tcPr>
                  <w:tcW w:w="3986" w:type="dxa"/>
                  <w:tcBorders>
                    <w:tl2br w:val="nil"/>
                    <w:tr2bl w:val="nil"/>
                  </w:tcBorders>
                  <w:vAlign w:val="center"/>
                </w:tcPr>
                <w:p w14:paraId="6A79FA2D">
                  <w:pPr>
                    <w:pStyle w:val="57"/>
                    <w:rPr>
                      <w:rFonts w:hint="eastAsia"/>
                      <w:color w:val="auto"/>
                    </w:rPr>
                  </w:pPr>
                  <w:r>
                    <w:rPr>
                      <w:rFonts w:hint="eastAsia"/>
                      <w:color w:val="auto"/>
                    </w:rPr>
                    <w:t>强化水资源管理，提高工业水重复利用率和中水回用率。制定并实施开发区节水和中水利用规划，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w:t>
                  </w:r>
                </w:p>
              </w:tc>
              <w:tc>
                <w:tcPr>
                  <w:tcW w:w="3059" w:type="dxa"/>
                  <w:tcBorders>
                    <w:tl2br w:val="nil"/>
                    <w:tr2bl w:val="nil"/>
                  </w:tcBorders>
                  <w:vAlign w:val="center"/>
                </w:tcPr>
                <w:p w14:paraId="77022D8F">
                  <w:pPr>
                    <w:pStyle w:val="57"/>
                    <w:rPr>
                      <w:color w:val="auto"/>
                    </w:rPr>
                  </w:pPr>
                  <w:r>
                    <w:rPr>
                      <w:rFonts w:hint="eastAsia"/>
                      <w:color w:val="auto"/>
                    </w:rPr>
                    <w:t>本项目不属于高耗水、高耗能、污水排放量大的项目，项目用水为自来水，不取用地下水</w:t>
                  </w:r>
                </w:p>
              </w:tc>
            </w:tr>
            <w:tr w14:paraId="23E6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11DD1642">
                  <w:pPr>
                    <w:pStyle w:val="57"/>
                    <w:rPr>
                      <w:rFonts w:hint="eastAsia"/>
                      <w:color w:val="auto"/>
                    </w:rPr>
                  </w:pPr>
                  <w:r>
                    <w:rPr>
                      <w:rFonts w:hint="eastAsia"/>
                      <w:color w:val="auto"/>
                    </w:rPr>
                    <w:t>4</w:t>
                  </w:r>
                </w:p>
              </w:tc>
              <w:tc>
                <w:tcPr>
                  <w:tcW w:w="3986" w:type="dxa"/>
                  <w:tcBorders>
                    <w:tl2br w:val="nil"/>
                    <w:tr2bl w:val="nil"/>
                  </w:tcBorders>
                  <w:vAlign w:val="center"/>
                </w:tcPr>
                <w:p w14:paraId="2ABC4C0C">
                  <w:pPr>
                    <w:pStyle w:val="57"/>
                    <w:rPr>
                      <w:rFonts w:hint="eastAsia"/>
                      <w:color w:val="auto"/>
                    </w:rPr>
                  </w:pPr>
                  <w:r>
                    <w:rPr>
                      <w:rFonts w:hint="eastAsia"/>
                      <w:color w:val="auto"/>
                    </w:rPr>
                    <w:t>在规划确定的开发区产业定位总体框架下，根据当地环境容量和资源情况，合理确定生物医药化工产业规模，生物医药化工企业应集中布置在规划的化工片区，进一步优化发展重点，严格控制非主导产业项目入区。对不符合开发区产业定位和环保要求以及容易引起突发性环境风险的项目应禁止入区建设。入区项目要采用先进的生产工艺和装备，采用高水平的污染治理措施。清洁生产水平现阶段要按国内先进水平要求，并逐步提高，最大限度控制开发区污染物排放量和排放强度。建立并实施不符合规划、产业准入和环保准入条件项目的退出机制。</w:t>
                  </w:r>
                </w:p>
              </w:tc>
              <w:tc>
                <w:tcPr>
                  <w:tcW w:w="3059" w:type="dxa"/>
                  <w:tcBorders>
                    <w:tl2br w:val="nil"/>
                    <w:tr2bl w:val="nil"/>
                  </w:tcBorders>
                  <w:vAlign w:val="center"/>
                </w:tcPr>
                <w:p w14:paraId="701E144E">
                  <w:pPr>
                    <w:pStyle w:val="57"/>
                    <w:rPr>
                      <w:rFonts w:hint="eastAsia"/>
                      <w:color w:val="auto"/>
                    </w:rPr>
                  </w:pPr>
                  <w:r>
                    <w:rPr>
                      <w:rFonts w:hint="eastAsia"/>
                      <w:color w:val="auto"/>
                    </w:rPr>
                    <w:t>本项目不属于生物医药化工行业；生产过程环境风险较小；本项目采用先进工艺和设备，治理措施可靠</w:t>
                  </w:r>
                </w:p>
              </w:tc>
            </w:tr>
            <w:tr w14:paraId="2FD7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26AB168F">
                  <w:pPr>
                    <w:pStyle w:val="57"/>
                    <w:rPr>
                      <w:rFonts w:hint="eastAsia"/>
                      <w:color w:val="auto"/>
                    </w:rPr>
                  </w:pPr>
                  <w:r>
                    <w:rPr>
                      <w:rFonts w:hint="eastAsia"/>
                      <w:color w:val="auto"/>
                    </w:rPr>
                    <w:t>5</w:t>
                  </w:r>
                </w:p>
              </w:tc>
              <w:tc>
                <w:tcPr>
                  <w:tcW w:w="3986" w:type="dxa"/>
                  <w:tcBorders>
                    <w:tl2br w:val="nil"/>
                    <w:tr2bl w:val="nil"/>
                  </w:tcBorders>
                  <w:vAlign w:val="center"/>
                </w:tcPr>
                <w:p w14:paraId="1ED114D5">
                  <w:pPr>
                    <w:pStyle w:val="57"/>
                    <w:rPr>
                      <w:rFonts w:hint="eastAsia"/>
                      <w:color w:val="auto"/>
                    </w:rPr>
                  </w:pPr>
                  <w:r>
                    <w:rPr>
                      <w:rFonts w:hint="eastAsia"/>
                      <w:color w:val="auto"/>
                    </w:rPr>
                    <w:t>坚持环保优先原则，强化环保基础设施建设。实施开发区内清污分流、雨污分流和污水集中处理，开发区京沪铁路以西片区污水依托城南污水处理厂，以东片区污水排入开发区污水处理厂，应加快污水管网建设,对区内污水实行全收集、全处理。在此之前，开发区不得新建排放水污染物的项目。适时配套建设中水厂，进一步提高中水回用率</w:t>
                  </w:r>
                </w:p>
              </w:tc>
              <w:tc>
                <w:tcPr>
                  <w:tcW w:w="3059" w:type="dxa"/>
                  <w:tcBorders>
                    <w:tl2br w:val="nil"/>
                    <w:tr2bl w:val="nil"/>
                  </w:tcBorders>
                  <w:vAlign w:val="center"/>
                </w:tcPr>
                <w:p w14:paraId="6B82AC2F">
                  <w:pPr>
                    <w:pStyle w:val="57"/>
                    <w:rPr>
                      <w:rFonts w:hint="eastAsia"/>
                      <w:color w:val="auto"/>
                    </w:rPr>
                  </w:pPr>
                  <w:r>
                    <w:rPr>
                      <w:rFonts w:hint="eastAsia"/>
                      <w:color w:val="auto"/>
                    </w:rPr>
                    <w:t>本项目雨污分流，污水经化粪池预处理后，接入城南污水处理厂处理</w:t>
                  </w:r>
                </w:p>
              </w:tc>
            </w:tr>
            <w:tr w14:paraId="752E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1AE47EE5">
                  <w:pPr>
                    <w:pStyle w:val="57"/>
                    <w:rPr>
                      <w:rFonts w:hint="eastAsia"/>
                      <w:color w:val="auto"/>
                    </w:rPr>
                  </w:pPr>
                  <w:r>
                    <w:rPr>
                      <w:rFonts w:hint="eastAsia"/>
                      <w:color w:val="auto"/>
                    </w:rPr>
                    <w:t>6</w:t>
                  </w:r>
                </w:p>
              </w:tc>
              <w:tc>
                <w:tcPr>
                  <w:tcW w:w="3986" w:type="dxa"/>
                  <w:tcBorders>
                    <w:tl2br w:val="nil"/>
                    <w:tr2bl w:val="nil"/>
                  </w:tcBorders>
                  <w:vAlign w:val="center"/>
                </w:tcPr>
                <w:p w14:paraId="32E86AEE">
                  <w:pPr>
                    <w:pStyle w:val="57"/>
                    <w:rPr>
                      <w:rFonts w:hint="eastAsia"/>
                      <w:color w:val="auto"/>
                    </w:rPr>
                  </w:pPr>
                  <w:r>
                    <w:rPr>
                      <w:rFonts w:hint="eastAsia"/>
                      <w:color w:val="auto"/>
                    </w:rPr>
                    <w:t>落实各项水环境保护措施，确保开发区建设不降:低地表水、地下水环境质量和水体功能。全面落实《安徽省大气污染防治行动计划实施方案》各项要求，禁止新建小型燃煤锅炉。开发区内企业应加强对废气尤其是有毒及恶臭气体的收集和处理，严格控制挥发性有机物、有毒及恶臭气体的排放，配备相应的环境应急处置设施。</w:t>
                  </w:r>
                </w:p>
              </w:tc>
              <w:tc>
                <w:tcPr>
                  <w:tcW w:w="3059" w:type="dxa"/>
                  <w:tcBorders>
                    <w:tl2br w:val="nil"/>
                    <w:tr2bl w:val="nil"/>
                  </w:tcBorders>
                  <w:vAlign w:val="center"/>
                </w:tcPr>
                <w:p w14:paraId="17C66930">
                  <w:pPr>
                    <w:pStyle w:val="57"/>
                    <w:rPr>
                      <w:rFonts w:hint="eastAsia"/>
                      <w:color w:val="auto"/>
                    </w:rPr>
                  </w:pPr>
                  <w:r>
                    <w:rPr>
                      <w:rFonts w:hint="eastAsia"/>
                      <w:color w:val="auto"/>
                    </w:rPr>
                    <w:t>本项目注塑废气、热转印废气、印刷、烘干废气、注墨废气工序产生的有机废气经集气装置收集并通过二级活性炭处理后排放，不设锅炉</w:t>
                  </w:r>
                </w:p>
              </w:tc>
            </w:tr>
            <w:tr w14:paraId="3DA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4CA02DB8">
                  <w:pPr>
                    <w:pStyle w:val="57"/>
                    <w:rPr>
                      <w:rFonts w:hint="eastAsia"/>
                      <w:color w:val="auto"/>
                    </w:rPr>
                  </w:pPr>
                  <w:r>
                    <w:rPr>
                      <w:rFonts w:hint="eastAsia"/>
                      <w:color w:val="auto"/>
                    </w:rPr>
                    <w:t>7</w:t>
                  </w:r>
                </w:p>
              </w:tc>
              <w:tc>
                <w:tcPr>
                  <w:tcW w:w="3986" w:type="dxa"/>
                  <w:tcBorders>
                    <w:tl2br w:val="nil"/>
                    <w:tr2bl w:val="nil"/>
                  </w:tcBorders>
                  <w:vAlign w:val="center"/>
                </w:tcPr>
                <w:p w14:paraId="0DCAD41F">
                  <w:pPr>
                    <w:pStyle w:val="57"/>
                    <w:rPr>
                      <w:rFonts w:hint="eastAsia"/>
                      <w:color w:val="auto"/>
                    </w:rPr>
                  </w:pPr>
                  <w:r>
                    <w:rPr>
                      <w:rFonts w:hint="eastAsia"/>
                      <w:color w:val="auto"/>
                    </w:rPr>
                    <w:t>全面加强危险化学品和危险废物管理。开发区应建立危险化学品和危险废物信息库并及时动态更新。入区企业应按要求进行危险化学品环境管理登记，建立化学品环境管理台账和信息档案，加强化学品环境风险管理。危险废物应按有关规定安全收集、暂存、处置。确定专人对危险废物进行管理，建立危险废物环境管理台账和信息档案，严格执行危险废物转移联单制度。化工污水处理单元产生的污泥应进行甄别，属危险废物的须按照危险废物进行管理。</w:t>
                  </w:r>
                </w:p>
              </w:tc>
              <w:tc>
                <w:tcPr>
                  <w:tcW w:w="3059" w:type="dxa"/>
                  <w:tcBorders>
                    <w:tl2br w:val="nil"/>
                    <w:tr2bl w:val="nil"/>
                  </w:tcBorders>
                  <w:vAlign w:val="center"/>
                </w:tcPr>
                <w:p w14:paraId="0BDD2255">
                  <w:pPr>
                    <w:pStyle w:val="57"/>
                    <w:rPr>
                      <w:rFonts w:hint="eastAsia"/>
                      <w:color w:val="auto"/>
                    </w:rPr>
                  </w:pPr>
                  <w:r>
                    <w:rPr>
                      <w:rFonts w:hint="eastAsia"/>
                      <w:color w:val="auto"/>
                    </w:rPr>
                    <w:t>本项目对产生的危废设置危废暂存间暂存和管理</w:t>
                  </w:r>
                </w:p>
              </w:tc>
            </w:tr>
            <w:tr w14:paraId="13A3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Borders>
                    <w:tl2br w:val="nil"/>
                    <w:tr2bl w:val="nil"/>
                  </w:tcBorders>
                  <w:vAlign w:val="center"/>
                </w:tcPr>
                <w:p w14:paraId="1256ED71">
                  <w:pPr>
                    <w:pStyle w:val="57"/>
                    <w:rPr>
                      <w:rFonts w:hint="eastAsia"/>
                      <w:color w:val="auto"/>
                    </w:rPr>
                  </w:pPr>
                  <w:r>
                    <w:rPr>
                      <w:rFonts w:hint="eastAsia"/>
                      <w:color w:val="auto"/>
                    </w:rPr>
                    <w:t>8</w:t>
                  </w:r>
                </w:p>
              </w:tc>
              <w:tc>
                <w:tcPr>
                  <w:tcW w:w="3986" w:type="dxa"/>
                  <w:tcBorders>
                    <w:tl2br w:val="nil"/>
                    <w:tr2bl w:val="nil"/>
                  </w:tcBorders>
                  <w:vAlign w:val="center"/>
                </w:tcPr>
                <w:p w14:paraId="7CB07ABB">
                  <w:pPr>
                    <w:pStyle w:val="57"/>
                    <w:rPr>
                      <w:rFonts w:hint="eastAsia"/>
                      <w:color w:val="auto"/>
                    </w:rPr>
                  </w:pPr>
                  <w:r>
                    <w:rPr>
                      <w:rFonts w:hint="eastAsia"/>
                      <w:color w:val="auto"/>
                    </w:rPr>
                    <w:t>加强环境保护制度建设和管理。入区建设项目应认真履行环保法律法规要求，严格执行环境影响评价制度和环保“三同时”制度</w:t>
                  </w:r>
                </w:p>
              </w:tc>
              <w:tc>
                <w:tcPr>
                  <w:tcW w:w="3059" w:type="dxa"/>
                  <w:tcBorders>
                    <w:tl2br w:val="nil"/>
                    <w:tr2bl w:val="nil"/>
                  </w:tcBorders>
                  <w:vAlign w:val="center"/>
                </w:tcPr>
                <w:p w14:paraId="349CA130">
                  <w:pPr>
                    <w:pStyle w:val="57"/>
                    <w:rPr>
                      <w:rFonts w:hint="eastAsia"/>
                      <w:color w:val="auto"/>
                    </w:rPr>
                  </w:pPr>
                  <w:r>
                    <w:rPr>
                      <w:rFonts w:hint="eastAsia"/>
                      <w:color w:val="auto"/>
                    </w:rPr>
                    <w:t>本项目依法开展环评手续</w:t>
                  </w:r>
                </w:p>
              </w:tc>
            </w:tr>
          </w:tbl>
          <w:p w14:paraId="700434AE">
            <w:pPr>
              <w:pStyle w:val="58"/>
              <w:ind w:firstLine="0" w:firstLineChars="0"/>
              <w:jc w:val="both"/>
              <w:rPr>
                <w:color w:val="auto"/>
              </w:rPr>
            </w:pPr>
          </w:p>
          <w:p w14:paraId="59605551">
            <w:pPr>
              <w:pStyle w:val="58"/>
              <w:ind w:firstLine="0" w:firstLineChars="0"/>
              <w:jc w:val="both"/>
              <w:rPr>
                <w:color w:val="auto"/>
              </w:rPr>
            </w:pPr>
          </w:p>
        </w:tc>
      </w:tr>
      <w:tr w14:paraId="3E65F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4" w:type="pct"/>
            <w:vAlign w:val="center"/>
          </w:tcPr>
          <w:p w14:paraId="0E30300C">
            <w:pPr>
              <w:autoSpaceDE w:val="0"/>
              <w:autoSpaceDN w:val="0"/>
              <w:adjustRightInd w:val="0"/>
              <w:snapToGrid w:val="0"/>
              <w:ind w:firstLine="0" w:firstLineChars="0"/>
              <w:jc w:val="center"/>
              <w:rPr>
                <w:color w:val="auto"/>
                <w:kern w:val="0"/>
              </w:rPr>
            </w:pPr>
            <w:r>
              <w:rPr>
                <w:b/>
                <w:bCs/>
                <w:color w:val="auto"/>
                <w:kern w:val="0"/>
              </w:rPr>
              <w:t>其他符合性分析</w:t>
            </w:r>
          </w:p>
        </w:tc>
        <w:tc>
          <w:tcPr>
            <w:tcW w:w="4365" w:type="pct"/>
            <w:gridSpan w:val="3"/>
            <w:vAlign w:val="center"/>
          </w:tcPr>
          <w:p w14:paraId="228CD9A6">
            <w:pPr>
              <w:widowControl/>
              <w:ind w:firstLine="482"/>
              <w:jc w:val="left"/>
              <w:rPr>
                <w:b/>
                <w:bCs/>
                <w:color w:val="auto"/>
              </w:rPr>
            </w:pPr>
            <w:r>
              <w:rPr>
                <w:rFonts w:hint="eastAsia"/>
                <w:b/>
                <w:bCs/>
                <w:color w:val="auto"/>
              </w:rPr>
              <w:t>1</w:t>
            </w:r>
            <w:r>
              <w:rPr>
                <w:b/>
                <w:bCs/>
                <w:color w:val="auto"/>
              </w:rPr>
              <w:t>、</w:t>
            </w:r>
            <w:r>
              <w:rPr>
                <w:rFonts w:hint="eastAsia"/>
                <w:b/>
                <w:bCs/>
                <w:color w:val="auto"/>
              </w:rPr>
              <w:t>“</w:t>
            </w:r>
            <w:r>
              <w:rPr>
                <w:b/>
                <w:bCs/>
                <w:color w:val="auto"/>
              </w:rPr>
              <w:t>三线一单</w:t>
            </w:r>
            <w:r>
              <w:rPr>
                <w:rFonts w:hint="eastAsia"/>
                <w:b/>
                <w:bCs/>
                <w:color w:val="auto"/>
              </w:rPr>
              <w:t>”</w:t>
            </w:r>
            <w:r>
              <w:rPr>
                <w:b/>
                <w:bCs/>
                <w:color w:val="auto"/>
              </w:rPr>
              <w:t>相符性分析</w:t>
            </w:r>
          </w:p>
          <w:p w14:paraId="2F31F71C">
            <w:pPr>
              <w:adjustRightInd w:val="0"/>
              <w:snapToGrid w:val="0"/>
              <w:ind w:firstLine="480"/>
              <w:jc w:val="left"/>
              <w:rPr>
                <w:color w:val="auto"/>
                <w:szCs w:val="32"/>
              </w:rPr>
            </w:pPr>
            <w:r>
              <w:rPr>
                <w:color w:val="auto"/>
                <w:szCs w:val="32"/>
              </w:rPr>
              <w:t>①与生态保护红线相符性分析</w:t>
            </w:r>
          </w:p>
          <w:p w14:paraId="0E54B912">
            <w:pPr>
              <w:adjustRightInd w:val="0"/>
              <w:snapToGrid w:val="0"/>
              <w:ind w:firstLine="480"/>
              <w:jc w:val="left"/>
              <w:rPr>
                <w:color w:val="auto"/>
                <w:szCs w:val="32"/>
              </w:rPr>
            </w:pPr>
            <w:r>
              <w:rPr>
                <w:color w:val="auto"/>
                <w:szCs w:val="32"/>
              </w:rPr>
              <w:t>宿州市生态保护红线已由宿州市人民政府于2020年12月发布。宿州市生态保护红线基于安徽省政府发布的《安徽省生态保护红线》（皖政秘【2018】120号），宿州市的生态保护红线主要分布在以下片区：</w:t>
            </w:r>
          </w:p>
          <w:p w14:paraId="602B972C">
            <w:pPr>
              <w:pStyle w:val="58"/>
              <w:ind w:firstLine="422"/>
              <w:rPr>
                <w:color w:val="auto"/>
              </w:rPr>
            </w:pPr>
            <w:r>
              <w:rPr>
                <w:color w:val="auto"/>
              </w:rPr>
              <w:t>表1-</w:t>
            </w:r>
            <w:r>
              <w:rPr>
                <w:rFonts w:hint="eastAsia"/>
                <w:color w:val="auto"/>
                <w:lang w:val="en-US" w:eastAsia="zh-CN"/>
              </w:rPr>
              <w:t>2</w:t>
            </w:r>
            <w:r>
              <w:rPr>
                <w:color w:val="auto"/>
              </w:rPr>
              <w:t>宿州市生态保护红线登记表</w:t>
            </w:r>
          </w:p>
          <w:tbl>
            <w:tblPr>
              <w:tblStyle w:val="1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77"/>
              <w:gridCol w:w="1052"/>
              <w:gridCol w:w="2731"/>
              <w:gridCol w:w="1309"/>
              <w:gridCol w:w="859"/>
            </w:tblGrid>
            <w:tr w14:paraId="03FC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Align w:val="center"/>
                </w:tcPr>
                <w:p w14:paraId="7D313686">
                  <w:pPr>
                    <w:pStyle w:val="145"/>
                    <w:rPr>
                      <w:b/>
                      <w:bCs w:val="0"/>
                      <w:color w:val="auto"/>
                    </w:rPr>
                  </w:pPr>
                  <w:r>
                    <w:rPr>
                      <w:b/>
                      <w:bCs w:val="0"/>
                      <w:color w:val="auto"/>
                    </w:rPr>
                    <w:t>类型</w:t>
                  </w:r>
                </w:p>
              </w:tc>
              <w:tc>
                <w:tcPr>
                  <w:tcW w:w="738" w:type="pct"/>
                  <w:vAlign w:val="center"/>
                </w:tcPr>
                <w:p w14:paraId="1A53410A">
                  <w:pPr>
                    <w:pStyle w:val="145"/>
                    <w:rPr>
                      <w:b/>
                      <w:bCs w:val="0"/>
                      <w:color w:val="auto"/>
                    </w:rPr>
                  </w:pPr>
                  <w:r>
                    <w:rPr>
                      <w:b/>
                      <w:bCs w:val="0"/>
                      <w:color w:val="auto"/>
                    </w:rPr>
                    <w:t>名称</w:t>
                  </w:r>
                </w:p>
              </w:tc>
              <w:tc>
                <w:tcPr>
                  <w:tcW w:w="660" w:type="pct"/>
                  <w:vAlign w:val="center"/>
                </w:tcPr>
                <w:p w14:paraId="03731570">
                  <w:pPr>
                    <w:pStyle w:val="145"/>
                    <w:rPr>
                      <w:b/>
                      <w:bCs w:val="0"/>
                      <w:color w:val="auto"/>
                    </w:rPr>
                  </w:pPr>
                  <w:r>
                    <w:rPr>
                      <w:b/>
                      <w:bCs w:val="0"/>
                      <w:color w:val="auto"/>
                    </w:rPr>
                    <w:t>生态系统特征</w:t>
                  </w:r>
                </w:p>
              </w:tc>
              <w:tc>
                <w:tcPr>
                  <w:tcW w:w="1712" w:type="pct"/>
                  <w:vAlign w:val="center"/>
                </w:tcPr>
                <w:p w14:paraId="61F8169A">
                  <w:pPr>
                    <w:pStyle w:val="145"/>
                    <w:rPr>
                      <w:b/>
                      <w:bCs w:val="0"/>
                      <w:color w:val="auto"/>
                    </w:rPr>
                  </w:pPr>
                  <w:r>
                    <w:rPr>
                      <w:b/>
                      <w:bCs w:val="0"/>
                      <w:color w:val="auto"/>
                    </w:rPr>
                    <w:t>保护地名录</w:t>
                  </w:r>
                </w:p>
              </w:tc>
              <w:tc>
                <w:tcPr>
                  <w:tcW w:w="821" w:type="pct"/>
                  <w:vAlign w:val="center"/>
                </w:tcPr>
                <w:p w14:paraId="2B2FEBAA">
                  <w:pPr>
                    <w:pStyle w:val="145"/>
                    <w:rPr>
                      <w:b/>
                      <w:bCs w:val="0"/>
                      <w:color w:val="auto"/>
                    </w:rPr>
                  </w:pPr>
                  <w:r>
                    <w:rPr>
                      <w:b/>
                      <w:bCs w:val="0"/>
                      <w:color w:val="auto"/>
                    </w:rPr>
                    <w:t>所属</w:t>
                  </w:r>
                </w:p>
                <w:p w14:paraId="3F633647">
                  <w:pPr>
                    <w:pStyle w:val="145"/>
                    <w:rPr>
                      <w:b/>
                      <w:bCs w:val="0"/>
                      <w:color w:val="auto"/>
                    </w:rPr>
                  </w:pPr>
                  <w:r>
                    <w:rPr>
                      <w:b/>
                      <w:bCs w:val="0"/>
                      <w:color w:val="auto"/>
                    </w:rPr>
                    <w:t>行政区</w:t>
                  </w:r>
                </w:p>
              </w:tc>
              <w:tc>
                <w:tcPr>
                  <w:tcW w:w="539" w:type="pct"/>
                  <w:vAlign w:val="center"/>
                </w:tcPr>
                <w:p w14:paraId="1B76EC02">
                  <w:pPr>
                    <w:pStyle w:val="145"/>
                    <w:rPr>
                      <w:b/>
                      <w:bCs w:val="0"/>
                      <w:color w:val="auto"/>
                    </w:rPr>
                  </w:pPr>
                  <w:r>
                    <w:rPr>
                      <w:b/>
                      <w:bCs w:val="0"/>
                      <w:color w:val="auto"/>
                    </w:rPr>
                    <w:t>面积</w:t>
                  </w:r>
                </w:p>
                <w:p w14:paraId="467AB863">
                  <w:pPr>
                    <w:pStyle w:val="145"/>
                    <w:rPr>
                      <w:b/>
                      <w:bCs w:val="0"/>
                      <w:color w:val="auto"/>
                    </w:rPr>
                  </w:pPr>
                  <w:r>
                    <w:rPr>
                      <w:b/>
                      <w:bCs w:val="0"/>
                      <w:color w:val="auto"/>
                    </w:rPr>
                    <w:t>/km</w:t>
                  </w:r>
                  <w:r>
                    <w:rPr>
                      <w:b/>
                      <w:bCs w:val="0"/>
                      <w:color w:val="auto"/>
                      <w:vertAlign w:val="superscript"/>
                    </w:rPr>
                    <w:t>2</w:t>
                  </w:r>
                </w:p>
              </w:tc>
            </w:tr>
            <w:tr w14:paraId="556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restart"/>
                  <w:vAlign w:val="center"/>
                </w:tcPr>
                <w:p w14:paraId="2EB45100">
                  <w:pPr>
                    <w:pStyle w:val="145"/>
                    <w:rPr>
                      <w:color w:val="auto"/>
                    </w:rPr>
                  </w:pPr>
                  <w:r>
                    <w:rPr>
                      <w:color w:val="auto"/>
                    </w:rPr>
                    <w:t>Ⅱ水土保持生态保护红线</w:t>
                  </w:r>
                </w:p>
              </w:tc>
              <w:tc>
                <w:tcPr>
                  <w:tcW w:w="738" w:type="pct"/>
                  <w:vMerge w:val="restart"/>
                  <w:vAlign w:val="center"/>
                </w:tcPr>
                <w:p w14:paraId="7B4C4F8A">
                  <w:pPr>
                    <w:pStyle w:val="145"/>
                    <w:rPr>
                      <w:color w:val="auto"/>
                    </w:rPr>
                  </w:pPr>
                  <w:r>
                    <w:rPr>
                      <w:color w:val="auto"/>
                    </w:rPr>
                    <w:t>Ⅱ-1淮北河间平原农产品提供及水土保持生态保护红线</w:t>
                  </w:r>
                </w:p>
              </w:tc>
              <w:tc>
                <w:tcPr>
                  <w:tcW w:w="660" w:type="pct"/>
                  <w:vMerge w:val="restart"/>
                  <w:vAlign w:val="center"/>
                </w:tcPr>
                <w:p w14:paraId="119CECE0">
                  <w:pPr>
                    <w:pStyle w:val="145"/>
                    <w:rPr>
                      <w:color w:val="auto"/>
                    </w:rPr>
                  </w:pPr>
                  <w:r>
                    <w:rPr>
                      <w:color w:val="auto"/>
                    </w:rPr>
                    <w:t>暖温带落叶阔叶林带</w:t>
                  </w:r>
                </w:p>
              </w:tc>
              <w:tc>
                <w:tcPr>
                  <w:tcW w:w="1712" w:type="pct"/>
                  <w:vMerge w:val="restart"/>
                  <w:vAlign w:val="center"/>
                </w:tcPr>
                <w:p w14:paraId="4493AFAF">
                  <w:pPr>
                    <w:pStyle w:val="145"/>
                    <w:rPr>
                      <w:color w:val="auto"/>
                    </w:rPr>
                  </w:pPr>
                  <w:r>
                    <w:rPr>
                      <w:color w:val="auto"/>
                    </w:rPr>
                    <w:t>安徽灵璧磐云山国家地质公园、宿州市汴北水厂水源地、宿州市新水厂水源地、宿州市备用水源地</w:t>
                  </w:r>
                </w:p>
              </w:tc>
              <w:tc>
                <w:tcPr>
                  <w:tcW w:w="821" w:type="pct"/>
                  <w:vAlign w:val="center"/>
                </w:tcPr>
                <w:p w14:paraId="264D16BE">
                  <w:pPr>
                    <w:pStyle w:val="145"/>
                    <w:rPr>
                      <w:color w:val="auto"/>
                    </w:rPr>
                  </w:pPr>
                  <w:r>
                    <w:rPr>
                      <w:color w:val="auto"/>
                    </w:rPr>
                    <w:t>灵璧县</w:t>
                  </w:r>
                </w:p>
              </w:tc>
              <w:tc>
                <w:tcPr>
                  <w:tcW w:w="539" w:type="pct"/>
                  <w:vAlign w:val="center"/>
                </w:tcPr>
                <w:p w14:paraId="03A35D22">
                  <w:pPr>
                    <w:pStyle w:val="145"/>
                    <w:rPr>
                      <w:color w:val="auto"/>
                    </w:rPr>
                  </w:pPr>
                  <w:r>
                    <w:rPr>
                      <w:color w:val="auto"/>
                    </w:rPr>
                    <w:t>8.67</w:t>
                  </w:r>
                </w:p>
              </w:tc>
            </w:tr>
            <w:tr w14:paraId="5ABC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continue"/>
                  <w:vAlign w:val="center"/>
                </w:tcPr>
                <w:p w14:paraId="2B39A797">
                  <w:pPr>
                    <w:pStyle w:val="145"/>
                    <w:rPr>
                      <w:color w:val="auto"/>
                    </w:rPr>
                  </w:pPr>
                </w:p>
              </w:tc>
              <w:tc>
                <w:tcPr>
                  <w:tcW w:w="738" w:type="pct"/>
                  <w:vMerge w:val="continue"/>
                  <w:vAlign w:val="center"/>
                </w:tcPr>
                <w:p w14:paraId="35921C55">
                  <w:pPr>
                    <w:pStyle w:val="145"/>
                    <w:rPr>
                      <w:color w:val="auto"/>
                    </w:rPr>
                  </w:pPr>
                </w:p>
              </w:tc>
              <w:tc>
                <w:tcPr>
                  <w:tcW w:w="660" w:type="pct"/>
                  <w:vMerge w:val="continue"/>
                  <w:vAlign w:val="center"/>
                </w:tcPr>
                <w:p w14:paraId="6927725B">
                  <w:pPr>
                    <w:pStyle w:val="145"/>
                    <w:rPr>
                      <w:color w:val="auto"/>
                    </w:rPr>
                  </w:pPr>
                </w:p>
              </w:tc>
              <w:tc>
                <w:tcPr>
                  <w:tcW w:w="1712" w:type="pct"/>
                  <w:vMerge w:val="continue"/>
                  <w:vAlign w:val="center"/>
                </w:tcPr>
                <w:p w14:paraId="6541AF39">
                  <w:pPr>
                    <w:pStyle w:val="145"/>
                    <w:rPr>
                      <w:color w:val="auto"/>
                    </w:rPr>
                  </w:pPr>
                </w:p>
              </w:tc>
              <w:tc>
                <w:tcPr>
                  <w:tcW w:w="821" w:type="pct"/>
                  <w:vAlign w:val="center"/>
                </w:tcPr>
                <w:p w14:paraId="14F5214C">
                  <w:pPr>
                    <w:pStyle w:val="145"/>
                    <w:rPr>
                      <w:color w:val="auto"/>
                    </w:rPr>
                  </w:pPr>
                  <w:r>
                    <w:rPr>
                      <w:color w:val="auto"/>
                    </w:rPr>
                    <w:t>泗县</w:t>
                  </w:r>
                </w:p>
              </w:tc>
              <w:tc>
                <w:tcPr>
                  <w:tcW w:w="539" w:type="pct"/>
                  <w:vAlign w:val="center"/>
                </w:tcPr>
                <w:p w14:paraId="0BAB8F3B">
                  <w:pPr>
                    <w:pStyle w:val="145"/>
                    <w:rPr>
                      <w:color w:val="auto"/>
                    </w:rPr>
                  </w:pPr>
                  <w:r>
                    <w:rPr>
                      <w:color w:val="auto"/>
                    </w:rPr>
                    <w:t>4.63</w:t>
                  </w:r>
                </w:p>
              </w:tc>
            </w:tr>
            <w:tr w14:paraId="3107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28" w:type="pct"/>
                  <w:vMerge w:val="continue"/>
                  <w:vAlign w:val="center"/>
                </w:tcPr>
                <w:p w14:paraId="36508E6D">
                  <w:pPr>
                    <w:pStyle w:val="145"/>
                    <w:rPr>
                      <w:color w:val="auto"/>
                    </w:rPr>
                  </w:pPr>
                </w:p>
              </w:tc>
              <w:tc>
                <w:tcPr>
                  <w:tcW w:w="738" w:type="pct"/>
                  <w:vMerge w:val="continue"/>
                  <w:vAlign w:val="center"/>
                </w:tcPr>
                <w:p w14:paraId="2F92C525">
                  <w:pPr>
                    <w:pStyle w:val="145"/>
                    <w:rPr>
                      <w:color w:val="auto"/>
                    </w:rPr>
                  </w:pPr>
                </w:p>
              </w:tc>
              <w:tc>
                <w:tcPr>
                  <w:tcW w:w="660" w:type="pct"/>
                  <w:vMerge w:val="continue"/>
                  <w:vAlign w:val="center"/>
                </w:tcPr>
                <w:p w14:paraId="55375CD7">
                  <w:pPr>
                    <w:pStyle w:val="145"/>
                    <w:rPr>
                      <w:color w:val="auto"/>
                    </w:rPr>
                  </w:pPr>
                </w:p>
              </w:tc>
              <w:tc>
                <w:tcPr>
                  <w:tcW w:w="1712" w:type="pct"/>
                  <w:vMerge w:val="continue"/>
                  <w:vAlign w:val="center"/>
                </w:tcPr>
                <w:p w14:paraId="412FA0BD">
                  <w:pPr>
                    <w:pStyle w:val="145"/>
                    <w:rPr>
                      <w:color w:val="auto"/>
                    </w:rPr>
                  </w:pPr>
                </w:p>
              </w:tc>
              <w:tc>
                <w:tcPr>
                  <w:tcW w:w="821" w:type="pct"/>
                  <w:vAlign w:val="center"/>
                </w:tcPr>
                <w:p w14:paraId="28D08B55">
                  <w:pPr>
                    <w:pStyle w:val="145"/>
                    <w:rPr>
                      <w:color w:val="auto"/>
                    </w:rPr>
                  </w:pPr>
                  <w:r>
                    <w:rPr>
                      <w:color w:val="auto"/>
                    </w:rPr>
                    <w:t>埇桥区</w:t>
                  </w:r>
                </w:p>
              </w:tc>
              <w:tc>
                <w:tcPr>
                  <w:tcW w:w="539" w:type="pct"/>
                  <w:vAlign w:val="center"/>
                </w:tcPr>
                <w:p w14:paraId="66CAF54F">
                  <w:pPr>
                    <w:pStyle w:val="145"/>
                    <w:rPr>
                      <w:color w:val="auto"/>
                    </w:rPr>
                  </w:pPr>
                  <w:r>
                    <w:rPr>
                      <w:color w:val="auto"/>
                    </w:rPr>
                    <w:t>13.32</w:t>
                  </w:r>
                </w:p>
              </w:tc>
            </w:tr>
            <w:tr w14:paraId="5B3D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restart"/>
                  <w:vAlign w:val="center"/>
                </w:tcPr>
                <w:p w14:paraId="29E5260C">
                  <w:pPr>
                    <w:pStyle w:val="145"/>
                    <w:rPr>
                      <w:color w:val="auto"/>
                    </w:rPr>
                  </w:pPr>
                  <w:r>
                    <w:rPr>
                      <w:color w:val="auto"/>
                    </w:rPr>
                    <w:t>Ⅲ生物多样性维护生态保护红线</w:t>
                  </w:r>
                </w:p>
              </w:tc>
              <w:tc>
                <w:tcPr>
                  <w:tcW w:w="738" w:type="pct"/>
                  <w:vMerge w:val="restart"/>
                  <w:vAlign w:val="center"/>
                </w:tcPr>
                <w:p w14:paraId="352BA78C">
                  <w:pPr>
                    <w:pStyle w:val="145"/>
                    <w:rPr>
                      <w:color w:val="auto"/>
                    </w:rPr>
                  </w:pPr>
                  <w:r>
                    <w:rPr>
                      <w:color w:val="auto"/>
                    </w:rPr>
                    <w:t>Ⅲ-1淮北平原北部生物多样性维护及水土保持生态保护红线</w:t>
                  </w:r>
                </w:p>
              </w:tc>
              <w:tc>
                <w:tcPr>
                  <w:tcW w:w="660" w:type="pct"/>
                  <w:vMerge w:val="restart"/>
                  <w:vAlign w:val="center"/>
                </w:tcPr>
                <w:p w14:paraId="11360D28">
                  <w:pPr>
                    <w:pStyle w:val="145"/>
                    <w:rPr>
                      <w:color w:val="auto"/>
                    </w:rPr>
                  </w:pPr>
                  <w:r>
                    <w:rPr>
                      <w:color w:val="auto"/>
                    </w:rPr>
                    <w:t>暖温带落叶阔叶林带</w:t>
                  </w:r>
                </w:p>
              </w:tc>
              <w:tc>
                <w:tcPr>
                  <w:tcW w:w="1712" w:type="pct"/>
                  <w:vMerge w:val="restart"/>
                  <w:vAlign w:val="center"/>
                </w:tcPr>
                <w:p w14:paraId="622C0687">
                  <w:pPr>
                    <w:pStyle w:val="145"/>
                    <w:rPr>
                      <w:color w:val="auto"/>
                    </w:rPr>
                  </w:pPr>
                  <w:r>
                    <w:rPr>
                      <w:color w:val="auto"/>
                    </w:rPr>
                    <w:t>安徽砀山黄河故道湿地自然保护区、安徽埇桥区皇藏峪省级自然保护区、安徽埇桥区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故黄河砀山段黄河鲤国家级水产种质资源保护区</w:t>
                  </w:r>
                </w:p>
              </w:tc>
              <w:tc>
                <w:tcPr>
                  <w:tcW w:w="821" w:type="pct"/>
                  <w:vAlign w:val="center"/>
                </w:tcPr>
                <w:p w14:paraId="669BA096">
                  <w:pPr>
                    <w:pStyle w:val="145"/>
                    <w:rPr>
                      <w:color w:val="auto"/>
                    </w:rPr>
                  </w:pPr>
                  <w:r>
                    <w:rPr>
                      <w:color w:val="auto"/>
                    </w:rPr>
                    <w:t>砀山县</w:t>
                  </w:r>
                </w:p>
              </w:tc>
              <w:tc>
                <w:tcPr>
                  <w:tcW w:w="539" w:type="pct"/>
                  <w:vAlign w:val="center"/>
                </w:tcPr>
                <w:p w14:paraId="7C44DD33">
                  <w:pPr>
                    <w:pStyle w:val="145"/>
                    <w:rPr>
                      <w:color w:val="auto"/>
                    </w:rPr>
                  </w:pPr>
                  <w:r>
                    <w:rPr>
                      <w:color w:val="auto"/>
                    </w:rPr>
                    <w:t>363.73</w:t>
                  </w:r>
                </w:p>
              </w:tc>
            </w:tr>
            <w:tr w14:paraId="5E4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continue"/>
                  <w:vAlign w:val="center"/>
                </w:tcPr>
                <w:p w14:paraId="61B7944D">
                  <w:pPr>
                    <w:pStyle w:val="145"/>
                    <w:rPr>
                      <w:color w:val="auto"/>
                    </w:rPr>
                  </w:pPr>
                </w:p>
              </w:tc>
              <w:tc>
                <w:tcPr>
                  <w:tcW w:w="738" w:type="pct"/>
                  <w:vMerge w:val="continue"/>
                  <w:vAlign w:val="center"/>
                </w:tcPr>
                <w:p w14:paraId="4B602185">
                  <w:pPr>
                    <w:pStyle w:val="145"/>
                    <w:rPr>
                      <w:color w:val="auto"/>
                    </w:rPr>
                  </w:pPr>
                </w:p>
              </w:tc>
              <w:tc>
                <w:tcPr>
                  <w:tcW w:w="660" w:type="pct"/>
                  <w:vMerge w:val="continue"/>
                  <w:vAlign w:val="center"/>
                </w:tcPr>
                <w:p w14:paraId="0B2EC58B">
                  <w:pPr>
                    <w:pStyle w:val="145"/>
                    <w:rPr>
                      <w:color w:val="auto"/>
                    </w:rPr>
                  </w:pPr>
                </w:p>
              </w:tc>
              <w:tc>
                <w:tcPr>
                  <w:tcW w:w="1712" w:type="pct"/>
                  <w:vMerge w:val="continue"/>
                  <w:vAlign w:val="center"/>
                </w:tcPr>
                <w:p w14:paraId="5DFED6DD">
                  <w:pPr>
                    <w:pStyle w:val="145"/>
                    <w:rPr>
                      <w:color w:val="auto"/>
                    </w:rPr>
                  </w:pPr>
                </w:p>
              </w:tc>
              <w:tc>
                <w:tcPr>
                  <w:tcW w:w="821" w:type="pct"/>
                  <w:vAlign w:val="center"/>
                </w:tcPr>
                <w:p w14:paraId="025FDA03">
                  <w:pPr>
                    <w:pStyle w:val="145"/>
                    <w:rPr>
                      <w:color w:val="auto"/>
                    </w:rPr>
                  </w:pPr>
                  <w:r>
                    <w:rPr>
                      <w:color w:val="auto"/>
                    </w:rPr>
                    <w:t>灵璧县</w:t>
                  </w:r>
                </w:p>
              </w:tc>
              <w:tc>
                <w:tcPr>
                  <w:tcW w:w="539" w:type="pct"/>
                  <w:vAlign w:val="center"/>
                </w:tcPr>
                <w:p w14:paraId="0F6A846D">
                  <w:pPr>
                    <w:pStyle w:val="145"/>
                    <w:rPr>
                      <w:color w:val="auto"/>
                    </w:rPr>
                  </w:pPr>
                  <w:r>
                    <w:rPr>
                      <w:color w:val="auto"/>
                    </w:rPr>
                    <w:t>1.17</w:t>
                  </w:r>
                </w:p>
              </w:tc>
            </w:tr>
            <w:tr w14:paraId="0333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continue"/>
                  <w:vAlign w:val="center"/>
                </w:tcPr>
                <w:p w14:paraId="753D18C4">
                  <w:pPr>
                    <w:pStyle w:val="145"/>
                    <w:rPr>
                      <w:color w:val="auto"/>
                    </w:rPr>
                  </w:pPr>
                </w:p>
              </w:tc>
              <w:tc>
                <w:tcPr>
                  <w:tcW w:w="738" w:type="pct"/>
                  <w:vMerge w:val="continue"/>
                  <w:vAlign w:val="center"/>
                </w:tcPr>
                <w:p w14:paraId="02E9CB56">
                  <w:pPr>
                    <w:pStyle w:val="145"/>
                    <w:rPr>
                      <w:color w:val="auto"/>
                    </w:rPr>
                  </w:pPr>
                </w:p>
              </w:tc>
              <w:tc>
                <w:tcPr>
                  <w:tcW w:w="660" w:type="pct"/>
                  <w:vMerge w:val="continue"/>
                  <w:vAlign w:val="center"/>
                </w:tcPr>
                <w:p w14:paraId="3BE728CC">
                  <w:pPr>
                    <w:pStyle w:val="145"/>
                    <w:rPr>
                      <w:color w:val="auto"/>
                    </w:rPr>
                  </w:pPr>
                </w:p>
              </w:tc>
              <w:tc>
                <w:tcPr>
                  <w:tcW w:w="1712" w:type="pct"/>
                  <w:vMerge w:val="continue"/>
                  <w:vAlign w:val="center"/>
                </w:tcPr>
                <w:p w14:paraId="6E8E0438">
                  <w:pPr>
                    <w:pStyle w:val="145"/>
                    <w:rPr>
                      <w:color w:val="auto"/>
                    </w:rPr>
                  </w:pPr>
                </w:p>
              </w:tc>
              <w:tc>
                <w:tcPr>
                  <w:tcW w:w="821" w:type="pct"/>
                  <w:vAlign w:val="center"/>
                </w:tcPr>
                <w:p w14:paraId="1B63D752">
                  <w:pPr>
                    <w:pStyle w:val="145"/>
                    <w:rPr>
                      <w:color w:val="auto"/>
                    </w:rPr>
                  </w:pPr>
                  <w:r>
                    <w:rPr>
                      <w:color w:val="auto"/>
                    </w:rPr>
                    <w:t>埇桥区</w:t>
                  </w:r>
                </w:p>
              </w:tc>
              <w:tc>
                <w:tcPr>
                  <w:tcW w:w="539" w:type="pct"/>
                  <w:vAlign w:val="center"/>
                </w:tcPr>
                <w:p w14:paraId="228C520E">
                  <w:pPr>
                    <w:pStyle w:val="145"/>
                    <w:rPr>
                      <w:color w:val="auto"/>
                    </w:rPr>
                  </w:pPr>
                  <w:r>
                    <w:rPr>
                      <w:color w:val="auto"/>
                    </w:rPr>
                    <w:t>123.40</w:t>
                  </w:r>
                </w:p>
              </w:tc>
            </w:tr>
            <w:tr w14:paraId="1077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28" w:type="pct"/>
                  <w:vMerge w:val="continue"/>
                  <w:vAlign w:val="center"/>
                </w:tcPr>
                <w:p w14:paraId="1F75E5B0">
                  <w:pPr>
                    <w:pStyle w:val="145"/>
                    <w:rPr>
                      <w:color w:val="auto"/>
                    </w:rPr>
                  </w:pPr>
                </w:p>
              </w:tc>
              <w:tc>
                <w:tcPr>
                  <w:tcW w:w="738" w:type="pct"/>
                  <w:vMerge w:val="continue"/>
                  <w:vAlign w:val="center"/>
                </w:tcPr>
                <w:p w14:paraId="75258C72">
                  <w:pPr>
                    <w:pStyle w:val="145"/>
                    <w:rPr>
                      <w:color w:val="auto"/>
                    </w:rPr>
                  </w:pPr>
                </w:p>
              </w:tc>
              <w:tc>
                <w:tcPr>
                  <w:tcW w:w="660" w:type="pct"/>
                  <w:vMerge w:val="continue"/>
                  <w:vAlign w:val="center"/>
                </w:tcPr>
                <w:p w14:paraId="467ECB65">
                  <w:pPr>
                    <w:pStyle w:val="145"/>
                    <w:rPr>
                      <w:color w:val="auto"/>
                    </w:rPr>
                  </w:pPr>
                </w:p>
              </w:tc>
              <w:tc>
                <w:tcPr>
                  <w:tcW w:w="1712" w:type="pct"/>
                  <w:vMerge w:val="continue"/>
                  <w:vAlign w:val="center"/>
                </w:tcPr>
                <w:p w14:paraId="16FF6800">
                  <w:pPr>
                    <w:pStyle w:val="145"/>
                    <w:rPr>
                      <w:color w:val="auto"/>
                    </w:rPr>
                  </w:pPr>
                </w:p>
              </w:tc>
              <w:tc>
                <w:tcPr>
                  <w:tcW w:w="821" w:type="pct"/>
                  <w:vAlign w:val="center"/>
                </w:tcPr>
                <w:p w14:paraId="724D0CE3">
                  <w:pPr>
                    <w:pStyle w:val="145"/>
                    <w:rPr>
                      <w:color w:val="auto"/>
                    </w:rPr>
                  </w:pPr>
                  <w:r>
                    <w:rPr>
                      <w:color w:val="auto"/>
                    </w:rPr>
                    <w:t>埇桥区</w:t>
                  </w:r>
                </w:p>
              </w:tc>
              <w:tc>
                <w:tcPr>
                  <w:tcW w:w="539" w:type="pct"/>
                  <w:vAlign w:val="center"/>
                </w:tcPr>
                <w:p w14:paraId="6E2314DE">
                  <w:pPr>
                    <w:pStyle w:val="145"/>
                    <w:rPr>
                      <w:color w:val="auto"/>
                    </w:rPr>
                  </w:pPr>
                  <w:r>
                    <w:rPr>
                      <w:color w:val="auto"/>
                    </w:rPr>
                    <w:t>111.08</w:t>
                  </w:r>
                </w:p>
              </w:tc>
            </w:tr>
            <w:tr w14:paraId="3477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28" w:type="pct"/>
                  <w:vMerge w:val="restart"/>
                  <w:vAlign w:val="center"/>
                </w:tcPr>
                <w:p w14:paraId="0D483B88">
                  <w:pPr>
                    <w:pStyle w:val="145"/>
                    <w:rPr>
                      <w:color w:val="auto"/>
                    </w:rPr>
                  </w:pPr>
                  <w:r>
                    <w:rPr>
                      <w:color w:val="auto"/>
                    </w:rPr>
                    <w:t>Ⅲ生物多样性维护生态保护红线</w:t>
                  </w:r>
                </w:p>
              </w:tc>
              <w:tc>
                <w:tcPr>
                  <w:tcW w:w="738" w:type="pct"/>
                  <w:vMerge w:val="restart"/>
                  <w:vAlign w:val="center"/>
                </w:tcPr>
                <w:p w14:paraId="62088B78">
                  <w:pPr>
                    <w:pStyle w:val="145"/>
                    <w:rPr>
                      <w:color w:val="auto"/>
                    </w:rPr>
                  </w:pPr>
                  <w:r>
                    <w:rPr>
                      <w:color w:val="auto"/>
                    </w:rPr>
                    <w:t>Ⅲ-5淮河中下游湖泊洼地生物多样性维护生态保护红线</w:t>
                  </w:r>
                </w:p>
              </w:tc>
              <w:tc>
                <w:tcPr>
                  <w:tcW w:w="660" w:type="pct"/>
                  <w:vMerge w:val="restart"/>
                  <w:vAlign w:val="center"/>
                </w:tcPr>
                <w:p w14:paraId="1BA99155">
                  <w:pPr>
                    <w:pStyle w:val="145"/>
                    <w:rPr>
                      <w:color w:val="auto"/>
                    </w:rPr>
                  </w:pPr>
                  <w:r>
                    <w:rPr>
                      <w:color w:val="auto"/>
                    </w:rPr>
                    <w:t>暖温带与北亚热带落叶阔叶林过渡带；河流和湖泊湿地类型为主</w:t>
                  </w:r>
                </w:p>
              </w:tc>
              <w:tc>
                <w:tcPr>
                  <w:tcW w:w="1712" w:type="pct"/>
                  <w:vMerge w:val="restart"/>
                  <w:vAlign w:val="center"/>
                </w:tcPr>
                <w:p w14:paraId="2F1F2A21">
                  <w:pPr>
                    <w:pStyle w:val="145"/>
                    <w:rPr>
                      <w:color w:val="auto"/>
                    </w:rPr>
                  </w:pPr>
                  <w:r>
                    <w:rPr>
                      <w:color w:val="auto"/>
                    </w:rPr>
                    <w:t>安徽泗县沱河省级自然保护区、石龙湖国家湿地公园</w:t>
                  </w:r>
                </w:p>
              </w:tc>
              <w:tc>
                <w:tcPr>
                  <w:tcW w:w="821" w:type="pct"/>
                  <w:vAlign w:val="center"/>
                </w:tcPr>
                <w:p w14:paraId="08E68B66">
                  <w:pPr>
                    <w:pStyle w:val="145"/>
                    <w:rPr>
                      <w:color w:val="auto"/>
                    </w:rPr>
                  </w:pPr>
                  <w:r>
                    <w:rPr>
                      <w:color w:val="auto"/>
                    </w:rPr>
                    <w:t>灵璧县</w:t>
                  </w:r>
                </w:p>
              </w:tc>
              <w:tc>
                <w:tcPr>
                  <w:tcW w:w="539" w:type="pct"/>
                  <w:vAlign w:val="center"/>
                </w:tcPr>
                <w:p w14:paraId="2AD783EB">
                  <w:pPr>
                    <w:pStyle w:val="145"/>
                    <w:rPr>
                      <w:color w:val="auto"/>
                    </w:rPr>
                  </w:pPr>
                  <w:r>
                    <w:rPr>
                      <w:color w:val="auto"/>
                    </w:rPr>
                    <w:t>0.06</w:t>
                  </w:r>
                </w:p>
              </w:tc>
            </w:tr>
            <w:tr w14:paraId="3258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8" w:type="pct"/>
                  <w:vMerge w:val="continue"/>
                  <w:vAlign w:val="center"/>
                </w:tcPr>
                <w:p w14:paraId="0DD688D3">
                  <w:pPr>
                    <w:pStyle w:val="145"/>
                    <w:rPr>
                      <w:color w:val="auto"/>
                    </w:rPr>
                  </w:pPr>
                </w:p>
              </w:tc>
              <w:tc>
                <w:tcPr>
                  <w:tcW w:w="738" w:type="pct"/>
                  <w:vMerge w:val="continue"/>
                  <w:vAlign w:val="center"/>
                </w:tcPr>
                <w:p w14:paraId="6EA73AD9">
                  <w:pPr>
                    <w:pStyle w:val="145"/>
                    <w:rPr>
                      <w:color w:val="auto"/>
                    </w:rPr>
                  </w:pPr>
                </w:p>
              </w:tc>
              <w:tc>
                <w:tcPr>
                  <w:tcW w:w="660" w:type="pct"/>
                  <w:vMerge w:val="continue"/>
                  <w:vAlign w:val="center"/>
                </w:tcPr>
                <w:p w14:paraId="2309856B">
                  <w:pPr>
                    <w:pStyle w:val="145"/>
                    <w:rPr>
                      <w:color w:val="auto"/>
                    </w:rPr>
                  </w:pPr>
                </w:p>
              </w:tc>
              <w:tc>
                <w:tcPr>
                  <w:tcW w:w="1712" w:type="pct"/>
                  <w:vMerge w:val="continue"/>
                  <w:vAlign w:val="center"/>
                </w:tcPr>
                <w:p w14:paraId="5F5A0245">
                  <w:pPr>
                    <w:pStyle w:val="145"/>
                    <w:rPr>
                      <w:color w:val="auto"/>
                    </w:rPr>
                  </w:pPr>
                </w:p>
              </w:tc>
              <w:tc>
                <w:tcPr>
                  <w:tcW w:w="821" w:type="pct"/>
                  <w:vAlign w:val="center"/>
                </w:tcPr>
                <w:p w14:paraId="776D52DA">
                  <w:pPr>
                    <w:pStyle w:val="145"/>
                    <w:rPr>
                      <w:color w:val="auto"/>
                    </w:rPr>
                  </w:pPr>
                  <w:r>
                    <w:rPr>
                      <w:color w:val="auto"/>
                    </w:rPr>
                    <w:t>泗县</w:t>
                  </w:r>
                </w:p>
              </w:tc>
              <w:tc>
                <w:tcPr>
                  <w:tcW w:w="539" w:type="pct"/>
                  <w:vAlign w:val="center"/>
                </w:tcPr>
                <w:p w14:paraId="2AF0D948">
                  <w:pPr>
                    <w:pStyle w:val="145"/>
                    <w:rPr>
                      <w:color w:val="auto"/>
                    </w:rPr>
                  </w:pPr>
                  <w:r>
                    <w:rPr>
                      <w:color w:val="auto"/>
                    </w:rPr>
                    <w:t>19.46</w:t>
                  </w:r>
                </w:p>
              </w:tc>
            </w:tr>
          </w:tbl>
          <w:p w14:paraId="03D7C033">
            <w:pPr>
              <w:adjustRightInd w:val="0"/>
              <w:snapToGrid w:val="0"/>
              <w:ind w:firstLine="480"/>
              <w:rPr>
                <w:color w:val="auto"/>
                <w:szCs w:val="32"/>
              </w:rPr>
            </w:pPr>
            <w:r>
              <w:rPr>
                <w:color w:val="auto"/>
                <w:szCs w:val="32"/>
              </w:rPr>
              <w:t>本项目位于</w:t>
            </w:r>
            <w:r>
              <w:rPr>
                <w:rFonts w:hint="eastAsia"/>
                <w:color w:val="auto"/>
                <w:szCs w:val="32"/>
                <w:lang w:eastAsia="zh-CN"/>
              </w:rPr>
              <w:t>宿州市经济开发区陈河路与鞋</w:t>
            </w:r>
            <w:r>
              <w:rPr>
                <w:rFonts w:hint="eastAsia"/>
                <w:color w:val="auto"/>
                <w:szCs w:val="32"/>
              </w:rPr>
              <w:t>城八路交叉口东南角</w:t>
            </w:r>
            <w:r>
              <w:rPr>
                <w:color w:val="auto"/>
                <w:szCs w:val="32"/>
              </w:rPr>
              <w:t>，对照宿州市生态保护红线（附图9），本项目不涉及宿州市生态保护红线范围。因此，本项目的建设符合宿州市生态保护红线的要求。</w:t>
            </w:r>
            <w:r>
              <w:rPr>
                <w:color w:val="auto"/>
              </w:rPr>
              <mc:AlternateContent>
                <mc:Choice Requires="wps">
                  <w:drawing>
                    <wp:anchor distT="0" distB="0" distL="114300" distR="114300" simplePos="0" relativeHeight="251661312" behindDoc="0" locked="0" layoutInCell="1" allowOverlap="1">
                      <wp:simplePos x="0" y="0"/>
                      <wp:positionH relativeFrom="column">
                        <wp:posOffset>343535</wp:posOffset>
                      </wp:positionH>
                      <wp:positionV relativeFrom="paragraph">
                        <wp:posOffset>1508760</wp:posOffset>
                      </wp:positionV>
                      <wp:extent cx="1526540" cy="1765300"/>
                      <wp:effectExtent l="0" t="0" r="0" b="0"/>
                      <wp:wrapNone/>
                      <wp:docPr id="33" name="矩形 33"/>
                      <wp:cNvGraphicFramePr/>
                      <a:graphic xmlns:a="http://schemas.openxmlformats.org/drawingml/2006/main">
                        <a:graphicData uri="http://schemas.microsoft.com/office/word/2010/wordprocessingShape">
                          <wps:wsp>
                            <wps:cNvSpPr/>
                            <wps:spPr>
                              <a:xfrm>
                                <a:off x="0" y="0"/>
                                <a:ext cx="1526650" cy="1765189"/>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118.8pt;height:139pt;width:120.2pt;z-index:251661312;v-text-anchor:middle;mso-width-relative:page;mso-height-relative:page;" filled="f" stroked="f" coordsize="21600,21600" o:gfxdata="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aU6n7ZAAAACgEAAA8AAAAAAAAAAQAgAAAAIgAAAGRycy9kb3ducmV2LnhtbFBLAQIUABQA&#10;AAAIAIdO4kCIo0rLYQIAALMEAAAOAAAAAAAAAAEAIAAAACgBAABkcnMvZTJvRG9jLnhtbFBLBQYA&#10;AAAABgAGAFkBAAD7BQAAAAA=&#10;">
                      <v:fill on="f" focussize="0,0"/>
                      <v:stroke on="f" weight="1pt" miterlimit="8" joinstyle="miter"/>
                      <v:imagedata o:title=""/>
                      <o:lock v:ext="edit" aspectratio="f"/>
                    </v:rect>
                  </w:pict>
                </mc:Fallback>
              </mc:AlternateContent>
            </w:r>
          </w:p>
          <w:p w14:paraId="46F3586E">
            <w:pPr>
              <w:adjustRightInd w:val="0"/>
              <w:snapToGrid w:val="0"/>
              <w:ind w:firstLine="480"/>
              <w:jc w:val="left"/>
              <w:rPr>
                <w:color w:val="auto"/>
                <w:szCs w:val="32"/>
              </w:rPr>
            </w:pPr>
            <w:r>
              <w:rPr>
                <w:color w:val="auto"/>
                <w:szCs w:val="32"/>
              </w:rPr>
              <w:t>②与环境质量底线相符性分析</w:t>
            </w:r>
          </w:p>
          <w:p w14:paraId="287BC9F3">
            <w:pPr>
              <w:adjustRightInd w:val="0"/>
              <w:snapToGrid w:val="0"/>
              <w:ind w:firstLine="480"/>
              <w:jc w:val="left"/>
              <w:rPr>
                <w:color w:val="auto"/>
                <w:szCs w:val="32"/>
              </w:rPr>
            </w:pPr>
            <w:r>
              <w:rPr>
                <w:color w:val="auto"/>
                <w:szCs w:val="32"/>
              </w:rPr>
              <w:t>根据发布的宿州市2023年环境质量状况，项目区域大气环境质量不满足《环境空气质量标准》（GB3095-2012）二级标准</w:t>
            </w:r>
            <w:r>
              <w:rPr>
                <w:rFonts w:hint="eastAsia"/>
                <w:color w:val="auto"/>
              </w:rP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加大区域产业布局调整力度。加快城市建成区及临近周边重污染企业搬迁改造或关闭退出，推动实施低端化工等重污染企业搬迁工程。禁止新增化工园区，加大现有化工园区整治力度。已明确的退城企业，要明确时间表，逾期不退城的予以停产；严格控制“两高”行业产能；强化“散乱污”企业综合整治；深化工业污染治理；大力培育绿色环保产业；加快调整能源结构，构建清洁低碳高效能源体系；积极调整运输结构，发展绿色交通体系等，采取以上措施，使宿州市区域环境空气质量大大改善</w:t>
            </w:r>
            <w:r>
              <w:rPr>
                <w:color w:val="auto"/>
                <w:szCs w:val="32"/>
              </w:rPr>
              <w:t>。</w:t>
            </w:r>
            <w:r>
              <w:rPr>
                <w:rFonts w:hint="eastAsia"/>
                <w:color w:val="auto"/>
                <w:szCs w:val="32"/>
              </w:rPr>
              <w:t>运粮河</w:t>
            </w:r>
            <w:r>
              <w:rPr>
                <w:color w:val="auto"/>
                <w:szCs w:val="32"/>
              </w:rPr>
              <w:t>水质满足《地表水环境质量标准》（GB3838-2002）中V类水质标准。结合项目环境影响分析，本项目的建设不会恶化区域环境质量功能，不会触碰区域环境质量底线。</w:t>
            </w:r>
          </w:p>
          <w:p w14:paraId="07CFF73C">
            <w:pPr>
              <w:adjustRightInd w:val="0"/>
              <w:snapToGrid w:val="0"/>
              <w:ind w:firstLine="480"/>
              <w:rPr>
                <w:color w:val="auto"/>
                <w:szCs w:val="32"/>
              </w:rPr>
            </w:pPr>
            <w:r>
              <w:rPr>
                <w:color w:val="auto"/>
                <w:szCs w:val="32"/>
              </w:rPr>
              <w:t>本项目废水、废气、固废均得到合理处置，噪声对周边影响较小，不会突破项目所在地的环境质量底线。因此，项目的建设符合环境质量底线标准。</w:t>
            </w:r>
          </w:p>
          <w:p w14:paraId="0DF268B5">
            <w:pPr>
              <w:adjustRightInd w:val="0"/>
              <w:snapToGrid w:val="0"/>
              <w:ind w:firstLine="480"/>
              <w:jc w:val="left"/>
              <w:rPr>
                <w:color w:val="auto"/>
                <w:szCs w:val="32"/>
              </w:rPr>
            </w:pPr>
            <w:r>
              <w:rPr>
                <w:color w:val="auto"/>
                <w:szCs w:val="32"/>
              </w:rPr>
              <w:t>③与资源利用上线相符性分析</w:t>
            </w:r>
          </w:p>
          <w:p w14:paraId="37371E0C">
            <w:pPr>
              <w:adjustRightInd w:val="0"/>
              <w:snapToGrid w:val="0"/>
              <w:ind w:firstLine="480"/>
              <w:jc w:val="left"/>
              <w:rPr>
                <w:color w:val="auto"/>
                <w:szCs w:val="32"/>
              </w:rPr>
            </w:pPr>
            <w:r>
              <w:rPr>
                <w:color w:val="auto"/>
                <w:szCs w:val="32"/>
              </w:rPr>
              <w:t>项目所用的能源包括水、电。项目不属于高能耗、高污染、资源型企业，用水来自市政供水管网，用电来自市政供电。不会超出当地资源利用上线。</w:t>
            </w:r>
          </w:p>
          <w:p w14:paraId="40AF1836">
            <w:pPr>
              <w:ind w:firstLine="480"/>
              <w:rPr>
                <w:color w:val="auto"/>
                <w:kern w:val="0"/>
              </w:rPr>
            </w:pPr>
            <w:r>
              <w:rPr>
                <w:color w:val="auto"/>
                <w:kern w:val="0"/>
              </w:rPr>
              <w:t>④环境负面清单</w:t>
            </w:r>
          </w:p>
          <w:p w14:paraId="673FD073">
            <w:pPr>
              <w:ind w:firstLine="480"/>
              <w:rPr>
                <w:color w:val="auto"/>
              </w:rPr>
            </w:pPr>
            <w:r>
              <w:rPr>
                <w:color w:val="auto"/>
              </w:rPr>
              <w:t>对照《宿州市“三线一单”生态环境准入清单》（宿州市生态环境局，二〇二〇年十二月）附件3宿州市生态环境准入清单，本项目不在风景名胜区、集中式饮用水水源保护区、自然保护区、湿地公园、森林公园、地质公园、水产种质资源保护区、世界文化遗产地（大运河宿州段）等优先保护单元内，不属于禁止开发建设活动及不符合空间布局要求活动的重点管控单元内，因此符合宿州市生态环境准入清单要求。</w:t>
            </w:r>
          </w:p>
          <w:p w14:paraId="7A7D6542">
            <w:pPr>
              <w:ind w:firstLine="480"/>
              <w:rPr>
                <w:color w:val="auto"/>
              </w:rPr>
            </w:pPr>
            <w:r>
              <w:rPr>
                <w:color w:val="auto"/>
              </w:rPr>
              <w:t>综上，本项目符合国家与地方产业政策，符合建设项目所在区域的环境功能区划。项目的建设不涉及生态保护红线，不会触碰区域环境质量底线，且未列入环境准入负面清单。因此，本项目的建设符合国家和地方相关环境保护法律、法规、标准、政策和规范等的要求。</w:t>
            </w:r>
          </w:p>
          <w:p w14:paraId="10E5DF96">
            <w:pPr>
              <w:ind w:firstLine="482"/>
              <w:rPr>
                <w:b/>
                <w:bCs/>
                <w:color w:val="auto"/>
                <w:kern w:val="0"/>
              </w:rPr>
            </w:pPr>
          </w:p>
          <w:p w14:paraId="476E8BBF">
            <w:pPr>
              <w:ind w:firstLine="482"/>
              <w:rPr>
                <w:b/>
                <w:bCs/>
                <w:color w:val="auto"/>
                <w:kern w:val="0"/>
              </w:rPr>
            </w:pPr>
            <w:r>
              <w:rPr>
                <w:b/>
                <w:bCs/>
                <w:color w:val="auto"/>
                <w:kern w:val="0"/>
              </w:rPr>
              <w:t>2、生态环境分区管控分析</w:t>
            </w:r>
          </w:p>
          <w:p w14:paraId="1835E015">
            <w:pPr>
              <w:ind w:firstLine="480"/>
              <w:rPr>
                <w:color w:val="auto"/>
                <w:kern w:val="0"/>
              </w:rPr>
            </w:pPr>
            <w:r>
              <w:rPr>
                <w:color w:val="auto"/>
                <w:kern w:val="0"/>
              </w:rPr>
              <w:t>①水环境分区管控要求</w:t>
            </w:r>
          </w:p>
          <w:p w14:paraId="0284EA2B">
            <w:pPr>
              <w:ind w:firstLine="480"/>
              <w:rPr>
                <w:color w:val="auto"/>
                <w:kern w:val="0"/>
              </w:rPr>
            </w:pPr>
            <w:r>
              <w:rPr>
                <w:color w:val="auto"/>
                <w:kern w:val="0"/>
              </w:rPr>
              <w:t>根据《宿州市“三线一单”文本》及宿州市水环境分区管控图，本项目位于水环境工业污染重点管控区，详见附图6。</w:t>
            </w:r>
          </w:p>
          <w:p w14:paraId="54FE79E1">
            <w:pPr>
              <w:pStyle w:val="58"/>
              <w:ind w:firstLine="422"/>
              <w:rPr>
                <w:color w:val="auto"/>
              </w:rPr>
            </w:pPr>
            <w:r>
              <w:rPr>
                <w:color w:val="auto"/>
              </w:rPr>
              <w:t>表1-</w:t>
            </w:r>
            <w:r>
              <w:rPr>
                <w:rFonts w:hint="eastAsia"/>
                <w:color w:val="auto"/>
                <w:lang w:val="en-US" w:eastAsia="zh-CN"/>
              </w:rPr>
              <w:t>3</w:t>
            </w:r>
            <w:r>
              <w:rPr>
                <w:color w:val="auto"/>
              </w:rPr>
              <w:t>与水环境分区管控要求的协调性分析</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06"/>
              <w:gridCol w:w="637"/>
              <w:gridCol w:w="4239"/>
              <w:gridCol w:w="1698"/>
            </w:tblGrid>
            <w:tr w14:paraId="2511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2" w:type="pct"/>
                  <w:vAlign w:val="center"/>
                </w:tcPr>
                <w:p w14:paraId="49C80550">
                  <w:pPr>
                    <w:pStyle w:val="145"/>
                    <w:rPr>
                      <w:b/>
                      <w:bCs w:val="0"/>
                      <w:color w:val="auto"/>
                    </w:rPr>
                  </w:pPr>
                  <w:r>
                    <w:rPr>
                      <w:b/>
                      <w:bCs w:val="0"/>
                      <w:color w:val="auto"/>
                    </w:rPr>
                    <w:t>管控单元分类</w:t>
                  </w:r>
                </w:p>
              </w:tc>
              <w:tc>
                <w:tcPr>
                  <w:tcW w:w="780" w:type="pct"/>
                  <w:gridSpan w:val="2"/>
                  <w:vAlign w:val="center"/>
                </w:tcPr>
                <w:p w14:paraId="24261C9F">
                  <w:pPr>
                    <w:pStyle w:val="145"/>
                    <w:rPr>
                      <w:b/>
                      <w:bCs w:val="0"/>
                      <w:color w:val="auto"/>
                    </w:rPr>
                  </w:pPr>
                  <w:r>
                    <w:rPr>
                      <w:b/>
                      <w:bCs w:val="0"/>
                      <w:color w:val="auto"/>
                    </w:rPr>
                    <w:t>管控内容</w:t>
                  </w:r>
                </w:p>
              </w:tc>
              <w:tc>
                <w:tcPr>
                  <w:tcW w:w="2660" w:type="pct"/>
                  <w:vAlign w:val="center"/>
                </w:tcPr>
                <w:p w14:paraId="15D38BAE">
                  <w:pPr>
                    <w:pStyle w:val="145"/>
                    <w:rPr>
                      <w:b/>
                      <w:bCs w:val="0"/>
                      <w:color w:val="auto"/>
                    </w:rPr>
                  </w:pPr>
                  <w:r>
                    <w:rPr>
                      <w:b/>
                      <w:bCs w:val="0"/>
                      <w:color w:val="auto"/>
                    </w:rPr>
                    <w:t>环境管控要求</w:t>
                  </w:r>
                </w:p>
              </w:tc>
              <w:tc>
                <w:tcPr>
                  <w:tcW w:w="1066" w:type="pct"/>
                  <w:vAlign w:val="center"/>
                </w:tcPr>
                <w:p w14:paraId="21579501">
                  <w:pPr>
                    <w:pStyle w:val="145"/>
                    <w:rPr>
                      <w:b/>
                      <w:bCs w:val="0"/>
                      <w:color w:val="auto"/>
                    </w:rPr>
                  </w:pPr>
                  <w:r>
                    <w:rPr>
                      <w:b/>
                      <w:bCs w:val="0"/>
                      <w:color w:val="auto"/>
                    </w:rPr>
                    <w:t>本项目情况</w:t>
                  </w:r>
                </w:p>
              </w:tc>
            </w:tr>
            <w:tr w14:paraId="1968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restart"/>
                  <w:vAlign w:val="center"/>
                </w:tcPr>
                <w:p w14:paraId="216A3259">
                  <w:pPr>
                    <w:pStyle w:val="145"/>
                    <w:rPr>
                      <w:color w:val="auto"/>
                    </w:rPr>
                  </w:pPr>
                </w:p>
                <w:p w14:paraId="28D31230">
                  <w:pPr>
                    <w:pStyle w:val="145"/>
                    <w:rPr>
                      <w:color w:val="auto"/>
                    </w:rPr>
                  </w:pPr>
                </w:p>
                <w:p w14:paraId="61DDEFDB">
                  <w:pPr>
                    <w:pStyle w:val="145"/>
                    <w:rPr>
                      <w:color w:val="auto"/>
                    </w:rPr>
                  </w:pPr>
                </w:p>
                <w:p w14:paraId="39558D11">
                  <w:pPr>
                    <w:pStyle w:val="145"/>
                    <w:rPr>
                      <w:color w:val="auto"/>
                    </w:rPr>
                  </w:pPr>
                </w:p>
                <w:p w14:paraId="65DED466">
                  <w:pPr>
                    <w:pStyle w:val="145"/>
                    <w:rPr>
                      <w:color w:val="auto"/>
                    </w:rPr>
                  </w:pPr>
                </w:p>
                <w:p w14:paraId="2B10F284">
                  <w:pPr>
                    <w:pStyle w:val="145"/>
                    <w:rPr>
                      <w:color w:val="auto"/>
                    </w:rPr>
                  </w:pPr>
                </w:p>
                <w:p w14:paraId="30C7D49B">
                  <w:pPr>
                    <w:pStyle w:val="145"/>
                    <w:rPr>
                      <w:color w:val="auto"/>
                    </w:rPr>
                  </w:pPr>
                </w:p>
                <w:p w14:paraId="73514CAF">
                  <w:pPr>
                    <w:pStyle w:val="145"/>
                    <w:rPr>
                      <w:color w:val="auto"/>
                    </w:rPr>
                  </w:pPr>
                </w:p>
                <w:p w14:paraId="3876D53D">
                  <w:pPr>
                    <w:pStyle w:val="145"/>
                    <w:rPr>
                      <w:color w:val="auto"/>
                    </w:rPr>
                  </w:pPr>
                </w:p>
                <w:p w14:paraId="385DAE05">
                  <w:pPr>
                    <w:pStyle w:val="145"/>
                    <w:rPr>
                      <w:color w:val="auto"/>
                    </w:rPr>
                  </w:pPr>
                  <w:r>
                    <w:rPr>
                      <w:color w:val="auto"/>
                    </w:rPr>
                    <w:t>水环境工业污染重点管控区</w:t>
                  </w:r>
                </w:p>
              </w:tc>
              <w:tc>
                <w:tcPr>
                  <w:tcW w:w="380" w:type="pct"/>
                  <w:vMerge w:val="restart"/>
                  <w:vAlign w:val="center"/>
                </w:tcPr>
                <w:p w14:paraId="5BE86197">
                  <w:pPr>
                    <w:pStyle w:val="145"/>
                    <w:rPr>
                      <w:color w:val="auto"/>
                    </w:rPr>
                  </w:pPr>
                </w:p>
                <w:p w14:paraId="683CA4D1">
                  <w:pPr>
                    <w:pStyle w:val="145"/>
                    <w:rPr>
                      <w:color w:val="auto"/>
                    </w:rPr>
                  </w:pPr>
                </w:p>
                <w:p w14:paraId="6F6C0A6E">
                  <w:pPr>
                    <w:pStyle w:val="145"/>
                    <w:rPr>
                      <w:color w:val="auto"/>
                    </w:rPr>
                  </w:pPr>
                </w:p>
                <w:p w14:paraId="14DB7158">
                  <w:pPr>
                    <w:pStyle w:val="145"/>
                    <w:rPr>
                      <w:color w:val="auto"/>
                    </w:rPr>
                  </w:pPr>
                </w:p>
                <w:p w14:paraId="6CEEFD55">
                  <w:pPr>
                    <w:pStyle w:val="145"/>
                    <w:rPr>
                      <w:color w:val="auto"/>
                    </w:rPr>
                  </w:pPr>
                </w:p>
                <w:p w14:paraId="5783ACDA">
                  <w:pPr>
                    <w:pStyle w:val="145"/>
                    <w:rPr>
                      <w:color w:val="auto"/>
                    </w:rPr>
                  </w:pPr>
                </w:p>
                <w:p w14:paraId="28CCF29E">
                  <w:pPr>
                    <w:pStyle w:val="145"/>
                    <w:rPr>
                      <w:color w:val="auto"/>
                    </w:rPr>
                  </w:pPr>
                </w:p>
                <w:p w14:paraId="787D9656">
                  <w:pPr>
                    <w:pStyle w:val="145"/>
                    <w:rPr>
                      <w:color w:val="auto"/>
                    </w:rPr>
                  </w:pPr>
                </w:p>
                <w:p w14:paraId="34139AD9">
                  <w:pPr>
                    <w:pStyle w:val="145"/>
                    <w:rPr>
                      <w:color w:val="auto"/>
                    </w:rPr>
                  </w:pPr>
                  <w:r>
                    <w:rPr>
                      <w:color w:val="auto"/>
                    </w:rPr>
                    <w:t>空间布局管控约束</w:t>
                  </w:r>
                </w:p>
              </w:tc>
              <w:tc>
                <w:tcPr>
                  <w:tcW w:w="399" w:type="pct"/>
                  <w:vMerge w:val="restart"/>
                  <w:vAlign w:val="center"/>
                </w:tcPr>
                <w:p w14:paraId="460D6C47">
                  <w:pPr>
                    <w:pStyle w:val="145"/>
                    <w:rPr>
                      <w:color w:val="auto"/>
                    </w:rPr>
                  </w:pPr>
                  <w:r>
                    <w:rPr>
                      <w:color w:val="auto"/>
                    </w:rPr>
                    <w:t>禁止开发建设活动的要求</w:t>
                  </w:r>
                </w:p>
              </w:tc>
              <w:tc>
                <w:tcPr>
                  <w:tcW w:w="2660" w:type="pct"/>
                  <w:vAlign w:val="center"/>
                </w:tcPr>
                <w:p w14:paraId="634E3D97">
                  <w:pPr>
                    <w:pStyle w:val="145"/>
                    <w:rPr>
                      <w:color w:val="auto"/>
                    </w:rPr>
                  </w:pPr>
                  <w:r>
                    <w:rPr>
                      <w:color w:val="auto"/>
                    </w:rPr>
                    <w:t>取缔“十小”企业。全面排查装备水平低、环保设施差的小型工业企业。按照水污染防治法律法规要求，全面排查和取缔不符合国家产业政策的小型造纸、制革、印染、染料、炼焦、炼硫、炼砷、炼油、电镀、农药等严重污染水环境的生产项目。</w:t>
                  </w:r>
                </w:p>
              </w:tc>
              <w:tc>
                <w:tcPr>
                  <w:tcW w:w="1066" w:type="pct"/>
                  <w:vAlign w:val="center"/>
                </w:tcPr>
                <w:p w14:paraId="1AF50ECE">
                  <w:pPr>
                    <w:pStyle w:val="145"/>
                    <w:rPr>
                      <w:color w:val="auto"/>
                    </w:rPr>
                  </w:pPr>
                  <w:r>
                    <w:rPr>
                      <w:color w:val="auto"/>
                    </w:rPr>
                    <w:t>本项目不属于“十小”企业</w:t>
                  </w:r>
                </w:p>
              </w:tc>
            </w:tr>
            <w:tr w14:paraId="1D9C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continue"/>
                  <w:vAlign w:val="center"/>
                </w:tcPr>
                <w:p w14:paraId="33821E83">
                  <w:pPr>
                    <w:pStyle w:val="145"/>
                    <w:rPr>
                      <w:color w:val="auto"/>
                    </w:rPr>
                  </w:pPr>
                </w:p>
              </w:tc>
              <w:tc>
                <w:tcPr>
                  <w:tcW w:w="380" w:type="pct"/>
                  <w:vMerge w:val="continue"/>
                  <w:vAlign w:val="center"/>
                </w:tcPr>
                <w:p w14:paraId="2D045B41">
                  <w:pPr>
                    <w:pStyle w:val="145"/>
                    <w:rPr>
                      <w:color w:val="auto"/>
                    </w:rPr>
                  </w:pPr>
                </w:p>
              </w:tc>
              <w:tc>
                <w:tcPr>
                  <w:tcW w:w="399" w:type="pct"/>
                  <w:vMerge w:val="continue"/>
                  <w:vAlign w:val="center"/>
                </w:tcPr>
                <w:p w14:paraId="753A83A1">
                  <w:pPr>
                    <w:pStyle w:val="145"/>
                    <w:rPr>
                      <w:color w:val="auto"/>
                    </w:rPr>
                  </w:pPr>
                </w:p>
              </w:tc>
              <w:tc>
                <w:tcPr>
                  <w:tcW w:w="2660" w:type="pct"/>
                  <w:vAlign w:val="center"/>
                </w:tcPr>
                <w:p w14:paraId="1A99C17D">
                  <w:pPr>
                    <w:pStyle w:val="145"/>
                    <w:rPr>
                      <w:color w:val="auto"/>
                    </w:rPr>
                  </w:pPr>
                  <w:r>
                    <w:rPr>
                      <w:color w:val="auto"/>
                    </w:rPr>
                    <w:t>严格城市规划蓝线管理，城市规划区范围内应保留一定比例的水域面积，现有水域面积不得减少。新建项目一律不得违规占用水域。</w:t>
                  </w:r>
                </w:p>
              </w:tc>
              <w:tc>
                <w:tcPr>
                  <w:tcW w:w="1066" w:type="pct"/>
                  <w:vAlign w:val="center"/>
                </w:tcPr>
                <w:p w14:paraId="3583FDE0">
                  <w:pPr>
                    <w:pStyle w:val="145"/>
                    <w:rPr>
                      <w:color w:val="auto"/>
                    </w:rPr>
                  </w:pPr>
                  <w:r>
                    <w:rPr>
                      <w:color w:val="auto"/>
                    </w:rPr>
                    <w:t>本项目位于安徽省</w:t>
                  </w:r>
                  <w:r>
                    <w:rPr>
                      <w:rFonts w:hint="eastAsia"/>
                      <w:color w:val="auto"/>
                      <w:lang w:eastAsia="zh-CN"/>
                    </w:rPr>
                    <w:t>宿州市经济开发区陈河路与鞋</w:t>
                  </w:r>
                  <w:r>
                    <w:rPr>
                      <w:rFonts w:hint="eastAsia"/>
                      <w:color w:val="auto"/>
                    </w:rPr>
                    <w:t>城八路交叉口东南角</w:t>
                  </w:r>
                  <w:r>
                    <w:rPr>
                      <w:color w:val="auto"/>
                    </w:rPr>
                    <w:t>，不占用水域</w:t>
                  </w:r>
                </w:p>
              </w:tc>
            </w:tr>
            <w:tr w14:paraId="4E33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vMerge w:val="continue"/>
                  <w:vAlign w:val="center"/>
                </w:tcPr>
                <w:p w14:paraId="2CA86985">
                  <w:pPr>
                    <w:pStyle w:val="145"/>
                    <w:rPr>
                      <w:color w:val="auto"/>
                    </w:rPr>
                  </w:pPr>
                </w:p>
              </w:tc>
              <w:tc>
                <w:tcPr>
                  <w:tcW w:w="380" w:type="pct"/>
                  <w:vMerge w:val="continue"/>
                  <w:vAlign w:val="center"/>
                </w:tcPr>
                <w:p w14:paraId="6B1146D0">
                  <w:pPr>
                    <w:pStyle w:val="145"/>
                    <w:rPr>
                      <w:color w:val="auto"/>
                    </w:rPr>
                  </w:pPr>
                </w:p>
              </w:tc>
              <w:tc>
                <w:tcPr>
                  <w:tcW w:w="399" w:type="pct"/>
                  <w:vMerge w:val="continue"/>
                  <w:vAlign w:val="center"/>
                </w:tcPr>
                <w:p w14:paraId="1F3DA65E">
                  <w:pPr>
                    <w:pStyle w:val="145"/>
                    <w:rPr>
                      <w:color w:val="auto"/>
                    </w:rPr>
                  </w:pPr>
                </w:p>
              </w:tc>
              <w:tc>
                <w:tcPr>
                  <w:tcW w:w="2660" w:type="pct"/>
                  <w:vAlign w:val="center"/>
                </w:tcPr>
                <w:p w14:paraId="3C880D6B">
                  <w:pPr>
                    <w:pStyle w:val="145"/>
                    <w:rPr>
                      <w:color w:val="auto"/>
                    </w:rPr>
                  </w:pPr>
                  <w:r>
                    <w:rPr>
                      <w:color w:val="auto"/>
                    </w:rPr>
                    <w:t>落实磷石膏综合利用途径，综合利用不畅的可利用现有磷石膏库堆存，不得新建、扩建磷石膏库（暂存场除外）。</w:t>
                  </w:r>
                </w:p>
              </w:tc>
              <w:tc>
                <w:tcPr>
                  <w:tcW w:w="1066" w:type="pct"/>
                  <w:vAlign w:val="center"/>
                </w:tcPr>
                <w:p w14:paraId="31E58B42">
                  <w:pPr>
                    <w:pStyle w:val="145"/>
                    <w:rPr>
                      <w:color w:val="auto"/>
                    </w:rPr>
                  </w:pPr>
                  <w:r>
                    <w:rPr>
                      <w:color w:val="auto"/>
                    </w:rPr>
                    <w:t>本项目不涉及</w:t>
                  </w:r>
                </w:p>
              </w:tc>
            </w:tr>
            <w:tr w14:paraId="6FD7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continue"/>
                  <w:vAlign w:val="center"/>
                </w:tcPr>
                <w:p w14:paraId="1CA4520F">
                  <w:pPr>
                    <w:pStyle w:val="145"/>
                    <w:rPr>
                      <w:color w:val="auto"/>
                    </w:rPr>
                  </w:pPr>
                </w:p>
              </w:tc>
              <w:tc>
                <w:tcPr>
                  <w:tcW w:w="380" w:type="pct"/>
                  <w:vMerge w:val="continue"/>
                  <w:vAlign w:val="center"/>
                </w:tcPr>
                <w:p w14:paraId="439C64B9">
                  <w:pPr>
                    <w:pStyle w:val="145"/>
                    <w:rPr>
                      <w:color w:val="auto"/>
                    </w:rPr>
                  </w:pPr>
                </w:p>
              </w:tc>
              <w:tc>
                <w:tcPr>
                  <w:tcW w:w="399" w:type="pct"/>
                  <w:vMerge w:val="restart"/>
                  <w:vAlign w:val="center"/>
                </w:tcPr>
                <w:p w14:paraId="610CDE13">
                  <w:pPr>
                    <w:pStyle w:val="145"/>
                    <w:rPr>
                      <w:color w:val="auto"/>
                    </w:rPr>
                  </w:pPr>
                  <w:r>
                    <w:rPr>
                      <w:color w:val="auto"/>
                    </w:rPr>
                    <w:t>允许开发建设活动的特殊要求</w:t>
                  </w:r>
                </w:p>
              </w:tc>
              <w:tc>
                <w:tcPr>
                  <w:tcW w:w="2660" w:type="pct"/>
                  <w:vAlign w:val="center"/>
                </w:tcPr>
                <w:p w14:paraId="6C19CC11">
                  <w:pPr>
                    <w:pStyle w:val="145"/>
                    <w:rPr>
                      <w:color w:val="auto"/>
                    </w:rPr>
                  </w:pPr>
                  <w:r>
                    <w:rPr>
                      <w:color w:val="auto"/>
                    </w:rPr>
                    <w:t>合理确定发展布局、结构和规模。充分考虑水环境承载能力和水资源开发利用效率，以水定城、以水定地、以水定人，以水定产。重大项目原则上布局在优化开发区和重点开发区，并符合城乡规划和土地利用总体规划。</w:t>
                  </w:r>
                </w:p>
              </w:tc>
              <w:tc>
                <w:tcPr>
                  <w:tcW w:w="1066" w:type="pct"/>
                  <w:vAlign w:val="center"/>
                </w:tcPr>
                <w:p w14:paraId="61ADE45D">
                  <w:pPr>
                    <w:pStyle w:val="145"/>
                    <w:rPr>
                      <w:color w:val="auto"/>
                    </w:rPr>
                  </w:pPr>
                  <w:r>
                    <w:rPr>
                      <w:color w:val="auto"/>
                    </w:rPr>
                    <w:t>本项目位于安徽省</w:t>
                  </w:r>
                  <w:r>
                    <w:rPr>
                      <w:rFonts w:hint="eastAsia"/>
                      <w:color w:val="auto"/>
                      <w:lang w:eastAsia="zh-CN"/>
                    </w:rPr>
                    <w:t>宿州市经济开发区陈河路与鞋</w:t>
                  </w:r>
                  <w:r>
                    <w:rPr>
                      <w:rFonts w:hint="eastAsia"/>
                      <w:color w:val="auto"/>
                    </w:rPr>
                    <w:t>城八路交叉口东南角</w:t>
                  </w:r>
                  <w:r>
                    <w:rPr>
                      <w:color w:val="auto"/>
                    </w:rPr>
                    <w:t>，用水由市政管网供给，不取用地下水，符合城乡规划和土地利用总体规划</w:t>
                  </w:r>
                </w:p>
              </w:tc>
            </w:tr>
            <w:tr w14:paraId="69DF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continue"/>
                  <w:vAlign w:val="center"/>
                </w:tcPr>
                <w:p w14:paraId="61E1F6CE">
                  <w:pPr>
                    <w:pStyle w:val="145"/>
                    <w:rPr>
                      <w:color w:val="auto"/>
                    </w:rPr>
                  </w:pPr>
                </w:p>
              </w:tc>
              <w:tc>
                <w:tcPr>
                  <w:tcW w:w="380" w:type="pct"/>
                  <w:vMerge w:val="continue"/>
                  <w:vAlign w:val="center"/>
                </w:tcPr>
                <w:p w14:paraId="37461F34">
                  <w:pPr>
                    <w:pStyle w:val="145"/>
                    <w:rPr>
                      <w:color w:val="auto"/>
                    </w:rPr>
                  </w:pPr>
                </w:p>
              </w:tc>
              <w:tc>
                <w:tcPr>
                  <w:tcW w:w="399" w:type="pct"/>
                  <w:vMerge w:val="continue"/>
                  <w:vAlign w:val="center"/>
                </w:tcPr>
                <w:p w14:paraId="52957716">
                  <w:pPr>
                    <w:pStyle w:val="145"/>
                    <w:rPr>
                      <w:color w:val="auto"/>
                    </w:rPr>
                  </w:pPr>
                </w:p>
              </w:tc>
              <w:tc>
                <w:tcPr>
                  <w:tcW w:w="2660" w:type="pct"/>
                  <w:vAlign w:val="center"/>
                </w:tcPr>
                <w:p w14:paraId="7B8F8E25">
                  <w:pPr>
                    <w:pStyle w:val="145"/>
                    <w:rPr>
                      <w:color w:val="auto"/>
                    </w:rPr>
                  </w:pPr>
                  <w:r>
                    <w:rPr>
                      <w:color w:val="auto"/>
                    </w:rPr>
                    <w:t>新建、扩建磷化工项目应布设在依法合规设立的化工园区或具有化工定位的产业园区内，所在化工园区或产业园区应依法开展规划环境影响评价工作，磷化工建设项目应符合园区规划及规划环评要求。</w:t>
                  </w:r>
                </w:p>
              </w:tc>
              <w:tc>
                <w:tcPr>
                  <w:tcW w:w="1066" w:type="pct"/>
                  <w:vAlign w:val="center"/>
                </w:tcPr>
                <w:p w14:paraId="413DDCE9">
                  <w:pPr>
                    <w:pStyle w:val="145"/>
                    <w:rPr>
                      <w:color w:val="auto"/>
                    </w:rPr>
                  </w:pPr>
                  <w:r>
                    <w:rPr>
                      <w:color w:val="auto"/>
                    </w:rPr>
                    <w:t>本项目不涉及</w:t>
                  </w:r>
                </w:p>
              </w:tc>
            </w:tr>
            <w:tr w14:paraId="5BE1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continue"/>
                  <w:vAlign w:val="center"/>
                </w:tcPr>
                <w:p w14:paraId="737C8FE1">
                  <w:pPr>
                    <w:pStyle w:val="145"/>
                    <w:rPr>
                      <w:color w:val="auto"/>
                    </w:rPr>
                  </w:pPr>
                </w:p>
              </w:tc>
              <w:tc>
                <w:tcPr>
                  <w:tcW w:w="380" w:type="pct"/>
                  <w:vMerge w:val="restart"/>
                  <w:vAlign w:val="center"/>
                </w:tcPr>
                <w:p w14:paraId="28DAA51D">
                  <w:pPr>
                    <w:pStyle w:val="145"/>
                    <w:rPr>
                      <w:color w:val="auto"/>
                    </w:rPr>
                  </w:pPr>
                  <w:r>
                    <w:rPr>
                      <w:color w:val="auto"/>
                    </w:rPr>
                    <w:t>污染物排放管控</w:t>
                  </w:r>
                </w:p>
              </w:tc>
              <w:tc>
                <w:tcPr>
                  <w:tcW w:w="399" w:type="pct"/>
                  <w:vMerge w:val="restart"/>
                  <w:vAlign w:val="center"/>
                </w:tcPr>
                <w:p w14:paraId="3794D856">
                  <w:pPr>
                    <w:pStyle w:val="145"/>
                    <w:rPr>
                      <w:color w:val="auto"/>
                    </w:rPr>
                  </w:pPr>
                  <w:r>
                    <w:rPr>
                      <w:color w:val="auto"/>
                    </w:rPr>
                    <w:t>水污染控制措施要求</w:t>
                  </w:r>
                </w:p>
              </w:tc>
              <w:tc>
                <w:tcPr>
                  <w:tcW w:w="2660" w:type="pct"/>
                  <w:vAlign w:val="center"/>
                </w:tcPr>
                <w:p w14:paraId="1E30417A">
                  <w:pPr>
                    <w:pStyle w:val="145"/>
                    <w:rPr>
                      <w:color w:val="auto"/>
                    </w:rPr>
                  </w:pPr>
                  <w:r>
                    <w:rPr>
                      <w:color w:val="auto"/>
                    </w:rPr>
                    <w:t>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w:t>
                  </w:r>
                </w:p>
              </w:tc>
              <w:tc>
                <w:tcPr>
                  <w:tcW w:w="1066" w:type="pct"/>
                  <w:vMerge w:val="restart"/>
                  <w:vAlign w:val="center"/>
                </w:tcPr>
                <w:p w14:paraId="3DFC7EB2">
                  <w:pPr>
                    <w:pStyle w:val="145"/>
                    <w:rPr>
                      <w:rFonts w:hint="eastAsia"/>
                      <w:color w:val="auto"/>
                    </w:rPr>
                  </w:pPr>
                  <w:r>
                    <w:rPr>
                      <w:color w:val="auto"/>
                    </w:rPr>
                    <w:t>本项目无生产废水，少量生活污水经化粪池处理后达</w:t>
                  </w:r>
                  <w:r>
                    <w:rPr>
                      <w:rFonts w:hint="eastAsia"/>
                      <w:color w:val="auto"/>
                    </w:rPr>
                    <w:t>城南污水处理厂</w:t>
                  </w:r>
                  <w:r>
                    <w:rPr>
                      <w:color w:val="auto"/>
                    </w:rPr>
                    <w:t>接管标准后接管</w:t>
                  </w:r>
                  <w:r>
                    <w:rPr>
                      <w:rFonts w:hint="eastAsia"/>
                      <w:color w:val="auto"/>
                    </w:rPr>
                    <w:t>城南污水处理厂</w:t>
                  </w:r>
                  <w:r>
                    <w:rPr>
                      <w:color w:val="auto"/>
                    </w:rPr>
                    <w:t>处理达标后排入</w:t>
                  </w:r>
                  <w:r>
                    <w:rPr>
                      <w:rFonts w:hint="eastAsia"/>
                      <w:color w:val="auto"/>
                    </w:rPr>
                    <w:t>运粮河</w:t>
                  </w:r>
                </w:p>
              </w:tc>
            </w:tr>
            <w:tr w14:paraId="7279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Merge w:val="continue"/>
                  <w:vAlign w:val="center"/>
                </w:tcPr>
                <w:p w14:paraId="296946F0">
                  <w:pPr>
                    <w:pStyle w:val="145"/>
                    <w:rPr>
                      <w:color w:val="auto"/>
                    </w:rPr>
                  </w:pPr>
                </w:p>
              </w:tc>
              <w:tc>
                <w:tcPr>
                  <w:tcW w:w="380" w:type="pct"/>
                  <w:vMerge w:val="continue"/>
                  <w:vAlign w:val="center"/>
                </w:tcPr>
                <w:p w14:paraId="7C99B6EF">
                  <w:pPr>
                    <w:pStyle w:val="145"/>
                    <w:rPr>
                      <w:color w:val="auto"/>
                    </w:rPr>
                  </w:pPr>
                </w:p>
              </w:tc>
              <w:tc>
                <w:tcPr>
                  <w:tcW w:w="399" w:type="pct"/>
                  <w:vMerge w:val="continue"/>
                  <w:vAlign w:val="center"/>
                </w:tcPr>
                <w:p w14:paraId="7BD825A3">
                  <w:pPr>
                    <w:pStyle w:val="145"/>
                    <w:rPr>
                      <w:color w:val="auto"/>
                    </w:rPr>
                  </w:pPr>
                </w:p>
              </w:tc>
              <w:tc>
                <w:tcPr>
                  <w:tcW w:w="2660" w:type="pct"/>
                  <w:vAlign w:val="center"/>
                </w:tcPr>
                <w:p w14:paraId="1AC0815C">
                  <w:pPr>
                    <w:pStyle w:val="145"/>
                    <w:rPr>
                      <w:color w:val="auto"/>
                    </w:rPr>
                  </w:pPr>
                  <w:r>
                    <w:rPr>
                      <w:color w:val="auto"/>
                    </w:rPr>
                    <w:t>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w:t>
                  </w:r>
                </w:p>
              </w:tc>
              <w:tc>
                <w:tcPr>
                  <w:tcW w:w="1066" w:type="pct"/>
                  <w:vMerge w:val="continue"/>
                  <w:vAlign w:val="center"/>
                </w:tcPr>
                <w:p w14:paraId="3AD9DC59">
                  <w:pPr>
                    <w:pStyle w:val="145"/>
                    <w:rPr>
                      <w:color w:val="auto"/>
                    </w:rPr>
                  </w:pPr>
                </w:p>
              </w:tc>
            </w:tr>
          </w:tbl>
          <w:p w14:paraId="560B8888">
            <w:pPr>
              <w:ind w:firstLine="480"/>
              <w:rPr>
                <w:color w:val="auto"/>
                <w:kern w:val="0"/>
              </w:rPr>
            </w:pPr>
            <w:r>
              <w:rPr>
                <w:color w:val="auto"/>
                <w:kern w:val="0"/>
              </w:rPr>
              <w:t>②大气环境分区管控要求</w:t>
            </w:r>
          </w:p>
          <w:p w14:paraId="3F20F6B8">
            <w:pPr>
              <w:autoSpaceDE w:val="0"/>
              <w:autoSpaceDN w:val="0"/>
              <w:ind w:firstLine="480"/>
              <w:jc w:val="left"/>
              <w:rPr>
                <w:color w:val="auto"/>
                <w:kern w:val="0"/>
              </w:rPr>
            </w:pPr>
            <w:r>
              <w:rPr>
                <w:color w:val="auto"/>
                <w:kern w:val="0"/>
              </w:rPr>
              <w:t>根据《宿州市“三线一单”文本》及宿州市大气环境分区管控图，本项目位于重点管控区，详见附图7。</w:t>
            </w:r>
          </w:p>
          <w:p w14:paraId="07778757">
            <w:pPr>
              <w:pStyle w:val="58"/>
              <w:ind w:firstLine="422"/>
              <w:rPr>
                <w:color w:val="auto"/>
              </w:rPr>
            </w:pPr>
            <w:r>
              <w:rPr>
                <w:color w:val="auto"/>
              </w:rPr>
              <w:t>表1-</w:t>
            </w:r>
            <w:r>
              <w:rPr>
                <w:rFonts w:hint="eastAsia"/>
                <w:color w:val="auto"/>
                <w:lang w:val="en-US" w:eastAsia="zh-CN"/>
              </w:rPr>
              <w:t>4</w:t>
            </w:r>
            <w:r>
              <w:rPr>
                <w:color w:val="auto"/>
              </w:rPr>
              <w:t>与大气环境分区管控要求的协调性分析</w:t>
            </w:r>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49"/>
              <w:gridCol w:w="876"/>
              <w:gridCol w:w="3512"/>
              <w:gridCol w:w="1992"/>
            </w:tblGrid>
            <w:tr w14:paraId="680D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24" w:type="pct"/>
                  <w:vAlign w:val="center"/>
                </w:tcPr>
                <w:p w14:paraId="37AFF753">
                  <w:pPr>
                    <w:pStyle w:val="145"/>
                    <w:rPr>
                      <w:b/>
                      <w:bCs w:val="0"/>
                      <w:color w:val="auto"/>
                    </w:rPr>
                  </w:pPr>
                  <w:r>
                    <w:rPr>
                      <w:b/>
                      <w:bCs w:val="0"/>
                      <w:color w:val="auto"/>
                    </w:rPr>
                    <w:t>管控单元分类</w:t>
                  </w:r>
                </w:p>
              </w:tc>
              <w:tc>
                <w:tcPr>
                  <w:tcW w:w="1020" w:type="pct"/>
                  <w:gridSpan w:val="2"/>
                  <w:vAlign w:val="center"/>
                </w:tcPr>
                <w:p w14:paraId="18D1D837">
                  <w:pPr>
                    <w:pStyle w:val="145"/>
                    <w:rPr>
                      <w:b/>
                      <w:bCs w:val="0"/>
                      <w:color w:val="auto"/>
                    </w:rPr>
                  </w:pPr>
                  <w:r>
                    <w:rPr>
                      <w:b/>
                      <w:bCs w:val="0"/>
                      <w:color w:val="auto"/>
                    </w:rPr>
                    <w:t>管控内容</w:t>
                  </w:r>
                </w:p>
              </w:tc>
              <w:tc>
                <w:tcPr>
                  <w:tcW w:w="2204" w:type="pct"/>
                  <w:vAlign w:val="center"/>
                </w:tcPr>
                <w:p w14:paraId="6F4F9D49">
                  <w:pPr>
                    <w:pStyle w:val="145"/>
                    <w:rPr>
                      <w:b/>
                      <w:bCs w:val="0"/>
                      <w:color w:val="auto"/>
                    </w:rPr>
                  </w:pPr>
                  <w:r>
                    <w:rPr>
                      <w:b/>
                      <w:bCs w:val="0"/>
                      <w:color w:val="auto"/>
                    </w:rPr>
                    <w:t>环境管控要求</w:t>
                  </w:r>
                </w:p>
              </w:tc>
              <w:tc>
                <w:tcPr>
                  <w:tcW w:w="1250" w:type="pct"/>
                  <w:vAlign w:val="center"/>
                </w:tcPr>
                <w:p w14:paraId="6184525E">
                  <w:pPr>
                    <w:pStyle w:val="145"/>
                    <w:rPr>
                      <w:b/>
                      <w:bCs w:val="0"/>
                      <w:color w:val="auto"/>
                    </w:rPr>
                  </w:pPr>
                  <w:r>
                    <w:rPr>
                      <w:b/>
                      <w:bCs w:val="0"/>
                      <w:color w:val="auto"/>
                    </w:rPr>
                    <w:t>本项目情况</w:t>
                  </w:r>
                </w:p>
              </w:tc>
            </w:tr>
            <w:tr w14:paraId="486B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restart"/>
                  <w:vAlign w:val="center"/>
                </w:tcPr>
                <w:p w14:paraId="21F887A4">
                  <w:pPr>
                    <w:pStyle w:val="145"/>
                    <w:rPr>
                      <w:color w:val="auto"/>
                    </w:rPr>
                  </w:pPr>
                  <w:r>
                    <w:rPr>
                      <w:color w:val="auto"/>
                    </w:rPr>
                    <w:t>大气重点管控区</w:t>
                  </w:r>
                </w:p>
              </w:tc>
              <w:tc>
                <w:tcPr>
                  <w:tcW w:w="470" w:type="pct"/>
                  <w:vMerge w:val="restart"/>
                  <w:vAlign w:val="center"/>
                </w:tcPr>
                <w:p w14:paraId="2117C24A">
                  <w:pPr>
                    <w:pStyle w:val="145"/>
                    <w:rPr>
                      <w:color w:val="auto"/>
                    </w:rPr>
                  </w:pPr>
                  <w:r>
                    <w:rPr>
                      <w:color w:val="auto"/>
                    </w:rPr>
                    <w:t>空间布局管控约束</w:t>
                  </w:r>
                </w:p>
              </w:tc>
              <w:tc>
                <w:tcPr>
                  <w:tcW w:w="549" w:type="pct"/>
                  <w:vMerge w:val="restart"/>
                  <w:vAlign w:val="center"/>
                </w:tcPr>
                <w:p w14:paraId="69E9E84A">
                  <w:pPr>
                    <w:pStyle w:val="145"/>
                    <w:rPr>
                      <w:color w:val="auto"/>
                    </w:rPr>
                  </w:pPr>
                  <w:r>
                    <w:rPr>
                      <w:color w:val="auto"/>
                    </w:rPr>
                    <w:t>禁止开发建设活动的要求</w:t>
                  </w:r>
                </w:p>
              </w:tc>
              <w:tc>
                <w:tcPr>
                  <w:tcW w:w="2204" w:type="pct"/>
                  <w:vAlign w:val="center"/>
                </w:tcPr>
                <w:p w14:paraId="27172DAD">
                  <w:pPr>
                    <w:pStyle w:val="145"/>
                    <w:rPr>
                      <w:color w:val="auto"/>
                    </w:rPr>
                  </w:pPr>
                  <w:r>
                    <w:rPr>
                      <w:color w:val="auto"/>
                    </w:rPr>
                    <w:t>在城市城区及其近郊禁止新建、扩建钢铁、有色、石化、水泥、化工等重污染企业。</w:t>
                  </w:r>
                </w:p>
              </w:tc>
              <w:tc>
                <w:tcPr>
                  <w:tcW w:w="1250" w:type="pct"/>
                  <w:vAlign w:val="center"/>
                </w:tcPr>
                <w:p w14:paraId="47B9B90B">
                  <w:pPr>
                    <w:pStyle w:val="145"/>
                    <w:rPr>
                      <w:color w:val="auto"/>
                    </w:rPr>
                  </w:pPr>
                  <w:r>
                    <w:rPr>
                      <w:color w:val="auto"/>
                    </w:rPr>
                    <w:t>本项目不属于钢铁、有色、石化、水泥、化工等重污染企业</w:t>
                  </w:r>
                </w:p>
              </w:tc>
            </w:tr>
            <w:tr w14:paraId="4373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7E25F088">
                  <w:pPr>
                    <w:pStyle w:val="145"/>
                    <w:rPr>
                      <w:color w:val="auto"/>
                    </w:rPr>
                  </w:pPr>
                </w:p>
              </w:tc>
              <w:tc>
                <w:tcPr>
                  <w:tcW w:w="470" w:type="pct"/>
                  <w:vMerge w:val="continue"/>
                  <w:vAlign w:val="center"/>
                </w:tcPr>
                <w:p w14:paraId="408B4DEA">
                  <w:pPr>
                    <w:pStyle w:val="145"/>
                    <w:rPr>
                      <w:color w:val="auto"/>
                    </w:rPr>
                  </w:pPr>
                </w:p>
              </w:tc>
              <w:tc>
                <w:tcPr>
                  <w:tcW w:w="549" w:type="pct"/>
                  <w:vMerge w:val="continue"/>
                  <w:vAlign w:val="center"/>
                </w:tcPr>
                <w:p w14:paraId="24C97DB1">
                  <w:pPr>
                    <w:pStyle w:val="145"/>
                    <w:rPr>
                      <w:color w:val="auto"/>
                    </w:rPr>
                  </w:pPr>
                </w:p>
              </w:tc>
              <w:tc>
                <w:tcPr>
                  <w:tcW w:w="2204" w:type="pct"/>
                  <w:vAlign w:val="center"/>
                </w:tcPr>
                <w:p w14:paraId="703BBCEC">
                  <w:pPr>
                    <w:pStyle w:val="145"/>
                    <w:rPr>
                      <w:color w:val="auto"/>
                    </w:rPr>
                  </w:pPr>
                  <w:r>
                    <w:rPr>
                      <w:color w:val="auto"/>
                    </w:rPr>
                    <w:t>严格执行国家关于“两高”产业准入目录和产能总量控制政策措施。严禁钢铁、焦化、电解铝、铸造、水泥和平板玻璃等产能；新、改、扩建涉及大宗物料运输的建设项目，原则上不得采用公路运输。</w:t>
                  </w:r>
                </w:p>
              </w:tc>
              <w:tc>
                <w:tcPr>
                  <w:tcW w:w="1250" w:type="pct"/>
                  <w:vAlign w:val="center"/>
                </w:tcPr>
                <w:p w14:paraId="184E7E8A">
                  <w:pPr>
                    <w:pStyle w:val="145"/>
                    <w:rPr>
                      <w:color w:val="auto"/>
                    </w:rPr>
                  </w:pPr>
                  <w:r>
                    <w:rPr>
                      <w:color w:val="auto"/>
                    </w:rPr>
                    <w:t>根据《安徽省“两高”项目管理目录（试行）》可知，本项目不属于“两高”项目。</w:t>
                  </w:r>
                </w:p>
              </w:tc>
            </w:tr>
            <w:tr w14:paraId="411F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18966AF8">
                  <w:pPr>
                    <w:pStyle w:val="145"/>
                    <w:rPr>
                      <w:color w:val="auto"/>
                    </w:rPr>
                  </w:pPr>
                </w:p>
              </w:tc>
              <w:tc>
                <w:tcPr>
                  <w:tcW w:w="470" w:type="pct"/>
                  <w:vMerge w:val="continue"/>
                  <w:vAlign w:val="center"/>
                </w:tcPr>
                <w:p w14:paraId="3DD4EB62">
                  <w:pPr>
                    <w:pStyle w:val="145"/>
                    <w:rPr>
                      <w:color w:val="auto"/>
                    </w:rPr>
                  </w:pPr>
                </w:p>
              </w:tc>
              <w:tc>
                <w:tcPr>
                  <w:tcW w:w="549" w:type="pct"/>
                  <w:vMerge w:val="continue"/>
                  <w:vAlign w:val="center"/>
                </w:tcPr>
                <w:p w14:paraId="3C9DCFA9">
                  <w:pPr>
                    <w:pStyle w:val="145"/>
                    <w:rPr>
                      <w:color w:val="auto"/>
                    </w:rPr>
                  </w:pPr>
                </w:p>
              </w:tc>
              <w:tc>
                <w:tcPr>
                  <w:tcW w:w="2204" w:type="pct"/>
                  <w:vAlign w:val="center"/>
                </w:tcPr>
                <w:p w14:paraId="25AFCAED">
                  <w:pPr>
                    <w:pStyle w:val="145"/>
                    <w:rPr>
                      <w:color w:val="auto"/>
                    </w:rPr>
                  </w:pPr>
                  <w:r>
                    <w:rPr>
                      <w:color w:val="auto"/>
                    </w:rPr>
                    <w:t>禁止建设生产和使用高VOCs含量的溶剂型涂料、油墨、胶粘剂等项目。</w:t>
                  </w:r>
                </w:p>
              </w:tc>
              <w:tc>
                <w:tcPr>
                  <w:tcW w:w="1250" w:type="pct"/>
                  <w:vAlign w:val="center"/>
                </w:tcPr>
                <w:p w14:paraId="3164D15C">
                  <w:pPr>
                    <w:pStyle w:val="145"/>
                    <w:rPr>
                      <w:color w:val="auto"/>
                    </w:rPr>
                  </w:pPr>
                  <w:r>
                    <w:rPr>
                      <w:rFonts w:hint="eastAsia"/>
                      <w:color w:val="auto"/>
                    </w:rPr>
                    <w:t>本项目水性油墨满足《油墨中可挥发性有机化合物(VOCs)含量的限值》（GB38507- 2020）</w:t>
                  </w:r>
                  <w:r>
                    <w:rPr>
                      <w:color w:val="auto"/>
                    </w:rPr>
                    <w:t>，不属于高VOCs含量的溶剂型油墨</w:t>
                  </w:r>
                </w:p>
              </w:tc>
            </w:tr>
            <w:tr w14:paraId="55FD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30357179">
                  <w:pPr>
                    <w:pStyle w:val="145"/>
                    <w:rPr>
                      <w:color w:val="auto"/>
                    </w:rPr>
                  </w:pPr>
                </w:p>
              </w:tc>
              <w:tc>
                <w:tcPr>
                  <w:tcW w:w="470" w:type="pct"/>
                  <w:vMerge w:val="continue"/>
                  <w:vAlign w:val="center"/>
                </w:tcPr>
                <w:p w14:paraId="63470712">
                  <w:pPr>
                    <w:pStyle w:val="145"/>
                    <w:rPr>
                      <w:color w:val="auto"/>
                    </w:rPr>
                  </w:pPr>
                </w:p>
              </w:tc>
              <w:tc>
                <w:tcPr>
                  <w:tcW w:w="549" w:type="pct"/>
                  <w:vMerge w:val="restart"/>
                  <w:vAlign w:val="center"/>
                </w:tcPr>
                <w:p w14:paraId="4CCE1A09">
                  <w:pPr>
                    <w:pStyle w:val="145"/>
                    <w:rPr>
                      <w:color w:val="auto"/>
                    </w:rPr>
                  </w:pPr>
                  <w:r>
                    <w:rPr>
                      <w:color w:val="auto"/>
                    </w:rPr>
                    <w:t>限制开发建设活动的要求</w:t>
                  </w:r>
                </w:p>
              </w:tc>
              <w:tc>
                <w:tcPr>
                  <w:tcW w:w="2204" w:type="pct"/>
                  <w:vAlign w:val="center"/>
                </w:tcPr>
                <w:p w14:paraId="16C9D224">
                  <w:pPr>
                    <w:pStyle w:val="145"/>
                    <w:rPr>
                      <w:color w:val="auto"/>
                    </w:rPr>
                  </w:pPr>
                  <w:r>
                    <w:rPr>
                      <w:color w:val="auto"/>
                    </w:rPr>
                    <w:t>加大钢铁、铸造、炼焦、建材、电解铝等产能压减力度。</w:t>
                  </w:r>
                </w:p>
              </w:tc>
              <w:tc>
                <w:tcPr>
                  <w:tcW w:w="1250" w:type="pct"/>
                  <w:vAlign w:val="center"/>
                </w:tcPr>
                <w:p w14:paraId="6F8170C6">
                  <w:pPr>
                    <w:pStyle w:val="145"/>
                    <w:rPr>
                      <w:color w:val="auto"/>
                    </w:rPr>
                  </w:pPr>
                  <w:r>
                    <w:rPr>
                      <w:color w:val="auto"/>
                    </w:rPr>
                    <w:t>本项目不涉及</w:t>
                  </w:r>
                </w:p>
              </w:tc>
            </w:tr>
            <w:tr w14:paraId="3D01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04EB43BD">
                  <w:pPr>
                    <w:pStyle w:val="145"/>
                    <w:rPr>
                      <w:color w:val="auto"/>
                    </w:rPr>
                  </w:pPr>
                </w:p>
              </w:tc>
              <w:tc>
                <w:tcPr>
                  <w:tcW w:w="470" w:type="pct"/>
                  <w:vMerge w:val="continue"/>
                  <w:vAlign w:val="center"/>
                </w:tcPr>
                <w:p w14:paraId="66078422">
                  <w:pPr>
                    <w:pStyle w:val="145"/>
                    <w:rPr>
                      <w:color w:val="auto"/>
                    </w:rPr>
                  </w:pPr>
                </w:p>
              </w:tc>
              <w:tc>
                <w:tcPr>
                  <w:tcW w:w="549" w:type="pct"/>
                  <w:vMerge w:val="continue"/>
                  <w:vAlign w:val="center"/>
                </w:tcPr>
                <w:p w14:paraId="3A496CFA">
                  <w:pPr>
                    <w:pStyle w:val="145"/>
                    <w:rPr>
                      <w:color w:val="auto"/>
                    </w:rPr>
                  </w:pPr>
                </w:p>
              </w:tc>
              <w:tc>
                <w:tcPr>
                  <w:tcW w:w="2204" w:type="pct"/>
                  <w:vAlign w:val="center"/>
                </w:tcPr>
                <w:p w14:paraId="1DB38363">
                  <w:pPr>
                    <w:pStyle w:val="145"/>
                    <w:rPr>
                      <w:color w:val="auto"/>
                    </w:rPr>
                  </w:pPr>
                  <w:r>
                    <w:rPr>
                      <w:color w:val="auto"/>
                    </w:rPr>
                    <w:t>严格资源节约和环保准入门槛，转入项目必须符合国家产业政策、资源节约和污染物排放强度要求，避免产业转移中的资源浪费和污染扩散。</w:t>
                  </w:r>
                </w:p>
              </w:tc>
              <w:tc>
                <w:tcPr>
                  <w:tcW w:w="1250" w:type="pct"/>
                  <w:vAlign w:val="center"/>
                </w:tcPr>
                <w:p w14:paraId="23AFE88F">
                  <w:pPr>
                    <w:pStyle w:val="145"/>
                    <w:rPr>
                      <w:color w:val="auto"/>
                    </w:rPr>
                  </w:pPr>
                  <w:r>
                    <w:rPr>
                      <w:color w:val="auto"/>
                    </w:rPr>
                    <w:t>本项目符合国家产业政策</w:t>
                  </w:r>
                </w:p>
              </w:tc>
            </w:tr>
            <w:tr w14:paraId="786A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39A9917B">
                  <w:pPr>
                    <w:pStyle w:val="145"/>
                    <w:rPr>
                      <w:color w:val="auto"/>
                    </w:rPr>
                  </w:pPr>
                </w:p>
              </w:tc>
              <w:tc>
                <w:tcPr>
                  <w:tcW w:w="470" w:type="pct"/>
                  <w:vMerge w:val="continue"/>
                  <w:vAlign w:val="center"/>
                </w:tcPr>
                <w:p w14:paraId="457D373E">
                  <w:pPr>
                    <w:pStyle w:val="145"/>
                    <w:rPr>
                      <w:color w:val="auto"/>
                    </w:rPr>
                  </w:pPr>
                </w:p>
              </w:tc>
              <w:tc>
                <w:tcPr>
                  <w:tcW w:w="549" w:type="pct"/>
                  <w:vMerge w:val="continue"/>
                  <w:vAlign w:val="center"/>
                </w:tcPr>
                <w:p w14:paraId="36454834">
                  <w:pPr>
                    <w:pStyle w:val="145"/>
                    <w:rPr>
                      <w:color w:val="auto"/>
                    </w:rPr>
                  </w:pPr>
                </w:p>
              </w:tc>
              <w:tc>
                <w:tcPr>
                  <w:tcW w:w="2204" w:type="pct"/>
                  <w:vAlign w:val="center"/>
                </w:tcPr>
                <w:p w14:paraId="005174E4">
                  <w:pPr>
                    <w:pStyle w:val="145"/>
                    <w:rPr>
                      <w:color w:val="auto"/>
                    </w:rPr>
                  </w:pPr>
                  <w:r>
                    <w:rPr>
                      <w:color w:val="auto"/>
                    </w:rPr>
                    <w:t>对污染治理不规范的露天矿山，依法责令停产整治，整治完成并经相关部门组织验收合格后方可恢复生产。</w:t>
                  </w:r>
                </w:p>
              </w:tc>
              <w:tc>
                <w:tcPr>
                  <w:tcW w:w="1250" w:type="pct"/>
                  <w:vAlign w:val="center"/>
                </w:tcPr>
                <w:p w14:paraId="454596E1">
                  <w:pPr>
                    <w:pStyle w:val="145"/>
                    <w:rPr>
                      <w:color w:val="auto"/>
                    </w:rPr>
                  </w:pPr>
                  <w:r>
                    <w:rPr>
                      <w:color w:val="auto"/>
                    </w:rPr>
                    <w:t>本项目不涉及</w:t>
                  </w:r>
                </w:p>
              </w:tc>
            </w:tr>
            <w:tr w14:paraId="5D99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0D3D8D00">
                  <w:pPr>
                    <w:pStyle w:val="145"/>
                    <w:rPr>
                      <w:color w:val="auto"/>
                    </w:rPr>
                  </w:pPr>
                </w:p>
              </w:tc>
              <w:tc>
                <w:tcPr>
                  <w:tcW w:w="470" w:type="pct"/>
                  <w:vMerge w:val="continue"/>
                  <w:vAlign w:val="center"/>
                </w:tcPr>
                <w:p w14:paraId="5C790266">
                  <w:pPr>
                    <w:pStyle w:val="145"/>
                    <w:rPr>
                      <w:color w:val="auto"/>
                    </w:rPr>
                  </w:pPr>
                </w:p>
              </w:tc>
              <w:tc>
                <w:tcPr>
                  <w:tcW w:w="549" w:type="pct"/>
                  <w:vMerge w:val="continue"/>
                  <w:vAlign w:val="center"/>
                </w:tcPr>
                <w:p w14:paraId="6DDB20C6">
                  <w:pPr>
                    <w:pStyle w:val="145"/>
                    <w:rPr>
                      <w:color w:val="auto"/>
                    </w:rPr>
                  </w:pPr>
                </w:p>
              </w:tc>
              <w:tc>
                <w:tcPr>
                  <w:tcW w:w="2204" w:type="pct"/>
                  <w:vAlign w:val="center"/>
                </w:tcPr>
                <w:p w14:paraId="528A9F1D">
                  <w:pPr>
                    <w:pStyle w:val="145"/>
                    <w:rPr>
                      <w:color w:val="auto"/>
                    </w:rPr>
                  </w:pPr>
                  <w:r>
                    <w:rPr>
                      <w:color w:val="auto"/>
                    </w:rPr>
                    <w:t>加大落后产能淘汰和过剩产能压减力度。严防“地条钢”死灰复燃。</w:t>
                  </w:r>
                </w:p>
              </w:tc>
              <w:tc>
                <w:tcPr>
                  <w:tcW w:w="1250" w:type="pct"/>
                  <w:vAlign w:val="center"/>
                </w:tcPr>
                <w:p w14:paraId="2A9B1510">
                  <w:pPr>
                    <w:pStyle w:val="145"/>
                    <w:rPr>
                      <w:color w:val="auto"/>
                    </w:rPr>
                  </w:pPr>
                  <w:r>
                    <w:rPr>
                      <w:color w:val="auto"/>
                    </w:rPr>
                    <w:t>本项目不涉及</w:t>
                  </w:r>
                </w:p>
              </w:tc>
            </w:tr>
            <w:tr w14:paraId="04B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2D5749AA">
                  <w:pPr>
                    <w:pStyle w:val="145"/>
                    <w:rPr>
                      <w:color w:val="auto"/>
                    </w:rPr>
                  </w:pPr>
                </w:p>
              </w:tc>
              <w:tc>
                <w:tcPr>
                  <w:tcW w:w="470" w:type="pct"/>
                  <w:vMerge w:val="restart"/>
                  <w:vAlign w:val="center"/>
                </w:tcPr>
                <w:p w14:paraId="3CBFE460">
                  <w:pPr>
                    <w:pStyle w:val="145"/>
                    <w:rPr>
                      <w:color w:val="auto"/>
                    </w:rPr>
                  </w:pPr>
                </w:p>
                <w:p w14:paraId="686C3D9A">
                  <w:pPr>
                    <w:pStyle w:val="145"/>
                    <w:rPr>
                      <w:color w:val="auto"/>
                    </w:rPr>
                  </w:pPr>
                </w:p>
                <w:p w14:paraId="29727A4E">
                  <w:pPr>
                    <w:pStyle w:val="145"/>
                    <w:rPr>
                      <w:color w:val="auto"/>
                    </w:rPr>
                  </w:pPr>
                </w:p>
                <w:p w14:paraId="24127880">
                  <w:pPr>
                    <w:pStyle w:val="145"/>
                    <w:rPr>
                      <w:color w:val="auto"/>
                    </w:rPr>
                  </w:pPr>
                  <w:r>
                    <w:rPr>
                      <w:color w:val="auto"/>
                    </w:rPr>
                    <w:t>污染物排放管控</w:t>
                  </w:r>
                </w:p>
              </w:tc>
              <w:tc>
                <w:tcPr>
                  <w:tcW w:w="549" w:type="pct"/>
                  <w:vMerge w:val="restart"/>
                  <w:vAlign w:val="center"/>
                </w:tcPr>
                <w:p w14:paraId="356EE7A1">
                  <w:pPr>
                    <w:pStyle w:val="145"/>
                    <w:rPr>
                      <w:color w:val="auto"/>
                    </w:rPr>
                  </w:pPr>
                </w:p>
                <w:p w14:paraId="228AC89A">
                  <w:pPr>
                    <w:pStyle w:val="145"/>
                    <w:rPr>
                      <w:color w:val="auto"/>
                    </w:rPr>
                  </w:pPr>
                </w:p>
                <w:p w14:paraId="0C477C45">
                  <w:pPr>
                    <w:pStyle w:val="145"/>
                    <w:rPr>
                      <w:color w:val="auto"/>
                    </w:rPr>
                  </w:pPr>
                </w:p>
                <w:p w14:paraId="600AA1A2">
                  <w:pPr>
                    <w:pStyle w:val="145"/>
                    <w:rPr>
                      <w:color w:val="auto"/>
                    </w:rPr>
                  </w:pPr>
                  <w:r>
                    <w:rPr>
                      <w:color w:val="auto"/>
                    </w:rPr>
                    <w:t>大气污染控制措施要求</w:t>
                  </w:r>
                </w:p>
              </w:tc>
              <w:tc>
                <w:tcPr>
                  <w:tcW w:w="2204" w:type="pct"/>
                  <w:vAlign w:val="center"/>
                </w:tcPr>
                <w:p w14:paraId="0D9C5A27">
                  <w:pPr>
                    <w:pStyle w:val="145"/>
                    <w:rPr>
                      <w:color w:val="auto"/>
                    </w:rPr>
                  </w:pPr>
                  <w:r>
                    <w:rPr>
                      <w:color w:val="auto"/>
                    </w:rPr>
                    <w:t>新建、改建、扩建排放重点大气污染物的项目不符合总量控制要求的，不得通过环境影响评价。</w:t>
                  </w:r>
                </w:p>
              </w:tc>
              <w:tc>
                <w:tcPr>
                  <w:tcW w:w="1250" w:type="pct"/>
                  <w:vAlign w:val="center"/>
                </w:tcPr>
                <w:p w14:paraId="5F0FC45E">
                  <w:pPr>
                    <w:pStyle w:val="145"/>
                    <w:rPr>
                      <w:color w:val="auto"/>
                    </w:rPr>
                  </w:pPr>
                  <w:r>
                    <w:rPr>
                      <w:color w:val="auto"/>
                    </w:rPr>
                    <w:t>经宿州市生态环境局最终核定，本项目总量控制指标为挥发性有机物</w:t>
                  </w:r>
                  <w:r>
                    <w:rPr>
                      <w:rFonts w:hint="eastAsia"/>
                      <w:color w:val="auto"/>
                      <w:lang w:eastAsia="zh-CN"/>
                    </w:rPr>
                    <w:t>0.43</w:t>
                  </w:r>
                  <w:r>
                    <w:rPr>
                      <w:color w:val="auto"/>
                    </w:rPr>
                    <w:t>吨/年。</w:t>
                  </w:r>
                </w:p>
                <w:p w14:paraId="45D82905">
                  <w:pPr>
                    <w:pStyle w:val="145"/>
                    <w:rPr>
                      <w:color w:val="auto"/>
                    </w:rPr>
                  </w:pPr>
                  <w:r>
                    <w:rPr>
                      <w:color w:val="auto"/>
                    </w:rPr>
                    <w:t>本项目大气污染物排放满足总量控制指标要求</w:t>
                  </w:r>
                </w:p>
              </w:tc>
            </w:tr>
            <w:tr w14:paraId="13EB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38AE4F57">
                  <w:pPr>
                    <w:pStyle w:val="145"/>
                    <w:rPr>
                      <w:color w:val="auto"/>
                    </w:rPr>
                  </w:pPr>
                </w:p>
              </w:tc>
              <w:tc>
                <w:tcPr>
                  <w:tcW w:w="470" w:type="pct"/>
                  <w:vMerge w:val="continue"/>
                  <w:vAlign w:val="center"/>
                </w:tcPr>
                <w:p w14:paraId="2FA0D2CE">
                  <w:pPr>
                    <w:pStyle w:val="145"/>
                    <w:rPr>
                      <w:color w:val="auto"/>
                    </w:rPr>
                  </w:pPr>
                </w:p>
              </w:tc>
              <w:tc>
                <w:tcPr>
                  <w:tcW w:w="549" w:type="pct"/>
                  <w:vMerge w:val="continue"/>
                  <w:vAlign w:val="center"/>
                </w:tcPr>
                <w:p w14:paraId="576D4233">
                  <w:pPr>
                    <w:pStyle w:val="145"/>
                    <w:rPr>
                      <w:color w:val="auto"/>
                    </w:rPr>
                  </w:pPr>
                </w:p>
              </w:tc>
              <w:tc>
                <w:tcPr>
                  <w:tcW w:w="2204" w:type="pct"/>
                  <w:vAlign w:val="center"/>
                </w:tcPr>
                <w:p w14:paraId="63275D33">
                  <w:pPr>
                    <w:pStyle w:val="145"/>
                    <w:rPr>
                      <w:color w:val="auto"/>
                    </w:rPr>
                  </w:pPr>
                  <w:r>
                    <w:rPr>
                      <w:color w:val="auto"/>
                    </w:rPr>
                    <w:t>深入推进包装印刷行业VOCs综合治理。推广使用低（无）VOCs含量的绿色原辅材料和先进生产工艺、设备，加强无组织废气收集，优化烘干技术，配套建设末端治理措施，实现包装印刷行业VOCs全过程控制。</w:t>
                  </w:r>
                </w:p>
              </w:tc>
              <w:tc>
                <w:tcPr>
                  <w:tcW w:w="1250" w:type="pct"/>
                  <w:vAlign w:val="center"/>
                </w:tcPr>
                <w:p w14:paraId="3BFE215D">
                  <w:pPr>
                    <w:pStyle w:val="145"/>
                    <w:rPr>
                      <w:color w:val="auto"/>
                    </w:rPr>
                  </w:pPr>
                  <w:r>
                    <w:rPr>
                      <w:color w:val="auto"/>
                    </w:rPr>
                    <w:t>本项目</w:t>
                  </w:r>
                  <w:r>
                    <w:rPr>
                      <w:rFonts w:hint="eastAsia"/>
                      <w:color w:val="auto"/>
                    </w:rPr>
                    <w:t>印刷工序</w:t>
                  </w:r>
                  <w:r>
                    <w:rPr>
                      <w:color w:val="auto"/>
                    </w:rPr>
                    <w:t>水性油墨满足《油墨中可挥发性有机化合物(VOCs)含量的限值》（GB38507- 2020）</w:t>
                  </w:r>
                </w:p>
              </w:tc>
            </w:tr>
            <w:tr w14:paraId="0D79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597F9D8A">
                  <w:pPr>
                    <w:pStyle w:val="145"/>
                    <w:rPr>
                      <w:color w:val="auto"/>
                    </w:rPr>
                  </w:pPr>
                </w:p>
              </w:tc>
              <w:tc>
                <w:tcPr>
                  <w:tcW w:w="470" w:type="pct"/>
                  <w:vMerge w:val="continue"/>
                  <w:vAlign w:val="center"/>
                </w:tcPr>
                <w:p w14:paraId="7CED83F0">
                  <w:pPr>
                    <w:pStyle w:val="145"/>
                    <w:rPr>
                      <w:color w:val="auto"/>
                    </w:rPr>
                  </w:pPr>
                </w:p>
              </w:tc>
              <w:tc>
                <w:tcPr>
                  <w:tcW w:w="549" w:type="pct"/>
                  <w:vMerge w:val="continue"/>
                  <w:vAlign w:val="center"/>
                </w:tcPr>
                <w:p w14:paraId="01C376D6">
                  <w:pPr>
                    <w:pStyle w:val="145"/>
                    <w:rPr>
                      <w:color w:val="auto"/>
                    </w:rPr>
                  </w:pPr>
                </w:p>
              </w:tc>
              <w:tc>
                <w:tcPr>
                  <w:tcW w:w="2204" w:type="pct"/>
                  <w:vAlign w:val="center"/>
                </w:tcPr>
                <w:p w14:paraId="47B8777C">
                  <w:pPr>
                    <w:pStyle w:val="145"/>
                    <w:rPr>
                      <w:color w:val="auto"/>
                    </w:rPr>
                  </w:pPr>
                  <w:r>
                    <w:rPr>
                      <w:color w:val="auto"/>
                    </w:rPr>
                    <w:t>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1250" w:type="pct"/>
                  <w:vAlign w:val="center"/>
                </w:tcPr>
                <w:p w14:paraId="30649E1F">
                  <w:pPr>
                    <w:pStyle w:val="145"/>
                    <w:rPr>
                      <w:color w:val="auto"/>
                    </w:rPr>
                  </w:pPr>
                  <w:r>
                    <w:rPr>
                      <w:rFonts w:hint="eastAsia"/>
                      <w:color w:val="auto"/>
                    </w:rPr>
                    <w:t>本项目水性油墨满足《油墨中可挥发性有机化合物(VOCs)含量的限值》（GB38507- 2020）</w:t>
                  </w:r>
                  <w:r>
                    <w:rPr>
                      <w:color w:val="auto"/>
                    </w:rPr>
                    <w:t>，不使用高VOCs含量的溶剂型油墨</w:t>
                  </w:r>
                </w:p>
              </w:tc>
            </w:tr>
            <w:tr w14:paraId="021C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24" w:type="pct"/>
                  <w:vMerge w:val="continue"/>
                  <w:vAlign w:val="center"/>
                </w:tcPr>
                <w:p w14:paraId="25898953">
                  <w:pPr>
                    <w:pStyle w:val="145"/>
                    <w:rPr>
                      <w:color w:val="auto"/>
                    </w:rPr>
                  </w:pPr>
                </w:p>
              </w:tc>
              <w:tc>
                <w:tcPr>
                  <w:tcW w:w="470" w:type="pct"/>
                  <w:vMerge w:val="continue"/>
                  <w:vAlign w:val="center"/>
                </w:tcPr>
                <w:p w14:paraId="6CC5E309">
                  <w:pPr>
                    <w:pStyle w:val="145"/>
                    <w:rPr>
                      <w:color w:val="auto"/>
                    </w:rPr>
                  </w:pPr>
                </w:p>
              </w:tc>
              <w:tc>
                <w:tcPr>
                  <w:tcW w:w="549" w:type="pct"/>
                  <w:vMerge w:val="continue"/>
                  <w:vAlign w:val="center"/>
                </w:tcPr>
                <w:p w14:paraId="0EED45FC">
                  <w:pPr>
                    <w:pStyle w:val="145"/>
                    <w:rPr>
                      <w:color w:val="auto"/>
                    </w:rPr>
                  </w:pPr>
                </w:p>
              </w:tc>
              <w:tc>
                <w:tcPr>
                  <w:tcW w:w="2204" w:type="pct"/>
                  <w:vAlign w:val="center"/>
                </w:tcPr>
                <w:p w14:paraId="19F419C5">
                  <w:pPr>
                    <w:pStyle w:val="145"/>
                    <w:rPr>
                      <w:color w:val="auto"/>
                    </w:rPr>
                  </w:pPr>
                  <w:r>
                    <w:rPr>
                      <w:color w:val="auto"/>
                    </w:rPr>
                    <w:t>基本淘汰每小时35蒸吨以下燃煤锅炉及茶水炉、经营性炉灶、储粮烘干设备等燃煤设施，不再新建每小时35蒸吨以下的燃煤锅炉。</w:t>
                  </w:r>
                </w:p>
              </w:tc>
              <w:tc>
                <w:tcPr>
                  <w:tcW w:w="1250" w:type="pct"/>
                  <w:vAlign w:val="center"/>
                </w:tcPr>
                <w:p w14:paraId="75D5217B">
                  <w:pPr>
                    <w:pStyle w:val="145"/>
                    <w:rPr>
                      <w:color w:val="auto"/>
                    </w:rPr>
                  </w:pPr>
                  <w:r>
                    <w:rPr>
                      <w:color w:val="auto"/>
                    </w:rPr>
                    <w:t>本项目不涉及燃煤锅炉及茶水炉、经营性炉灶、储粮烘干设备等燃煤设施</w:t>
                  </w:r>
                </w:p>
              </w:tc>
            </w:tr>
          </w:tbl>
          <w:p w14:paraId="40A12230">
            <w:pPr>
              <w:autoSpaceDE w:val="0"/>
              <w:autoSpaceDN w:val="0"/>
              <w:ind w:firstLine="480"/>
              <w:jc w:val="left"/>
              <w:rPr>
                <w:color w:val="auto"/>
                <w:kern w:val="0"/>
              </w:rPr>
            </w:pPr>
            <w:r>
              <w:rPr>
                <w:color w:val="auto"/>
                <w:kern w:val="0"/>
              </w:rPr>
              <w:t>③土壤环境分区管控要求</w:t>
            </w:r>
          </w:p>
          <w:p w14:paraId="3605AC09">
            <w:pPr>
              <w:autoSpaceDE w:val="0"/>
              <w:autoSpaceDN w:val="0"/>
              <w:ind w:firstLine="480"/>
              <w:jc w:val="left"/>
              <w:rPr>
                <w:color w:val="auto"/>
                <w:kern w:val="0"/>
              </w:rPr>
            </w:pPr>
            <w:r>
              <w:rPr>
                <w:color w:val="auto"/>
                <w:kern w:val="0"/>
              </w:rPr>
              <w:t>根据《宿州市“三线一单”文本》及宿州市土壤环境分区管控图，本项目位于建设用地污染风险重点管控区，详见附图8。</w:t>
            </w:r>
          </w:p>
          <w:p w14:paraId="71F875B7">
            <w:pPr>
              <w:pStyle w:val="58"/>
              <w:ind w:firstLine="422"/>
              <w:rPr>
                <w:color w:val="auto"/>
              </w:rPr>
            </w:pPr>
            <w:r>
              <w:rPr>
                <w:color w:val="auto"/>
              </w:rPr>
              <w:t>表1-</w:t>
            </w:r>
            <w:r>
              <w:rPr>
                <w:rFonts w:hint="eastAsia"/>
                <w:color w:val="auto"/>
                <w:lang w:val="en-US" w:eastAsia="zh-CN"/>
              </w:rPr>
              <w:t>5</w:t>
            </w:r>
            <w:r>
              <w:rPr>
                <w:color w:val="auto"/>
              </w:rPr>
              <w:t>与土壤环境分区管控要求的协调性分析</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013"/>
              <w:gridCol w:w="2788"/>
            </w:tblGrid>
            <w:tr w14:paraId="4DBB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70" w:type="dxa"/>
                  <w:vAlign w:val="center"/>
                </w:tcPr>
                <w:p w14:paraId="7DF50DE4">
                  <w:pPr>
                    <w:pStyle w:val="145"/>
                    <w:rPr>
                      <w:b/>
                      <w:bCs w:val="0"/>
                      <w:color w:val="auto"/>
                    </w:rPr>
                  </w:pPr>
                  <w:r>
                    <w:rPr>
                      <w:b/>
                      <w:bCs w:val="0"/>
                      <w:color w:val="auto"/>
                    </w:rPr>
                    <w:t>管控单元分类</w:t>
                  </w:r>
                </w:p>
              </w:tc>
              <w:tc>
                <w:tcPr>
                  <w:tcW w:w="4013" w:type="dxa"/>
                  <w:vAlign w:val="center"/>
                </w:tcPr>
                <w:p w14:paraId="1B06620D">
                  <w:pPr>
                    <w:pStyle w:val="145"/>
                    <w:rPr>
                      <w:b/>
                      <w:bCs w:val="0"/>
                      <w:color w:val="auto"/>
                    </w:rPr>
                  </w:pPr>
                  <w:r>
                    <w:rPr>
                      <w:b/>
                      <w:bCs w:val="0"/>
                      <w:color w:val="auto"/>
                    </w:rPr>
                    <w:t>环境管控要求</w:t>
                  </w:r>
                </w:p>
              </w:tc>
              <w:tc>
                <w:tcPr>
                  <w:tcW w:w="2788" w:type="dxa"/>
                  <w:vAlign w:val="center"/>
                </w:tcPr>
                <w:p w14:paraId="27415A9A">
                  <w:pPr>
                    <w:pStyle w:val="145"/>
                    <w:rPr>
                      <w:b/>
                      <w:bCs w:val="0"/>
                      <w:color w:val="auto"/>
                    </w:rPr>
                  </w:pPr>
                  <w:r>
                    <w:rPr>
                      <w:b/>
                      <w:bCs w:val="0"/>
                      <w:color w:val="auto"/>
                    </w:rPr>
                    <w:t>协调性分析</w:t>
                  </w:r>
                </w:p>
              </w:tc>
            </w:tr>
            <w:tr w14:paraId="466D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dxa"/>
                  <w:vAlign w:val="center"/>
                </w:tcPr>
                <w:p w14:paraId="6B732B76">
                  <w:pPr>
                    <w:pStyle w:val="145"/>
                    <w:rPr>
                      <w:color w:val="auto"/>
                    </w:rPr>
                  </w:pPr>
                  <w:r>
                    <w:rPr>
                      <w:color w:val="auto"/>
                    </w:rPr>
                    <w:t>建设用地污染风险重点管控区</w:t>
                  </w:r>
                </w:p>
              </w:tc>
              <w:tc>
                <w:tcPr>
                  <w:tcW w:w="4013" w:type="dxa"/>
                  <w:vAlign w:val="center"/>
                </w:tcPr>
                <w:p w14:paraId="63419BF6">
                  <w:pPr>
                    <w:pStyle w:val="145"/>
                    <w:rPr>
                      <w:color w:val="auto"/>
                    </w:rPr>
                  </w:pPr>
                  <w:r>
                    <w:rPr>
                      <w:color w:val="auto"/>
                    </w:rPr>
                    <w:t>落实《安徽省“十三五”环境保护规划》《安徽省“十三五”重金属污染综合防治规划》《安徽省“十三五”危险废物污染防治规划》《安徽省土壤污染防治工作方案》《污染地块土壤环境管理办法》《宿州市土壤污染防治工作方案》《砀山县土壤污染防治工作方案的通知(砀政秘(2017)162号)》《萧县土壤污染防治工作方案》等要求:加强涉重金属行业污染防控,推进重金属行业污染排查整治:加大涉重金属行业企业监管力度，对重金属重点行业企业实行全口径清单管理并动态更新;开展重点行业企业用地调查，督促土壤环境重点监管企业按规范开展自行监测:建立固体度物单位清单，实行危险废物和工业废物全过程申报登记，防止工业企业搬迁关停过程中的二次污染和次生环境风险;严格执行危险废物转移电子联单制度，提高危废管理水平;防止土壤污染风险。</w:t>
                  </w:r>
                </w:p>
              </w:tc>
              <w:tc>
                <w:tcPr>
                  <w:tcW w:w="2788" w:type="dxa"/>
                  <w:vAlign w:val="center"/>
                </w:tcPr>
                <w:p w14:paraId="2076D978">
                  <w:pPr>
                    <w:pStyle w:val="145"/>
                    <w:rPr>
                      <w:color w:val="auto"/>
                    </w:rPr>
                  </w:pPr>
                  <w:r>
                    <w:rPr>
                      <w:color w:val="auto"/>
                    </w:rPr>
                    <w:t>企业固废按照国家有关规定进行安全处置；本项目不用地，项目对可能产生地下水、土壤影响的各项途径均进行有效预防</w:t>
                  </w:r>
                </w:p>
              </w:tc>
            </w:tr>
          </w:tbl>
          <w:p w14:paraId="59216060">
            <w:pPr>
              <w:ind w:firstLine="480"/>
              <w:rPr>
                <w:color w:val="auto"/>
                <w:kern w:val="0"/>
              </w:rPr>
            </w:pPr>
            <w:r>
              <w:rPr>
                <w:color w:val="auto"/>
                <w:kern w:val="0"/>
              </w:rPr>
              <w:t>综上</w:t>
            </w:r>
            <w:r>
              <w:rPr>
                <w:color w:val="auto"/>
                <w:szCs w:val="32"/>
              </w:rPr>
              <w:t>分析</w:t>
            </w:r>
            <w:r>
              <w:rPr>
                <w:color w:val="auto"/>
                <w:kern w:val="0"/>
              </w:rPr>
              <w:t>，本项目的建设符合“三线一单”的相关要求。</w:t>
            </w:r>
          </w:p>
          <w:p w14:paraId="00E3EA07">
            <w:pPr>
              <w:autoSpaceDE w:val="0"/>
              <w:autoSpaceDN w:val="0"/>
              <w:adjustRightInd w:val="0"/>
              <w:snapToGrid w:val="0"/>
              <w:ind w:firstLine="482"/>
              <w:rPr>
                <w:rFonts w:hint="eastAsia"/>
                <w:b/>
                <w:color w:val="auto"/>
                <w:kern w:val="0"/>
              </w:rPr>
            </w:pPr>
          </w:p>
          <w:p w14:paraId="52018102">
            <w:pPr>
              <w:autoSpaceDE w:val="0"/>
              <w:autoSpaceDN w:val="0"/>
              <w:adjustRightInd w:val="0"/>
              <w:snapToGrid w:val="0"/>
              <w:ind w:firstLine="482"/>
              <w:rPr>
                <w:b/>
                <w:color w:val="auto"/>
                <w:kern w:val="0"/>
              </w:rPr>
            </w:pPr>
            <w:r>
              <w:rPr>
                <w:rFonts w:hint="eastAsia"/>
                <w:b/>
                <w:color w:val="auto"/>
                <w:kern w:val="0"/>
              </w:rPr>
              <w:t>2</w:t>
            </w:r>
            <w:r>
              <w:rPr>
                <w:b/>
                <w:color w:val="auto"/>
                <w:kern w:val="0"/>
              </w:rPr>
              <w:t>、其他相关法规政策相符性分析</w:t>
            </w:r>
          </w:p>
          <w:p w14:paraId="098458BC">
            <w:pPr>
              <w:adjustRightInd w:val="0"/>
              <w:snapToGrid w:val="0"/>
              <w:ind w:firstLine="472" w:firstLineChars="196"/>
              <w:rPr>
                <w:b/>
                <w:bCs/>
                <w:color w:val="auto"/>
              </w:rPr>
            </w:pPr>
            <w:r>
              <w:rPr>
                <w:b/>
                <w:bCs/>
                <w:color w:val="auto"/>
              </w:rPr>
              <w:t>（1）产业政策相符性分析</w:t>
            </w:r>
          </w:p>
          <w:p w14:paraId="0BD48BEF">
            <w:pPr>
              <w:ind w:firstLine="480"/>
              <w:rPr>
                <w:color w:val="auto"/>
              </w:rPr>
            </w:pPr>
            <w:r>
              <w:rPr>
                <w:color w:val="auto"/>
              </w:rPr>
              <w:t>根据《国民经济行业分类》（GB/T4754-2017），本项目属于</w:t>
            </w:r>
            <w:r>
              <w:rPr>
                <w:rFonts w:hint="eastAsia"/>
                <w:color w:val="auto"/>
              </w:rPr>
              <w:t>“C2412笔的制造、C2929塑料零件及其他塑料制品制造</w:t>
            </w:r>
            <w:r>
              <w:rPr>
                <w:color w:val="auto"/>
              </w:rPr>
              <w:t>”。</w:t>
            </w:r>
          </w:p>
          <w:p w14:paraId="57E5C3BC">
            <w:pPr>
              <w:ind w:firstLine="480"/>
              <w:rPr>
                <w:color w:val="auto"/>
              </w:rPr>
            </w:pPr>
            <w:r>
              <w:rPr>
                <w:color w:val="auto"/>
              </w:rPr>
              <w:t>对照《产业结构调整指导目录（</w:t>
            </w:r>
            <w:r>
              <w:rPr>
                <w:rFonts w:hint="eastAsia"/>
                <w:color w:val="auto"/>
              </w:rPr>
              <w:t>2024</w:t>
            </w:r>
            <w:r>
              <w:rPr>
                <w:color w:val="auto"/>
              </w:rPr>
              <w:t>年本）》本项目不属于其中鼓励、限制和淘汰类项目，属于允许类项目。</w:t>
            </w:r>
          </w:p>
          <w:p w14:paraId="08EE47F3">
            <w:pPr>
              <w:ind w:firstLine="480"/>
              <w:rPr>
                <w:color w:val="auto"/>
              </w:rPr>
            </w:pPr>
            <w:r>
              <w:rPr>
                <w:color w:val="auto"/>
                <w:kern w:val="0"/>
              </w:rPr>
              <w:t>同时，本项目经宿州经开区经科局会备案，备案编码为：</w:t>
            </w:r>
            <w:r>
              <w:rPr>
                <w:rFonts w:hint="eastAsia"/>
                <w:color w:val="auto"/>
                <w:kern w:val="0"/>
              </w:rPr>
              <w:t>2410-341361-04-01-146406</w:t>
            </w:r>
            <w:r>
              <w:rPr>
                <w:color w:val="auto"/>
                <w:kern w:val="0"/>
              </w:rPr>
              <w:t>。</w:t>
            </w:r>
            <w:r>
              <w:rPr>
                <w:color w:val="auto"/>
              </w:rPr>
              <w:t>因此，本项目符合国家产业政策。</w:t>
            </w:r>
          </w:p>
          <w:p w14:paraId="2D77F8B6">
            <w:pPr>
              <w:autoSpaceDE w:val="0"/>
              <w:autoSpaceDN w:val="0"/>
              <w:adjustRightInd w:val="0"/>
              <w:snapToGrid w:val="0"/>
              <w:ind w:firstLine="482"/>
              <w:rPr>
                <w:b/>
                <w:bCs/>
                <w:color w:val="auto"/>
                <w:kern w:val="0"/>
              </w:rPr>
            </w:pPr>
            <w:r>
              <w:rPr>
                <w:b/>
                <w:bCs/>
                <w:color w:val="auto"/>
                <w:kern w:val="0"/>
              </w:rPr>
              <w:t>（2）其他相关文件相符性分析</w:t>
            </w:r>
          </w:p>
          <w:p w14:paraId="5FB26D66">
            <w:pPr>
              <w:ind w:firstLine="482"/>
              <w:rPr>
                <w:b/>
                <w:bCs/>
                <w:color w:val="auto"/>
              </w:rPr>
            </w:pPr>
            <w:r>
              <w:rPr>
                <w:rFonts w:hint="eastAsia"/>
                <w:b/>
                <w:bCs/>
                <w:color w:val="auto"/>
              </w:rPr>
              <w:t>①与《重点行业挥发性有机物综合治理方案》（环大气[2019]53号）相符性分析</w:t>
            </w:r>
          </w:p>
          <w:p w14:paraId="63BF9B07">
            <w:pPr>
              <w:pStyle w:val="58"/>
              <w:ind w:firstLine="422"/>
              <w:rPr>
                <w:color w:val="auto"/>
              </w:rPr>
            </w:pPr>
            <w:r>
              <w:rPr>
                <w:color w:val="auto"/>
              </w:rPr>
              <w:t>表</w:t>
            </w:r>
            <w:r>
              <w:rPr>
                <w:rFonts w:hint="eastAsia"/>
                <w:color w:val="auto"/>
              </w:rPr>
              <w:t>1-</w:t>
            </w:r>
            <w:r>
              <w:rPr>
                <w:rFonts w:hint="eastAsia"/>
                <w:color w:val="auto"/>
                <w:lang w:val="en-US" w:eastAsia="zh-CN"/>
              </w:rPr>
              <w:t>6</w:t>
            </w:r>
            <w:r>
              <w:rPr>
                <w:rFonts w:hint="eastAsia"/>
                <w:color w:val="auto"/>
              </w:rPr>
              <w:t>与《重点行业挥发性有机物综合治理方案》（环大气[2019]53号）相符性</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3"/>
              <w:gridCol w:w="3042"/>
              <w:gridCol w:w="846"/>
            </w:tblGrid>
            <w:tr w14:paraId="460A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8" w:type="dxa"/>
                  <w:vAlign w:val="center"/>
                </w:tcPr>
                <w:p w14:paraId="74BA8908">
                  <w:pPr>
                    <w:pStyle w:val="142"/>
                    <w:spacing w:line="240" w:lineRule="auto"/>
                    <w:ind w:firstLine="0" w:firstLineChars="0"/>
                    <w:jc w:val="center"/>
                    <w:rPr>
                      <w:b/>
                      <w:bCs/>
                      <w:color w:val="auto"/>
                      <w:sz w:val="21"/>
                      <w:szCs w:val="21"/>
                    </w:rPr>
                  </w:pPr>
                  <w:r>
                    <w:rPr>
                      <w:b/>
                      <w:bCs/>
                      <w:color w:val="auto"/>
                      <w:sz w:val="21"/>
                      <w:szCs w:val="21"/>
                    </w:rPr>
                    <w:t>要求</w:t>
                  </w:r>
                </w:p>
              </w:tc>
              <w:tc>
                <w:tcPr>
                  <w:tcW w:w="3118" w:type="dxa"/>
                  <w:vAlign w:val="center"/>
                </w:tcPr>
                <w:p w14:paraId="1B0C96E1">
                  <w:pPr>
                    <w:pStyle w:val="142"/>
                    <w:spacing w:line="240" w:lineRule="auto"/>
                    <w:ind w:left="55" w:hanging="55" w:hangingChars="29"/>
                    <w:jc w:val="center"/>
                    <w:rPr>
                      <w:b/>
                      <w:bCs/>
                      <w:color w:val="auto"/>
                      <w:spacing w:val="-10"/>
                      <w:sz w:val="21"/>
                      <w:szCs w:val="21"/>
                    </w:rPr>
                  </w:pPr>
                  <w:r>
                    <w:rPr>
                      <w:b/>
                      <w:bCs/>
                      <w:color w:val="auto"/>
                      <w:spacing w:val="-10"/>
                      <w:sz w:val="21"/>
                      <w:szCs w:val="21"/>
                    </w:rPr>
                    <w:t>本项目情况</w:t>
                  </w:r>
                </w:p>
              </w:tc>
              <w:tc>
                <w:tcPr>
                  <w:tcW w:w="863" w:type="dxa"/>
                  <w:vAlign w:val="center"/>
                </w:tcPr>
                <w:p w14:paraId="3B686FA7">
                  <w:pPr>
                    <w:pStyle w:val="142"/>
                    <w:spacing w:line="240" w:lineRule="auto"/>
                    <w:ind w:firstLine="0" w:firstLineChars="0"/>
                    <w:jc w:val="center"/>
                    <w:rPr>
                      <w:b/>
                      <w:bCs/>
                      <w:color w:val="auto"/>
                      <w:sz w:val="21"/>
                      <w:szCs w:val="21"/>
                    </w:rPr>
                  </w:pPr>
                  <w:r>
                    <w:rPr>
                      <w:b/>
                      <w:bCs/>
                      <w:color w:val="auto"/>
                      <w:sz w:val="21"/>
                      <w:szCs w:val="21"/>
                    </w:rPr>
                    <w:t>相符性分析</w:t>
                  </w:r>
                </w:p>
              </w:tc>
            </w:tr>
            <w:tr w14:paraId="3E37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8" w:type="dxa"/>
                  <w:vAlign w:val="center"/>
                </w:tcPr>
                <w:p w14:paraId="719122CF">
                  <w:pPr>
                    <w:pStyle w:val="142"/>
                    <w:spacing w:line="240" w:lineRule="auto"/>
                    <w:ind w:firstLine="0" w:firstLineChars="0"/>
                    <w:jc w:val="center"/>
                    <w:rPr>
                      <w:rFonts w:hint="eastAsia"/>
                      <w:color w:val="auto"/>
                      <w:sz w:val="21"/>
                      <w:szCs w:val="21"/>
                    </w:rPr>
                  </w:pPr>
                  <w:r>
                    <w:rPr>
                      <w:rFonts w:hint="eastAsia"/>
                      <w:color w:val="auto"/>
                      <w:sz w:val="21"/>
                      <w:szCs w:val="21"/>
                    </w:rPr>
                    <w:t>大力推进源头替代。通过使用水性、粉末、高固体分、无溶剂、辐射烘干等低VOCs含量的涂料，水性、辐射烘干、植物基等低VOCs含量的油墨，水基、热熔、无溶剂、辐射烘干、改性、生物降解等低VOCs含量、低反应活性的清洗剂等，从源头减少VOCs产生。工业涂装、包装印刷等行业要加大源头替代力度。</w:t>
                  </w:r>
                </w:p>
              </w:tc>
              <w:tc>
                <w:tcPr>
                  <w:tcW w:w="3118" w:type="dxa"/>
                  <w:vAlign w:val="center"/>
                </w:tcPr>
                <w:p w14:paraId="52B08BE6">
                  <w:pPr>
                    <w:pStyle w:val="142"/>
                    <w:spacing w:line="240" w:lineRule="auto"/>
                    <w:ind w:firstLine="0" w:firstLineChars="0"/>
                    <w:jc w:val="center"/>
                    <w:rPr>
                      <w:rFonts w:hint="eastAsia"/>
                      <w:color w:val="auto"/>
                      <w:sz w:val="21"/>
                      <w:szCs w:val="21"/>
                    </w:rPr>
                  </w:pPr>
                  <w:r>
                    <w:rPr>
                      <w:rFonts w:hint="eastAsia"/>
                      <w:color w:val="auto"/>
                      <w:sz w:val="21"/>
                      <w:szCs w:val="21"/>
                    </w:rPr>
                    <w:t>本项目使用的水性油墨满足《油墨中可挥发性有机化合物</w:t>
                  </w:r>
                  <w:r>
                    <w:rPr>
                      <w:color w:val="auto"/>
                      <w:sz w:val="21"/>
                      <w:szCs w:val="21"/>
                    </w:rPr>
                    <w:t>(VOCs)</w:t>
                  </w:r>
                  <w:r>
                    <w:rPr>
                      <w:rFonts w:hint="eastAsia"/>
                      <w:color w:val="auto"/>
                      <w:sz w:val="21"/>
                      <w:szCs w:val="21"/>
                    </w:rPr>
                    <w:t>含量的限值》（</w:t>
                  </w:r>
                  <w:r>
                    <w:rPr>
                      <w:color w:val="auto"/>
                      <w:sz w:val="21"/>
                      <w:szCs w:val="21"/>
                    </w:rPr>
                    <w:t>GB38507-2020</w:t>
                  </w:r>
                  <w:r>
                    <w:rPr>
                      <w:rFonts w:hint="eastAsia"/>
                      <w:color w:val="auto"/>
                      <w:sz w:val="21"/>
                      <w:szCs w:val="21"/>
                    </w:rPr>
                    <w:t>）</w:t>
                  </w:r>
                </w:p>
              </w:tc>
              <w:tc>
                <w:tcPr>
                  <w:tcW w:w="863" w:type="dxa"/>
                  <w:vAlign w:val="center"/>
                </w:tcPr>
                <w:p w14:paraId="1D50E336">
                  <w:pPr>
                    <w:pStyle w:val="142"/>
                    <w:spacing w:line="240" w:lineRule="auto"/>
                    <w:ind w:firstLine="0" w:firstLineChars="0"/>
                    <w:jc w:val="center"/>
                    <w:rPr>
                      <w:color w:val="auto"/>
                      <w:sz w:val="21"/>
                      <w:szCs w:val="21"/>
                    </w:rPr>
                  </w:pPr>
                  <w:r>
                    <w:rPr>
                      <w:color w:val="auto"/>
                      <w:sz w:val="21"/>
                      <w:szCs w:val="21"/>
                    </w:rPr>
                    <w:t>符合</w:t>
                  </w:r>
                </w:p>
              </w:tc>
            </w:tr>
            <w:tr w14:paraId="73D9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8" w:type="dxa"/>
                  <w:vAlign w:val="center"/>
                </w:tcPr>
                <w:p w14:paraId="7E60AD64">
                  <w:pPr>
                    <w:pStyle w:val="142"/>
                    <w:spacing w:line="240" w:lineRule="auto"/>
                    <w:ind w:firstLine="0" w:firstLineChars="0"/>
                    <w:jc w:val="center"/>
                    <w:rPr>
                      <w:color w:val="auto"/>
                      <w:sz w:val="21"/>
                      <w:szCs w:val="21"/>
                    </w:rPr>
                  </w:pPr>
                  <w:r>
                    <w:rPr>
                      <w:rFonts w:hint="eastAsia"/>
                      <w:color w:val="auto"/>
                      <w:sz w:val="21"/>
                      <w:szCs w:val="21"/>
                    </w:rPr>
                    <w:t>全面加强无组织排放控制。重点对含VOCs物料（包括含VOCs原辅材料、含VOCs产品、含VOCs废料以及有机聚合物材料等）储存、转移和输送、设备与管线组件泄露、敞开液面逸散以及工艺过程等五类排放源实施管控，通过采取设备与场所密闭、工艺改进、废气有效收集等措施，削减VOCs无组织排放。</w:t>
                  </w:r>
                </w:p>
              </w:tc>
              <w:tc>
                <w:tcPr>
                  <w:tcW w:w="3118" w:type="dxa"/>
                  <w:vAlign w:val="center"/>
                </w:tcPr>
                <w:p w14:paraId="19DC69F6">
                  <w:pPr>
                    <w:pStyle w:val="142"/>
                    <w:spacing w:line="240" w:lineRule="auto"/>
                    <w:ind w:firstLine="0" w:firstLineChars="0"/>
                    <w:jc w:val="center"/>
                    <w:rPr>
                      <w:rFonts w:hint="eastAsia"/>
                      <w:color w:val="auto"/>
                      <w:sz w:val="21"/>
                      <w:szCs w:val="21"/>
                    </w:rPr>
                  </w:pPr>
                  <w:r>
                    <w:rPr>
                      <w:rFonts w:hint="eastAsia"/>
                      <w:color w:val="auto"/>
                      <w:sz w:val="21"/>
                      <w:szCs w:val="21"/>
                    </w:rPr>
                    <w:t>本项目产生的有机废气采用“二级活性炭吸附”装置进行处理，产生废气能做到高效收集，项目产生的废活性炭采用三防功能密闭塑料桶收集，加盖密封，危废均暂存于危废暂存间，定期交由资质单位处理</w:t>
                  </w:r>
                </w:p>
              </w:tc>
              <w:tc>
                <w:tcPr>
                  <w:tcW w:w="863" w:type="dxa"/>
                  <w:vAlign w:val="center"/>
                </w:tcPr>
                <w:p w14:paraId="2BCFB821">
                  <w:pPr>
                    <w:pStyle w:val="142"/>
                    <w:spacing w:line="240" w:lineRule="auto"/>
                    <w:ind w:firstLine="0" w:firstLineChars="0"/>
                    <w:jc w:val="center"/>
                    <w:rPr>
                      <w:color w:val="auto"/>
                      <w:sz w:val="21"/>
                      <w:szCs w:val="21"/>
                    </w:rPr>
                  </w:pPr>
                  <w:r>
                    <w:rPr>
                      <w:rFonts w:hint="eastAsia"/>
                      <w:color w:val="auto"/>
                      <w:sz w:val="21"/>
                      <w:szCs w:val="21"/>
                    </w:rPr>
                    <w:t>符合</w:t>
                  </w:r>
                </w:p>
              </w:tc>
            </w:tr>
            <w:tr w14:paraId="6711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8" w:type="dxa"/>
                  <w:vAlign w:val="center"/>
                </w:tcPr>
                <w:p w14:paraId="64989DFE">
                  <w:pPr>
                    <w:pStyle w:val="142"/>
                    <w:spacing w:line="240" w:lineRule="auto"/>
                    <w:ind w:firstLine="0" w:firstLineChars="0"/>
                    <w:jc w:val="center"/>
                    <w:rPr>
                      <w:color w:val="auto"/>
                      <w:sz w:val="21"/>
                      <w:szCs w:val="21"/>
                    </w:rPr>
                  </w:pPr>
                  <w:r>
                    <w:rPr>
                      <w:rFonts w:hint="eastAsia"/>
                      <w:color w:val="auto"/>
                      <w:sz w:val="21"/>
                      <w:szCs w:val="21"/>
                    </w:rPr>
                    <w:t>推进建设适宜高效的治污设施。企业新建治污设施或对现有治污设施实施改造，应依据排放废气的浓度、组分、风量，温度、湿度、压力，以及生产工况等，合理选择治理技术。鼓励企业采用多种技术的组合工艺，提高VOCs治理效率。采用一次性活性炭吸附技术的，应定期更换活性炭，废旧活性炭应再生或处理处置。</w:t>
                  </w:r>
                </w:p>
              </w:tc>
              <w:tc>
                <w:tcPr>
                  <w:tcW w:w="3118" w:type="dxa"/>
                  <w:vAlign w:val="center"/>
                </w:tcPr>
                <w:p w14:paraId="60157816">
                  <w:pPr>
                    <w:pStyle w:val="142"/>
                    <w:spacing w:line="240" w:lineRule="auto"/>
                    <w:ind w:firstLine="0" w:firstLineChars="0"/>
                    <w:jc w:val="center"/>
                    <w:rPr>
                      <w:rFonts w:hint="eastAsia"/>
                      <w:color w:val="auto"/>
                      <w:sz w:val="21"/>
                      <w:szCs w:val="21"/>
                    </w:rPr>
                  </w:pPr>
                  <w:r>
                    <w:rPr>
                      <w:rFonts w:hint="eastAsia"/>
                      <w:color w:val="auto"/>
                      <w:sz w:val="21"/>
                      <w:szCs w:val="21"/>
                    </w:rPr>
                    <w:t>本项目产生的废气采用“二级活性炭吸附”装置进行处理，活性炭定期更换，废活性炭交由资质单位处理</w:t>
                  </w:r>
                </w:p>
              </w:tc>
              <w:tc>
                <w:tcPr>
                  <w:tcW w:w="863" w:type="dxa"/>
                  <w:vAlign w:val="center"/>
                </w:tcPr>
                <w:p w14:paraId="6AACB7E4">
                  <w:pPr>
                    <w:pStyle w:val="142"/>
                    <w:spacing w:line="240" w:lineRule="auto"/>
                    <w:ind w:firstLine="0" w:firstLineChars="0"/>
                    <w:jc w:val="center"/>
                    <w:rPr>
                      <w:color w:val="auto"/>
                      <w:sz w:val="21"/>
                      <w:szCs w:val="21"/>
                    </w:rPr>
                  </w:pPr>
                  <w:r>
                    <w:rPr>
                      <w:rFonts w:hint="eastAsia"/>
                      <w:color w:val="auto"/>
                      <w:sz w:val="21"/>
                      <w:szCs w:val="21"/>
                    </w:rPr>
                    <w:t>符合</w:t>
                  </w:r>
                </w:p>
              </w:tc>
            </w:tr>
            <w:tr w14:paraId="1090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8" w:type="dxa"/>
                  <w:vAlign w:val="center"/>
                </w:tcPr>
                <w:p w14:paraId="31C5E200">
                  <w:pPr>
                    <w:pStyle w:val="142"/>
                    <w:spacing w:line="240" w:lineRule="auto"/>
                    <w:ind w:firstLine="0" w:firstLineChars="0"/>
                    <w:jc w:val="center"/>
                    <w:rPr>
                      <w:color w:val="auto"/>
                      <w:sz w:val="21"/>
                      <w:szCs w:val="21"/>
                    </w:rPr>
                  </w:pPr>
                  <w:r>
                    <w:rPr>
                      <w:rFonts w:hint="eastAsia"/>
                      <w:color w:val="auto"/>
                      <w:sz w:val="21"/>
                      <w:szCs w:val="21"/>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3118" w:type="dxa"/>
                  <w:vAlign w:val="center"/>
                </w:tcPr>
                <w:p w14:paraId="34E0E73E">
                  <w:pPr>
                    <w:pStyle w:val="142"/>
                    <w:spacing w:line="240" w:lineRule="auto"/>
                    <w:ind w:firstLine="0" w:firstLineChars="0"/>
                    <w:jc w:val="center"/>
                    <w:rPr>
                      <w:rFonts w:hint="eastAsia"/>
                      <w:color w:val="auto"/>
                      <w:sz w:val="21"/>
                      <w:szCs w:val="21"/>
                    </w:rPr>
                  </w:pPr>
                  <w:r>
                    <w:rPr>
                      <w:rFonts w:hint="eastAsia"/>
                      <w:color w:val="auto"/>
                      <w:sz w:val="21"/>
                      <w:szCs w:val="21"/>
                    </w:rPr>
                    <w:t>项目注塑废气、热转印废气、印刷、烘干废气、注墨废气工序在集气装置下进行操作，产生废气能做到高效收集，同时可以做到“同启同停”。项目废气处理设施风量满足集气装置开口面最远处风速为0.5米/秒，满足不低于0.3米/秒的要求。</w:t>
                  </w:r>
                </w:p>
              </w:tc>
              <w:tc>
                <w:tcPr>
                  <w:tcW w:w="863" w:type="dxa"/>
                  <w:vAlign w:val="center"/>
                </w:tcPr>
                <w:p w14:paraId="037CE7D8">
                  <w:pPr>
                    <w:pStyle w:val="142"/>
                    <w:spacing w:line="240" w:lineRule="auto"/>
                    <w:ind w:firstLine="0" w:firstLineChars="0"/>
                    <w:jc w:val="center"/>
                    <w:rPr>
                      <w:color w:val="auto"/>
                      <w:sz w:val="21"/>
                      <w:szCs w:val="21"/>
                    </w:rPr>
                  </w:pPr>
                  <w:r>
                    <w:rPr>
                      <w:rFonts w:hint="eastAsia"/>
                      <w:color w:val="auto"/>
                      <w:sz w:val="21"/>
                      <w:szCs w:val="21"/>
                    </w:rPr>
                    <w:t>符合</w:t>
                  </w:r>
                </w:p>
              </w:tc>
            </w:tr>
          </w:tbl>
          <w:p w14:paraId="1B59AE3D">
            <w:pPr>
              <w:spacing w:line="240" w:lineRule="auto"/>
              <w:ind w:firstLine="0" w:firstLineChars="0"/>
              <w:jc w:val="center"/>
              <w:rPr>
                <w:rFonts w:hint="eastAsia"/>
                <w:color w:val="auto"/>
              </w:rPr>
            </w:pPr>
            <w:r>
              <w:rPr>
                <w:rFonts w:hint="eastAsia"/>
                <w:b/>
                <w:bCs/>
                <w:color w:val="auto"/>
              </w:rPr>
              <w:t>③与《挥发性有机物无组织排放控制标准》（GB37822-2019）相符性分析</w:t>
            </w:r>
          </w:p>
          <w:p w14:paraId="6F378876">
            <w:pPr>
              <w:pStyle w:val="58"/>
              <w:ind w:firstLine="0" w:firstLineChars="0"/>
              <w:rPr>
                <w:rFonts w:hint="eastAsia"/>
                <w:color w:val="auto"/>
              </w:rPr>
            </w:pPr>
            <w:r>
              <w:rPr>
                <w:rFonts w:hint="eastAsia"/>
                <w:color w:val="auto"/>
              </w:rPr>
              <w:t>表1-</w:t>
            </w:r>
            <w:r>
              <w:rPr>
                <w:rFonts w:hint="eastAsia"/>
                <w:color w:val="auto"/>
                <w:lang w:val="en-US" w:eastAsia="zh-CN"/>
              </w:rPr>
              <w:t>7</w:t>
            </w:r>
            <w:r>
              <w:rPr>
                <w:rFonts w:hint="eastAsia"/>
                <w:color w:val="auto"/>
              </w:rPr>
              <w:t>与《挥发性有机物无组织排放控制标准》（GB37822-2019）相符性分析表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164"/>
              <w:gridCol w:w="2549"/>
              <w:gridCol w:w="953"/>
            </w:tblGrid>
            <w:tr w14:paraId="20BE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1" w:type="pct"/>
                  <w:gridSpan w:val="2"/>
                  <w:tcBorders>
                    <w:right w:val="single" w:color="auto" w:sz="4" w:space="0"/>
                  </w:tcBorders>
                  <w:vAlign w:val="center"/>
                </w:tcPr>
                <w:p w14:paraId="30BBF967">
                  <w:pPr>
                    <w:pStyle w:val="57"/>
                    <w:rPr>
                      <w:b/>
                      <w:bCs w:val="0"/>
                      <w:color w:val="auto"/>
                    </w:rPr>
                  </w:pPr>
                  <w:r>
                    <w:rPr>
                      <w:rFonts w:hint="eastAsia"/>
                      <w:b/>
                      <w:bCs w:val="0"/>
                      <w:color w:val="auto"/>
                    </w:rPr>
                    <w:t>要求</w:t>
                  </w:r>
                </w:p>
              </w:tc>
              <w:tc>
                <w:tcPr>
                  <w:tcW w:w="1599" w:type="pct"/>
                  <w:vAlign w:val="center"/>
                </w:tcPr>
                <w:p w14:paraId="65418F82">
                  <w:pPr>
                    <w:pStyle w:val="57"/>
                    <w:rPr>
                      <w:b/>
                      <w:bCs w:val="0"/>
                      <w:color w:val="auto"/>
                    </w:rPr>
                  </w:pPr>
                  <w:r>
                    <w:rPr>
                      <w:rFonts w:hint="eastAsia"/>
                      <w:b/>
                      <w:bCs w:val="0"/>
                      <w:color w:val="auto"/>
                    </w:rPr>
                    <w:t>本项目情况</w:t>
                  </w:r>
                </w:p>
              </w:tc>
              <w:tc>
                <w:tcPr>
                  <w:tcW w:w="598" w:type="pct"/>
                  <w:vAlign w:val="center"/>
                </w:tcPr>
                <w:p w14:paraId="25159BCC">
                  <w:pPr>
                    <w:pStyle w:val="57"/>
                    <w:rPr>
                      <w:b/>
                      <w:bCs w:val="0"/>
                      <w:color w:val="auto"/>
                    </w:rPr>
                  </w:pPr>
                  <w:r>
                    <w:rPr>
                      <w:rFonts w:hint="eastAsia"/>
                      <w:b/>
                      <w:bCs w:val="0"/>
                      <w:color w:val="auto"/>
                    </w:rPr>
                    <w:t>相符性分析</w:t>
                  </w:r>
                </w:p>
              </w:tc>
            </w:tr>
            <w:tr w14:paraId="7D89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23EB5569">
                  <w:pPr>
                    <w:pStyle w:val="57"/>
                    <w:rPr>
                      <w:color w:val="auto"/>
                    </w:rPr>
                  </w:pPr>
                  <w:r>
                    <w:rPr>
                      <w:color w:val="auto"/>
                    </w:rPr>
                    <w:t>VOCs物料储存无组织排放控制要求</w:t>
                  </w:r>
                </w:p>
              </w:tc>
              <w:tc>
                <w:tcPr>
                  <w:tcW w:w="1985" w:type="pct"/>
                  <w:tcBorders>
                    <w:top w:val="single" w:color="auto" w:sz="4" w:space="0"/>
                    <w:left w:val="single" w:color="auto" w:sz="4" w:space="0"/>
                    <w:bottom w:val="single" w:color="auto" w:sz="4" w:space="0"/>
                    <w:right w:val="single" w:color="auto" w:sz="4" w:space="0"/>
                  </w:tcBorders>
                  <w:vAlign w:val="center"/>
                </w:tcPr>
                <w:p w14:paraId="66FDB019">
                  <w:pPr>
                    <w:pStyle w:val="57"/>
                    <w:rPr>
                      <w:color w:val="auto"/>
                    </w:rPr>
                  </w:pPr>
                  <w:r>
                    <w:rPr>
                      <w:color w:val="auto"/>
                    </w:rPr>
                    <w:t>VOCs物料应储存于密闭的容器、包装袋、储罐、储库、料仓中。盛装VOCs物料的容器或包装袋应存放于室内，或存放于设置有雨棚、遮阳和防渗设施的专用场地。盛装VOCs物料的容器或包装袋在非取用状态时应加盖、封口，保持密闭。</w:t>
                  </w:r>
                </w:p>
              </w:tc>
              <w:tc>
                <w:tcPr>
                  <w:tcW w:w="1599" w:type="pct"/>
                  <w:vAlign w:val="center"/>
                </w:tcPr>
                <w:p w14:paraId="567AAE4B">
                  <w:pPr>
                    <w:pStyle w:val="57"/>
                    <w:rPr>
                      <w:color w:val="auto"/>
                    </w:rPr>
                  </w:pPr>
                  <w:r>
                    <w:rPr>
                      <w:rFonts w:hint="eastAsia"/>
                      <w:color w:val="auto"/>
                    </w:rPr>
                    <w:t>本项目使用的水性油墨满足《油墨中可挥发性有机化合物(VOCs)含量的限值》（GB38507-2020）</w:t>
                  </w:r>
                </w:p>
              </w:tc>
              <w:tc>
                <w:tcPr>
                  <w:tcW w:w="598" w:type="pct"/>
                  <w:vAlign w:val="center"/>
                </w:tcPr>
                <w:p w14:paraId="0E4A0A5A">
                  <w:pPr>
                    <w:pStyle w:val="57"/>
                    <w:rPr>
                      <w:color w:val="auto"/>
                    </w:rPr>
                  </w:pPr>
                  <w:r>
                    <w:rPr>
                      <w:rFonts w:hint="eastAsia"/>
                      <w:color w:val="auto"/>
                    </w:rPr>
                    <w:t>符合</w:t>
                  </w:r>
                </w:p>
              </w:tc>
            </w:tr>
            <w:tr w14:paraId="60A2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353AA936">
                  <w:pPr>
                    <w:pStyle w:val="57"/>
                    <w:rPr>
                      <w:color w:val="auto"/>
                    </w:rPr>
                  </w:pPr>
                  <w:r>
                    <w:rPr>
                      <w:color w:val="auto"/>
                    </w:rPr>
                    <w:t>VOCs物料转移和输送无组织排放控制要求</w:t>
                  </w:r>
                </w:p>
              </w:tc>
              <w:tc>
                <w:tcPr>
                  <w:tcW w:w="1985" w:type="pct"/>
                  <w:tcBorders>
                    <w:top w:val="single" w:color="auto" w:sz="4" w:space="0"/>
                    <w:left w:val="single" w:color="auto" w:sz="4" w:space="0"/>
                    <w:bottom w:val="single" w:color="auto" w:sz="4" w:space="0"/>
                    <w:right w:val="single" w:color="auto" w:sz="4" w:space="0"/>
                  </w:tcBorders>
                  <w:vAlign w:val="center"/>
                </w:tcPr>
                <w:p w14:paraId="2D412911">
                  <w:pPr>
                    <w:pStyle w:val="57"/>
                    <w:rPr>
                      <w:color w:val="auto"/>
                    </w:rPr>
                  </w:pPr>
                  <w:r>
                    <w:rPr>
                      <w:color w:val="auto"/>
                    </w:rPr>
                    <w:t>液态VOCs物料应采用密闭管道输送。采用非管道输送方式转移液态VOCs物料时，应采用密闭容器、罐车。粉状、粒状VOCs物料应采用气力输送设备、管状带式输送机、螺旋输送机等密闭输送方式，或者采用密闭的包装袋、容器或罐车进行物料转移。</w:t>
                  </w:r>
                </w:p>
              </w:tc>
              <w:tc>
                <w:tcPr>
                  <w:tcW w:w="1599" w:type="pct"/>
                  <w:vAlign w:val="center"/>
                </w:tcPr>
                <w:p w14:paraId="7BE34351">
                  <w:pPr>
                    <w:pStyle w:val="57"/>
                    <w:rPr>
                      <w:color w:val="auto"/>
                    </w:rPr>
                  </w:pPr>
                  <w:r>
                    <w:rPr>
                      <w:rFonts w:hint="eastAsia"/>
                      <w:color w:val="auto"/>
                    </w:rPr>
                    <w:t>本项目水性油墨为桶装密闭暂存，原料使用时经管道输送至生产设备内</w:t>
                  </w:r>
                </w:p>
              </w:tc>
              <w:tc>
                <w:tcPr>
                  <w:tcW w:w="598" w:type="pct"/>
                  <w:vAlign w:val="center"/>
                </w:tcPr>
                <w:p w14:paraId="58BB74ED">
                  <w:pPr>
                    <w:pStyle w:val="57"/>
                    <w:rPr>
                      <w:color w:val="auto"/>
                    </w:rPr>
                  </w:pPr>
                  <w:r>
                    <w:rPr>
                      <w:rFonts w:hint="eastAsia"/>
                      <w:color w:val="auto"/>
                    </w:rPr>
                    <w:t>符合</w:t>
                  </w:r>
                </w:p>
              </w:tc>
            </w:tr>
            <w:tr w14:paraId="54B7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4421F704">
                  <w:pPr>
                    <w:pStyle w:val="57"/>
                    <w:rPr>
                      <w:color w:val="auto"/>
                    </w:rPr>
                  </w:pPr>
                  <w:r>
                    <w:rPr>
                      <w:color w:val="auto"/>
                    </w:rPr>
                    <w:t>工艺过</w:t>
                  </w:r>
                  <w:r>
                    <w:rPr>
                      <w:rFonts w:hint="eastAsia"/>
                      <w:color w:val="auto"/>
                    </w:rPr>
                    <w:t>程</w:t>
                  </w:r>
                  <w:r>
                    <w:rPr>
                      <w:color w:val="auto"/>
                    </w:rPr>
                    <w:t>VOCs无组织排放控制要求</w:t>
                  </w:r>
                </w:p>
              </w:tc>
              <w:tc>
                <w:tcPr>
                  <w:tcW w:w="1985" w:type="pct"/>
                  <w:tcBorders>
                    <w:top w:val="single" w:color="auto" w:sz="4" w:space="0"/>
                    <w:left w:val="single" w:color="auto" w:sz="4" w:space="0"/>
                    <w:bottom w:val="single" w:color="auto" w:sz="4" w:space="0"/>
                    <w:right w:val="single" w:color="auto" w:sz="4" w:space="0"/>
                  </w:tcBorders>
                  <w:vAlign w:val="center"/>
                </w:tcPr>
                <w:p w14:paraId="68888AC1">
                  <w:pPr>
                    <w:pStyle w:val="57"/>
                    <w:rPr>
                      <w:color w:val="auto"/>
                    </w:rPr>
                  </w:pPr>
                  <w:r>
                    <w:rPr>
                      <w:color w:val="auto"/>
                    </w:rPr>
                    <w:t>液态VOCs物料应采用密闭管道输送方式或采用高位槽(罐)、桶泵等给料方式密闭投加。无法密闭投加的，应在密闭空间内操作，或进行局部气体收集，废气应排至VOCs废气收集处理系统。粉状、粒状VOCs物料应采用气力输送方式或采用密闭固体投料器等给料方式密闭投加。无法密闭投加的，应在密闭空间内操作，或进行局部气体收集，废气应排至除尘设施、VOCs废气收集处理系统。VOCs物料卸（出、放）料过程应密闭，卸料废气应排至VOCs废气收集处理系统</w:t>
                  </w:r>
                  <w:r>
                    <w:rPr>
                      <w:rFonts w:hint="eastAsia"/>
                      <w:color w:val="auto"/>
                    </w:rPr>
                    <w:t>；</w:t>
                  </w:r>
                  <w:r>
                    <w:rPr>
                      <w:color w:val="auto"/>
                    </w:rPr>
                    <w:t>无法密闭的，应采取局部气体收集措施，废气应排至VOCs废气收集处理系统。</w:t>
                  </w:r>
                </w:p>
              </w:tc>
              <w:tc>
                <w:tcPr>
                  <w:tcW w:w="1599" w:type="pct"/>
                  <w:vAlign w:val="center"/>
                </w:tcPr>
                <w:p w14:paraId="70BED652">
                  <w:pPr>
                    <w:pStyle w:val="57"/>
                    <w:rPr>
                      <w:rFonts w:hint="eastAsia"/>
                      <w:color w:val="auto"/>
                    </w:rPr>
                  </w:pPr>
                  <w:r>
                    <w:rPr>
                      <w:rFonts w:hint="eastAsia"/>
                      <w:color w:val="auto"/>
                    </w:rPr>
                    <w:t>本项目水性油墨为桶装密闭暂存，常温下挥发量较小。</w:t>
                  </w:r>
                </w:p>
                <w:p w14:paraId="35DE1111">
                  <w:pPr>
                    <w:pStyle w:val="57"/>
                    <w:rPr>
                      <w:rFonts w:hint="eastAsia"/>
                      <w:color w:val="auto"/>
                    </w:rPr>
                  </w:pPr>
                  <w:r>
                    <w:rPr>
                      <w:rFonts w:hint="eastAsia"/>
                      <w:color w:val="auto"/>
                    </w:rPr>
                    <w:t>原料使用时经管道密闭输送至生产设备内</w:t>
                  </w:r>
                </w:p>
                <w:p w14:paraId="41239786">
                  <w:pPr>
                    <w:pStyle w:val="57"/>
                    <w:rPr>
                      <w:color w:val="auto"/>
                    </w:rPr>
                  </w:pPr>
                  <w:r>
                    <w:rPr>
                      <w:rFonts w:hint="eastAsia"/>
                      <w:color w:val="auto"/>
                    </w:rPr>
                    <w:t>有机废气经集气系统收集后通过二级活性炭处理，再通过15m排气筒排放</w:t>
                  </w:r>
                </w:p>
              </w:tc>
              <w:tc>
                <w:tcPr>
                  <w:tcW w:w="598" w:type="pct"/>
                  <w:vAlign w:val="center"/>
                </w:tcPr>
                <w:p w14:paraId="3F678826">
                  <w:pPr>
                    <w:pStyle w:val="57"/>
                    <w:rPr>
                      <w:rFonts w:hint="eastAsia"/>
                      <w:color w:val="auto"/>
                    </w:rPr>
                  </w:pPr>
                </w:p>
                <w:p w14:paraId="2CD63D6A">
                  <w:pPr>
                    <w:pStyle w:val="57"/>
                    <w:rPr>
                      <w:rFonts w:hint="eastAsia"/>
                      <w:color w:val="auto"/>
                    </w:rPr>
                  </w:pPr>
                </w:p>
                <w:p w14:paraId="7A78BC55">
                  <w:pPr>
                    <w:pStyle w:val="57"/>
                    <w:rPr>
                      <w:rFonts w:hint="eastAsia"/>
                      <w:color w:val="auto"/>
                    </w:rPr>
                  </w:pPr>
                </w:p>
                <w:p w14:paraId="7F1B6E35">
                  <w:pPr>
                    <w:pStyle w:val="57"/>
                    <w:rPr>
                      <w:rFonts w:hint="eastAsia"/>
                      <w:color w:val="auto"/>
                    </w:rPr>
                  </w:pPr>
                </w:p>
                <w:p w14:paraId="071061CF">
                  <w:pPr>
                    <w:pStyle w:val="57"/>
                    <w:rPr>
                      <w:rFonts w:hint="eastAsia"/>
                      <w:color w:val="auto"/>
                    </w:rPr>
                  </w:pPr>
                </w:p>
                <w:p w14:paraId="1D189E66">
                  <w:pPr>
                    <w:pStyle w:val="57"/>
                    <w:rPr>
                      <w:color w:val="auto"/>
                    </w:rPr>
                  </w:pPr>
                  <w:r>
                    <w:rPr>
                      <w:rFonts w:hint="eastAsia"/>
                      <w:color w:val="auto"/>
                    </w:rPr>
                    <w:t>符合</w:t>
                  </w:r>
                </w:p>
              </w:tc>
            </w:tr>
            <w:tr w14:paraId="50EF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02BE8660">
                  <w:pPr>
                    <w:pStyle w:val="57"/>
                    <w:rPr>
                      <w:color w:val="auto"/>
                    </w:rPr>
                  </w:pPr>
                  <w:r>
                    <w:rPr>
                      <w:color w:val="auto"/>
                    </w:rPr>
                    <w:t>VOCs排放控制要求</w:t>
                  </w:r>
                </w:p>
              </w:tc>
              <w:tc>
                <w:tcPr>
                  <w:tcW w:w="1985" w:type="pct"/>
                  <w:tcBorders>
                    <w:top w:val="single" w:color="auto" w:sz="4" w:space="0"/>
                    <w:left w:val="single" w:color="auto" w:sz="4" w:space="0"/>
                    <w:bottom w:val="single" w:color="auto" w:sz="4" w:space="0"/>
                    <w:right w:val="single" w:color="auto" w:sz="4" w:space="0"/>
                  </w:tcBorders>
                  <w:vAlign w:val="center"/>
                </w:tcPr>
                <w:p w14:paraId="422B8AC2">
                  <w:pPr>
                    <w:pStyle w:val="57"/>
                    <w:rPr>
                      <w:color w:val="auto"/>
                    </w:rPr>
                  </w:pPr>
                  <w:r>
                    <w:rPr>
                      <w:color w:val="auto"/>
                    </w:rPr>
                    <w:t>收集的废气中NMHC初始排放速率≥3kg/h时，应配置VOCs处理设施，处理效率不应低于80%</w:t>
                  </w:r>
                  <w:r>
                    <w:rPr>
                      <w:rFonts w:hint="eastAsia"/>
                      <w:color w:val="auto"/>
                    </w:rPr>
                    <w:t>；</w:t>
                  </w:r>
                  <w:r>
                    <w:rPr>
                      <w:color w:val="auto"/>
                    </w:rPr>
                    <w:t>对于重点地区，收集的废气中NMHC初始排放速率≥2kg/h时，应配置VOCs处理设施，处理效率不应低于80%</w:t>
                  </w:r>
                  <w:r>
                    <w:rPr>
                      <w:rFonts w:hint="eastAsia"/>
                      <w:color w:val="auto"/>
                    </w:rPr>
                    <w:t>；</w:t>
                  </w:r>
                  <w:r>
                    <w:rPr>
                      <w:color w:val="auto"/>
                    </w:rPr>
                    <w:t>采用的原辅材料符合国家有关低VOCs含量产品规定的除外。</w:t>
                  </w:r>
                </w:p>
              </w:tc>
              <w:tc>
                <w:tcPr>
                  <w:tcW w:w="1599" w:type="pct"/>
                  <w:vAlign w:val="center"/>
                </w:tcPr>
                <w:p w14:paraId="62392516">
                  <w:pPr>
                    <w:pStyle w:val="57"/>
                    <w:rPr>
                      <w:color w:val="auto"/>
                    </w:rPr>
                  </w:pPr>
                  <w:r>
                    <w:rPr>
                      <w:rFonts w:hint="eastAsia"/>
                      <w:color w:val="auto"/>
                    </w:rPr>
                    <w:t>项目注塑废气、热转印废气、印刷、烘干废气、注墨废气工序产生的有机废气经集气装置收集并通过二级活性炭处理后排放</w:t>
                  </w:r>
                </w:p>
              </w:tc>
              <w:tc>
                <w:tcPr>
                  <w:tcW w:w="598" w:type="pct"/>
                  <w:vAlign w:val="center"/>
                </w:tcPr>
                <w:p w14:paraId="0A15CD29">
                  <w:pPr>
                    <w:pStyle w:val="57"/>
                    <w:rPr>
                      <w:color w:val="auto"/>
                    </w:rPr>
                  </w:pPr>
                  <w:r>
                    <w:rPr>
                      <w:rFonts w:hint="eastAsia"/>
                      <w:color w:val="auto"/>
                    </w:rPr>
                    <w:t>符合</w:t>
                  </w:r>
                </w:p>
              </w:tc>
            </w:tr>
            <w:tr w14:paraId="5AC1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1926558E">
                  <w:pPr>
                    <w:pStyle w:val="57"/>
                    <w:rPr>
                      <w:color w:val="auto"/>
                    </w:rPr>
                  </w:pPr>
                  <w:r>
                    <w:rPr>
                      <w:color w:val="auto"/>
                    </w:rPr>
                    <w:t>VOCs无组织排放废气收集处理系统要求</w:t>
                  </w:r>
                </w:p>
              </w:tc>
              <w:tc>
                <w:tcPr>
                  <w:tcW w:w="1985" w:type="pct"/>
                  <w:tcBorders>
                    <w:top w:val="single" w:color="auto" w:sz="4" w:space="0"/>
                    <w:left w:val="single" w:color="auto" w:sz="4" w:space="0"/>
                    <w:bottom w:val="single" w:color="auto" w:sz="4" w:space="0"/>
                    <w:right w:val="single" w:color="auto" w:sz="4" w:space="0"/>
                  </w:tcBorders>
                  <w:vAlign w:val="center"/>
                </w:tcPr>
                <w:p w14:paraId="746C88AC">
                  <w:pPr>
                    <w:pStyle w:val="57"/>
                    <w:rPr>
                      <w:color w:val="auto"/>
                    </w:rPr>
                  </w:pPr>
                  <w:r>
                    <w:rPr>
                      <w:color w:val="auto"/>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599" w:type="pct"/>
                  <w:vAlign w:val="center"/>
                </w:tcPr>
                <w:p w14:paraId="02316994">
                  <w:pPr>
                    <w:pStyle w:val="57"/>
                    <w:rPr>
                      <w:color w:val="auto"/>
                    </w:rPr>
                  </w:pPr>
                  <w:r>
                    <w:rPr>
                      <w:rFonts w:hint="eastAsia"/>
                      <w:color w:val="auto"/>
                    </w:rPr>
                    <w:t>项目严格执行环保“同运同停”，治理设施发生故障时，生产操作可以并且会立即停止，待治理设施恢复正常后，再与生产设施同步投入使用</w:t>
                  </w:r>
                  <w:r>
                    <w:rPr>
                      <w:color w:val="auto"/>
                    </w:rPr>
                    <w:t>。</w:t>
                  </w:r>
                </w:p>
              </w:tc>
              <w:tc>
                <w:tcPr>
                  <w:tcW w:w="598" w:type="pct"/>
                  <w:vAlign w:val="center"/>
                </w:tcPr>
                <w:p w14:paraId="1D88C09C">
                  <w:pPr>
                    <w:pStyle w:val="57"/>
                    <w:rPr>
                      <w:color w:val="auto"/>
                    </w:rPr>
                  </w:pPr>
                  <w:r>
                    <w:rPr>
                      <w:rFonts w:hint="eastAsia"/>
                      <w:color w:val="auto"/>
                    </w:rPr>
                    <w:t>符合</w:t>
                  </w:r>
                </w:p>
              </w:tc>
            </w:tr>
            <w:tr w14:paraId="5966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pct"/>
                  <w:vAlign w:val="center"/>
                </w:tcPr>
                <w:p w14:paraId="5037F9C6">
                  <w:pPr>
                    <w:pStyle w:val="57"/>
                    <w:rPr>
                      <w:color w:val="auto"/>
                    </w:rPr>
                  </w:pPr>
                  <w:r>
                    <w:rPr>
                      <w:color w:val="auto"/>
                    </w:rPr>
                    <w:t>企业厂区内及周边污染监控要求；污染物监测要求</w:t>
                  </w:r>
                </w:p>
              </w:tc>
              <w:tc>
                <w:tcPr>
                  <w:tcW w:w="1985" w:type="pct"/>
                  <w:tcBorders>
                    <w:top w:val="single" w:color="auto" w:sz="4" w:space="0"/>
                    <w:left w:val="single" w:color="auto" w:sz="4" w:space="0"/>
                    <w:bottom w:val="single" w:color="auto" w:sz="4" w:space="0"/>
                    <w:right w:val="single" w:color="auto" w:sz="4" w:space="0"/>
                  </w:tcBorders>
                  <w:vAlign w:val="center"/>
                </w:tcPr>
                <w:p w14:paraId="22723CF6">
                  <w:pPr>
                    <w:pStyle w:val="57"/>
                    <w:rPr>
                      <w:color w:val="auto"/>
                    </w:rPr>
                  </w:pPr>
                  <w:r>
                    <w:rPr>
                      <w:color w:val="auto"/>
                    </w:rPr>
                    <w:t>企业应按照有关法律、《环境监测管理办法》和HJ819等规定，建立企业监测制度，制订监测方案，对污染物排放状况及其对周边环境质量的影响开展自行监测，保存原始监测记录，并公布监测结果。企业边界及周边VOCs监控要求执行GB16297或相关行业排放标准的规定。</w:t>
                  </w:r>
                </w:p>
              </w:tc>
              <w:tc>
                <w:tcPr>
                  <w:tcW w:w="1599" w:type="pct"/>
                  <w:vAlign w:val="center"/>
                </w:tcPr>
                <w:p w14:paraId="270933C7">
                  <w:pPr>
                    <w:pStyle w:val="57"/>
                    <w:rPr>
                      <w:color w:val="auto"/>
                    </w:rPr>
                  </w:pPr>
                  <w:r>
                    <w:rPr>
                      <w:color w:val="auto"/>
                    </w:rPr>
                    <w:t>企业拟</w:t>
                  </w:r>
                  <w:r>
                    <w:rPr>
                      <w:rFonts w:hint="eastAsia"/>
                      <w:color w:val="auto"/>
                    </w:rPr>
                    <w:t>按相关规定制订监测方案，开展自行</w:t>
                  </w:r>
                  <w:r>
                    <w:rPr>
                      <w:color w:val="auto"/>
                    </w:rPr>
                    <w:t>监测。</w:t>
                  </w:r>
                </w:p>
              </w:tc>
              <w:tc>
                <w:tcPr>
                  <w:tcW w:w="598" w:type="pct"/>
                  <w:vAlign w:val="center"/>
                </w:tcPr>
                <w:p w14:paraId="799BF5C8">
                  <w:pPr>
                    <w:pStyle w:val="57"/>
                    <w:rPr>
                      <w:color w:val="auto"/>
                    </w:rPr>
                  </w:pPr>
                  <w:r>
                    <w:rPr>
                      <w:rFonts w:hint="eastAsia"/>
                      <w:color w:val="auto"/>
                    </w:rPr>
                    <w:t>符合</w:t>
                  </w:r>
                </w:p>
              </w:tc>
            </w:tr>
          </w:tbl>
          <w:p w14:paraId="74C92A11">
            <w:pPr>
              <w:ind w:firstLine="482"/>
              <w:rPr>
                <w:b/>
                <w:bCs/>
                <w:color w:val="auto"/>
              </w:rPr>
            </w:pPr>
            <w:r>
              <w:rPr>
                <w:rFonts w:hint="eastAsia"/>
                <w:b/>
                <w:bCs/>
                <w:color w:val="auto"/>
              </w:rPr>
              <w:t>④与《安徽省低挥发性有机物含量原辅材料替代工作方案的通知》皖环发[2024]1号相符性分析</w:t>
            </w:r>
          </w:p>
          <w:p w14:paraId="3BEF9D54">
            <w:pPr>
              <w:pStyle w:val="58"/>
              <w:ind w:firstLine="422"/>
              <w:rPr>
                <w:color w:val="auto"/>
              </w:rPr>
            </w:pPr>
            <w:r>
              <w:rPr>
                <w:color w:val="auto"/>
              </w:rPr>
              <w:t>表1-</w:t>
            </w:r>
            <w:r>
              <w:rPr>
                <w:rFonts w:hint="eastAsia"/>
                <w:color w:val="auto"/>
                <w:lang w:val="en-US" w:eastAsia="zh-CN"/>
              </w:rPr>
              <w:t>8</w:t>
            </w:r>
            <w:r>
              <w:rPr>
                <w:color w:val="auto"/>
              </w:rPr>
              <w:t>与《安徽省低挥发性有机物含量原辅材料替代工作方案的通知》</w:t>
            </w:r>
            <w:r>
              <w:rPr>
                <w:rFonts w:hint="eastAsia"/>
                <w:color w:val="auto"/>
              </w:rPr>
              <w:t>皖环发[2024]1号</w:t>
            </w:r>
            <w:r>
              <w:rPr>
                <w:color w:val="auto"/>
              </w:rPr>
              <w:t>相符性分析表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1638"/>
              <w:gridCol w:w="931"/>
            </w:tblGrid>
            <w:tr w14:paraId="0B5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7" w:type="pct"/>
                  <w:tcBorders>
                    <w:right w:val="single" w:color="auto" w:sz="4" w:space="0"/>
                  </w:tcBorders>
                  <w:noWrap/>
                  <w:vAlign w:val="center"/>
                </w:tcPr>
                <w:p w14:paraId="7652E549">
                  <w:pPr>
                    <w:pStyle w:val="57"/>
                    <w:rPr>
                      <w:b/>
                      <w:bCs w:val="0"/>
                      <w:color w:val="auto"/>
                    </w:rPr>
                  </w:pPr>
                  <w:r>
                    <w:rPr>
                      <w:b/>
                      <w:bCs w:val="0"/>
                      <w:color w:val="auto"/>
                    </w:rPr>
                    <w:t>要求</w:t>
                  </w:r>
                </w:p>
              </w:tc>
              <w:tc>
                <w:tcPr>
                  <w:tcW w:w="1028" w:type="pct"/>
                  <w:noWrap/>
                  <w:vAlign w:val="center"/>
                </w:tcPr>
                <w:p w14:paraId="24854D26">
                  <w:pPr>
                    <w:pStyle w:val="57"/>
                    <w:rPr>
                      <w:b/>
                      <w:bCs w:val="0"/>
                      <w:color w:val="auto"/>
                    </w:rPr>
                  </w:pPr>
                  <w:r>
                    <w:rPr>
                      <w:b/>
                      <w:bCs w:val="0"/>
                      <w:color w:val="auto"/>
                    </w:rPr>
                    <w:t>本项目情况</w:t>
                  </w:r>
                </w:p>
              </w:tc>
              <w:tc>
                <w:tcPr>
                  <w:tcW w:w="584" w:type="pct"/>
                  <w:noWrap/>
                  <w:vAlign w:val="center"/>
                </w:tcPr>
                <w:p w14:paraId="25C5AF0E">
                  <w:pPr>
                    <w:pStyle w:val="57"/>
                    <w:rPr>
                      <w:b/>
                      <w:bCs w:val="0"/>
                      <w:color w:val="auto"/>
                    </w:rPr>
                  </w:pPr>
                  <w:r>
                    <w:rPr>
                      <w:b/>
                      <w:bCs w:val="0"/>
                      <w:color w:val="auto"/>
                    </w:rPr>
                    <w:t>相符性分析</w:t>
                  </w:r>
                </w:p>
              </w:tc>
            </w:tr>
            <w:tr w14:paraId="7834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7" w:type="pct"/>
                  <w:tcBorders>
                    <w:right w:val="single" w:color="auto" w:sz="4" w:space="0"/>
                  </w:tcBorders>
                  <w:noWrap/>
                  <w:vAlign w:val="center"/>
                </w:tcPr>
                <w:p w14:paraId="48B66DB1">
                  <w:pPr>
                    <w:pStyle w:val="57"/>
                    <w:rPr>
                      <w:color w:val="auto"/>
                    </w:rPr>
                  </w:pPr>
                  <w:r>
                    <w:rPr>
                      <w:color w:val="auto"/>
                    </w:rPr>
                    <w:t>(一)加强替代管理。工业涂装、包装印刷、竹木加工、家具制造、汽车修理与维护、鞋和皮革制品制造等重点行业企业，要按照《低挥发性有机物含量原辅材料源头替代技术指引(试行)》(附件3)要求，开展低VOCs原辅材料和生产方式替代，优化管控台账及档案管理，持续提升环境管理水平。各地要根据《关于深入开展挥发性有机物污染治理工作的通知》(皖大气办[2021]4号)要求，在认真梳理2021至2023年度VOCs源头削减治理项目清单基础上，对涉VOCs重点行业和使用溶剂型涂料、油墨、胶粘剂、清洗剂以及涉及有机化工生产的产业集群进行再排查,将含VOCs原辅材料使用企业全面纳入源头替代企业排查台账(附件2)，对具备替代条件的，加强调度指导;对无法替代的，要开展论证核实，严格把关并逐一说明。</w:t>
                  </w:r>
                </w:p>
              </w:tc>
              <w:tc>
                <w:tcPr>
                  <w:tcW w:w="1028" w:type="pct"/>
                  <w:vMerge w:val="restart"/>
                  <w:noWrap/>
                  <w:vAlign w:val="center"/>
                </w:tcPr>
                <w:p w14:paraId="3468DCE0">
                  <w:pPr>
                    <w:pStyle w:val="57"/>
                    <w:rPr>
                      <w:rFonts w:hint="eastAsia"/>
                      <w:color w:val="auto"/>
                    </w:rPr>
                  </w:pPr>
                </w:p>
                <w:p w14:paraId="1D40B8BA">
                  <w:pPr>
                    <w:pStyle w:val="57"/>
                    <w:rPr>
                      <w:rFonts w:hint="eastAsia"/>
                      <w:color w:val="auto"/>
                    </w:rPr>
                  </w:pPr>
                </w:p>
                <w:p w14:paraId="536B32F6">
                  <w:pPr>
                    <w:pStyle w:val="57"/>
                    <w:rPr>
                      <w:rFonts w:hint="eastAsia"/>
                      <w:color w:val="auto"/>
                    </w:rPr>
                  </w:pPr>
                </w:p>
                <w:p w14:paraId="003D372B">
                  <w:pPr>
                    <w:pStyle w:val="57"/>
                    <w:rPr>
                      <w:rFonts w:hint="eastAsia"/>
                      <w:color w:val="auto"/>
                    </w:rPr>
                  </w:pPr>
                </w:p>
                <w:p w14:paraId="4DDEDF89">
                  <w:pPr>
                    <w:pStyle w:val="57"/>
                    <w:rPr>
                      <w:rFonts w:hint="eastAsia"/>
                      <w:color w:val="auto"/>
                    </w:rPr>
                  </w:pPr>
                </w:p>
                <w:p w14:paraId="3362272D">
                  <w:pPr>
                    <w:pStyle w:val="57"/>
                    <w:rPr>
                      <w:rFonts w:hint="eastAsia"/>
                      <w:color w:val="auto"/>
                    </w:rPr>
                  </w:pPr>
                </w:p>
                <w:p w14:paraId="67326F0B">
                  <w:pPr>
                    <w:pStyle w:val="57"/>
                    <w:rPr>
                      <w:rFonts w:hint="eastAsia"/>
                      <w:color w:val="auto"/>
                    </w:rPr>
                  </w:pPr>
                </w:p>
                <w:p w14:paraId="05D51486">
                  <w:pPr>
                    <w:pStyle w:val="57"/>
                    <w:rPr>
                      <w:rFonts w:hint="eastAsia"/>
                      <w:color w:val="auto"/>
                    </w:rPr>
                  </w:pPr>
                </w:p>
                <w:p w14:paraId="2CFD5E6D">
                  <w:pPr>
                    <w:pStyle w:val="57"/>
                    <w:rPr>
                      <w:rFonts w:hint="eastAsia"/>
                      <w:color w:val="auto"/>
                    </w:rPr>
                  </w:pPr>
                </w:p>
                <w:p w14:paraId="7613B1C6">
                  <w:pPr>
                    <w:pStyle w:val="57"/>
                    <w:rPr>
                      <w:rFonts w:hint="eastAsia"/>
                      <w:color w:val="auto"/>
                    </w:rPr>
                  </w:pPr>
                </w:p>
                <w:p w14:paraId="0D9BD4C9">
                  <w:pPr>
                    <w:pStyle w:val="57"/>
                    <w:rPr>
                      <w:rFonts w:hint="eastAsia"/>
                      <w:color w:val="auto"/>
                    </w:rPr>
                  </w:pPr>
                  <w:r>
                    <w:rPr>
                      <w:rFonts w:hint="eastAsia"/>
                      <w:color w:val="auto"/>
                    </w:rPr>
                    <w:t>①本项目使用低挥发性的水性油墨</w:t>
                  </w:r>
                </w:p>
                <w:p w14:paraId="3DCF3AF5">
                  <w:pPr>
                    <w:pStyle w:val="57"/>
                    <w:rPr>
                      <w:rFonts w:hint="eastAsia"/>
                      <w:color w:val="auto"/>
                    </w:rPr>
                  </w:pPr>
                  <w:r>
                    <w:rPr>
                      <w:rFonts w:hint="eastAsia"/>
                      <w:color w:val="auto"/>
                    </w:rPr>
                    <w:t>②本项目使用的水性油墨满足《油墨中可挥发性有机化合物(VOCs)含量的限值》（GB38507-2020）</w:t>
                  </w:r>
                </w:p>
              </w:tc>
              <w:tc>
                <w:tcPr>
                  <w:tcW w:w="584" w:type="pct"/>
                  <w:noWrap/>
                  <w:vAlign w:val="center"/>
                </w:tcPr>
                <w:p w14:paraId="564383F5">
                  <w:pPr>
                    <w:pStyle w:val="57"/>
                    <w:rPr>
                      <w:color w:val="auto"/>
                    </w:rPr>
                  </w:pPr>
                  <w:r>
                    <w:rPr>
                      <w:color w:val="auto"/>
                    </w:rPr>
                    <w:t>符合</w:t>
                  </w:r>
                </w:p>
              </w:tc>
            </w:tr>
            <w:tr w14:paraId="3AB5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7" w:type="pct"/>
                  <w:tcBorders>
                    <w:right w:val="single" w:color="auto" w:sz="4" w:space="0"/>
                  </w:tcBorders>
                  <w:noWrap/>
                  <w:vAlign w:val="center"/>
                </w:tcPr>
                <w:p w14:paraId="00E9E645">
                  <w:pPr>
                    <w:pStyle w:val="57"/>
                    <w:rPr>
                      <w:color w:val="auto"/>
                    </w:rPr>
                  </w:pPr>
                  <w:r>
                    <w:rPr>
                      <w:color w:val="auto"/>
                    </w:rPr>
                    <w:t>(二)严格项目准入。根据《低挥发性有机化合物含量涂料产品技术要求》(GB/T38597-2020)要求，进一步完善VOCs排放管控地方标准建设，细化相关行业涂料种类及各项污染物指标限值，编制实施固定源挥发性有机物综合排放标准和制鞋、汽修、木材等行业大气污染物排放标准。禁止建设生产和使用高VOCs含量的溶剂型涂料、油墨、胶黏剂等项目，全省工业涂装、包装印刷等重点行业和涂料、油墨等生产企业的新(改、扩)建项目需满足低(无)VOCs含量限值要求。省内市场上流通的水性涂料等低VOCs含量涂料产品，执行《低挥发性有机化合物含量涂料产品技术要求》，应在包装标志或产品说明上标明符合标准的分类、产品类别及产品类型(或施涂方式)。</w:t>
                  </w:r>
                </w:p>
              </w:tc>
              <w:tc>
                <w:tcPr>
                  <w:tcW w:w="1028" w:type="pct"/>
                  <w:vMerge w:val="continue"/>
                  <w:noWrap/>
                  <w:vAlign w:val="center"/>
                </w:tcPr>
                <w:p w14:paraId="1AFA0D87">
                  <w:pPr>
                    <w:pStyle w:val="57"/>
                    <w:rPr>
                      <w:color w:val="auto"/>
                    </w:rPr>
                  </w:pPr>
                </w:p>
              </w:tc>
              <w:tc>
                <w:tcPr>
                  <w:tcW w:w="584" w:type="pct"/>
                  <w:noWrap/>
                  <w:vAlign w:val="center"/>
                </w:tcPr>
                <w:p w14:paraId="377B4BF8">
                  <w:pPr>
                    <w:pStyle w:val="57"/>
                    <w:rPr>
                      <w:color w:val="auto"/>
                    </w:rPr>
                  </w:pPr>
                  <w:r>
                    <w:rPr>
                      <w:color w:val="auto"/>
                    </w:rPr>
                    <w:t>符合</w:t>
                  </w:r>
                </w:p>
              </w:tc>
            </w:tr>
            <w:tr w14:paraId="2DF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7" w:type="pct"/>
                  <w:tcBorders>
                    <w:right w:val="single" w:color="auto" w:sz="4" w:space="0"/>
                  </w:tcBorders>
                  <w:noWrap/>
                  <w:vAlign w:val="center"/>
                </w:tcPr>
                <w:p w14:paraId="31CD558B">
                  <w:pPr>
                    <w:pStyle w:val="57"/>
                    <w:rPr>
                      <w:color w:val="auto"/>
                    </w:rPr>
                  </w:pPr>
                  <w:r>
                    <w:rPr>
                      <w:color w:val="auto"/>
                    </w:rPr>
                    <w:t>(三)强化示范带动。结合产业特点，实施工业涂装、包装印刷重点行业低VOCs含量原辅材料源头替代企业豁免末端治理设施试点，完善建立含VOCs物料生产端和使用端清洁原辅材料替代正面清单。各地要将全部生产水性、粉末、无溶剂、辐射</w:t>
                  </w:r>
                  <w:r>
                    <w:rPr>
                      <w:rFonts w:hint="eastAsia"/>
                      <w:color w:val="auto"/>
                    </w:rPr>
                    <w:t>烘干</w:t>
                  </w:r>
                  <w:r>
                    <w:rPr>
                      <w:color w:val="auto"/>
                    </w:rPr>
                    <w:t>涂料以及水性和能量</w:t>
                  </w:r>
                  <w:r>
                    <w:rPr>
                      <w:rFonts w:hint="eastAsia"/>
                      <w:color w:val="auto"/>
                    </w:rPr>
                    <w:t>烘干</w:t>
                  </w:r>
                  <w:r>
                    <w:rPr>
                      <w:color w:val="auto"/>
                    </w:rPr>
                    <w:t>油墨、水基和半水基清洗剂、水基型和本体型胶粘剂的生产企业，以及已经完全实施低VOCs含量清洁原料替代，排放浓度稳定达标且排放速率、排放绩效等满足相关规定的企业，纳入正面清单管理，在重污染天气应对、环境执法检查、政府绿色采购、绿色工厂及清洁生产评价、绿色产品认证、企业信贷融资等方面，给予政策倾斜。以工业涂装和包装印刷为行业试点，实施低VOCs原辅材料替代企业豁免挥发性有机物末端治理鼓励政策（附件4），规范引导企业积极开展源头替代工作。要充分发挥行业协会作用，邀请行业协会、专业检测机构等技术专家参与审核抽查工作,经各市审核确定的符合豁免替代工作。要充分发挥行业协会作用，邀请行业协会、专业检测机构等技术专家参与审核抽查工作,经各市审核确定的符合豁免条件的企业，相应生产工序可不要求建设末端治理设施或VOCs.无组织排放收集处理设施。</w:t>
                  </w:r>
                </w:p>
              </w:tc>
              <w:tc>
                <w:tcPr>
                  <w:tcW w:w="1028" w:type="pct"/>
                  <w:vMerge w:val="continue"/>
                  <w:noWrap/>
                  <w:vAlign w:val="center"/>
                </w:tcPr>
                <w:p w14:paraId="36282DA8">
                  <w:pPr>
                    <w:pStyle w:val="57"/>
                    <w:rPr>
                      <w:color w:val="auto"/>
                    </w:rPr>
                  </w:pPr>
                </w:p>
              </w:tc>
              <w:tc>
                <w:tcPr>
                  <w:tcW w:w="584" w:type="pct"/>
                  <w:noWrap/>
                  <w:vAlign w:val="center"/>
                </w:tcPr>
                <w:p w14:paraId="6C897E3B">
                  <w:pPr>
                    <w:pStyle w:val="57"/>
                    <w:rPr>
                      <w:color w:val="auto"/>
                    </w:rPr>
                  </w:pPr>
                  <w:r>
                    <w:rPr>
                      <w:color w:val="auto"/>
                    </w:rPr>
                    <w:t>符合</w:t>
                  </w:r>
                </w:p>
              </w:tc>
            </w:tr>
          </w:tbl>
          <w:p w14:paraId="67831B84">
            <w:pPr>
              <w:ind w:firstLine="482"/>
              <w:jc w:val="left"/>
              <w:rPr>
                <w:b/>
                <w:bCs/>
                <w:color w:val="auto"/>
                <w:kern w:val="0"/>
              </w:rPr>
            </w:pPr>
            <w:r>
              <w:rPr>
                <w:rFonts w:hint="eastAsia"/>
                <w:b/>
                <w:bCs/>
                <w:color w:val="auto"/>
                <w:kern w:val="0"/>
              </w:rPr>
              <w:t>⑤</w:t>
            </w:r>
            <w:r>
              <w:rPr>
                <w:b/>
                <w:bCs/>
                <w:color w:val="auto"/>
                <w:kern w:val="0"/>
              </w:rPr>
              <w:t>与《宿州市生态环境保护委员会关于印发“十四五”生态环境保护规划的通知》（宿环委会〔2022〕2号）的符合性分析：</w:t>
            </w:r>
          </w:p>
          <w:p w14:paraId="1BFC03D4">
            <w:pPr>
              <w:pStyle w:val="58"/>
              <w:ind w:firstLine="422"/>
              <w:rPr>
                <w:color w:val="auto"/>
              </w:rPr>
            </w:pPr>
            <w:r>
              <w:rPr>
                <w:color w:val="auto"/>
              </w:rPr>
              <w:t>表</w:t>
            </w:r>
            <w:r>
              <w:rPr>
                <w:rFonts w:hint="eastAsia"/>
                <w:color w:val="auto"/>
                <w:lang w:val="en-US" w:eastAsia="zh-CN"/>
              </w:rPr>
              <w:t>1-9</w:t>
            </w:r>
            <w:r>
              <w:rPr>
                <w:color w:val="auto"/>
              </w:rPr>
              <w:t>与《宿州市生态环境保护委员会关于印发“十四五”生态环境保护规划的通知》（宿环委会【2022】2号）的符合性分析一览表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127"/>
              <w:gridCol w:w="2173"/>
              <w:gridCol w:w="888"/>
            </w:tblGrid>
            <w:tr w14:paraId="36ED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ign w:val="center"/>
                </w:tcPr>
                <w:p w14:paraId="55CBCF28">
                  <w:pPr>
                    <w:pStyle w:val="145"/>
                    <w:rPr>
                      <w:b/>
                      <w:bCs w:val="0"/>
                      <w:color w:val="auto"/>
                    </w:rPr>
                  </w:pPr>
                  <w:r>
                    <w:rPr>
                      <w:b/>
                      <w:bCs w:val="0"/>
                      <w:color w:val="auto"/>
                    </w:rPr>
                    <w:t>序号</w:t>
                  </w:r>
                </w:p>
              </w:tc>
              <w:tc>
                <w:tcPr>
                  <w:tcW w:w="2588" w:type="pct"/>
                  <w:noWrap/>
                  <w:vAlign w:val="center"/>
                </w:tcPr>
                <w:p w14:paraId="6D220D57">
                  <w:pPr>
                    <w:pStyle w:val="145"/>
                    <w:rPr>
                      <w:b/>
                      <w:bCs w:val="0"/>
                      <w:color w:val="auto"/>
                    </w:rPr>
                  </w:pPr>
                  <w:r>
                    <w:rPr>
                      <w:b/>
                      <w:bCs w:val="0"/>
                      <w:color w:val="auto"/>
                    </w:rPr>
                    <w:t>内容</w:t>
                  </w:r>
                </w:p>
              </w:tc>
              <w:tc>
                <w:tcPr>
                  <w:tcW w:w="1362" w:type="pct"/>
                  <w:noWrap/>
                  <w:vAlign w:val="center"/>
                </w:tcPr>
                <w:p w14:paraId="7C35CF51">
                  <w:pPr>
                    <w:pStyle w:val="145"/>
                    <w:rPr>
                      <w:b/>
                      <w:bCs w:val="0"/>
                      <w:color w:val="auto"/>
                    </w:rPr>
                  </w:pPr>
                  <w:r>
                    <w:rPr>
                      <w:b/>
                      <w:bCs w:val="0"/>
                      <w:color w:val="auto"/>
                    </w:rPr>
                    <w:t>本项目情况</w:t>
                  </w:r>
                </w:p>
              </w:tc>
              <w:tc>
                <w:tcPr>
                  <w:tcW w:w="557" w:type="pct"/>
                  <w:noWrap/>
                  <w:vAlign w:val="center"/>
                </w:tcPr>
                <w:p w14:paraId="5038B56C">
                  <w:pPr>
                    <w:pStyle w:val="145"/>
                    <w:rPr>
                      <w:b/>
                      <w:bCs w:val="0"/>
                      <w:color w:val="auto"/>
                    </w:rPr>
                  </w:pPr>
                  <w:r>
                    <w:rPr>
                      <w:b/>
                      <w:bCs w:val="0"/>
                      <w:color w:val="auto"/>
                    </w:rPr>
                    <w:t>相符性</w:t>
                  </w:r>
                </w:p>
              </w:tc>
            </w:tr>
            <w:tr w14:paraId="19CF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ign w:val="center"/>
                </w:tcPr>
                <w:p w14:paraId="658A22EF">
                  <w:pPr>
                    <w:pStyle w:val="145"/>
                    <w:rPr>
                      <w:color w:val="auto"/>
                    </w:rPr>
                  </w:pPr>
                  <w:r>
                    <w:rPr>
                      <w:color w:val="auto"/>
                    </w:rPr>
                    <w:t>1</w:t>
                  </w:r>
                </w:p>
              </w:tc>
              <w:tc>
                <w:tcPr>
                  <w:tcW w:w="2588" w:type="pct"/>
                  <w:noWrap/>
                  <w:vAlign w:val="center"/>
                </w:tcPr>
                <w:p w14:paraId="2CF6F637">
                  <w:pPr>
                    <w:pStyle w:val="145"/>
                    <w:rPr>
                      <w:color w:val="auto"/>
                    </w:rPr>
                  </w:pPr>
                  <w:r>
                    <w:rPr>
                      <w:color w:val="auto"/>
                    </w:rPr>
                    <w:t>加强源头管控。严格落实国家和地方产品的VOCs（挥发性有机污染物）含量限值标准，优先推行生产和使用低VOCs原辅材料。鼓励加快低VOCs含量涂料、油墨、胶粘剂等研发和生产，通过低VOCs含量的涂料、油墨、胶粘剂、清洗剂等替代，减少VOCs产生。加大低VOCs含量产品的推广利用力度。将全面生产、使用符合国家要求的低VOCs含量原辅材料的企业纳入正面清单。引导将使用低VOCs含量涂料、胶粘剂等纳入政府采购装修合同环保条款。</w:t>
                  </w:r>
                </w:p>
              </w:tc>
              <w:tc>
                <w:tcPr>
                  <w:tcW w:w="1362" w:type="pct"/>
                  <w:noWrap/>
                  <w:vAlign w:val="center"/>
                </w:tcPr>
                <w:p w14:paraId="41DE6F5F">
                  <w:pPr>
                    <w:pStyle w:val="145"/>
                    <w:rPr>
                      <w:color w:val="auto"/>
                    </w:rPr>
                  </w:pPr>
                  <w:r>
                    <w:rPr>
                      <w:color w:val="auto"/>
                    </w:rPr>
                    <w:t>本项目使用的水性油墨满足《油墨中可挥发性有机化合物(VOCs)含量的限值》（GB38507-2020）</w:t>
                  </w:r>
                </w:p>
              </w:tc>
              <w:tc>
                <w:tcPr>
                  <w:tcW w:w="557" w:type="pct"/>
                  <w:noWrap/>
                  <w:vAlign w:val="center"/>
                </w:tcPr>
                <w:p w14:paraId="6118A4F9">
                  <w:pPr>
                    <w:pStyle w:val="145"/>
                    <w:rPr>
                      <w:color w:val="auto"/>
                    </w:rPr>
                  </w:pPr>
                  <w:r>
                    <w:rPr>
                      <w:color w:val="auto"/>
                    </w:rPr>
                    <w:t>相符</w:t>
                  </w:r>
                </w:p>
              </w:tc>
            </w:tr>
            <w:tr w14:paraId="2A74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ign w:val="center"/>
                </w:tcPr>
                <w:p w14:paraId="1B8CB601">
                  <w:pPr>
                    <w:pStyle w:val="145"/>
                    <w:rPr>
                      <w:color w:val="auto"/>
                    </w:rPr>
                  </w:pPr>
                  <w:r>
                    <w:rPr>
                      <w:color w:val="auto"/>
                    </w:rPr>
                    <w:t>2</w:t>
                  </w:r>
                </w:p>
              </w:tc>
              <w:tc>
                <w:tcPr>
                  <w:tcW w:w="2588" w:type="pct"/>
                  <w:noWrap/>
                  <w:vAlign w:val="center"/>
                </w:tcPr>
                <w:p w14:paraId="5274401C">
                  <w:pPr>
                    <w:pStyle w:val="145"/>
                    <w:rPr>
                      <w:color w:val="auto"/>
                    </w:rPr>
                  </w:pPr>
                  <w:r>
                    <w:rPr>
                      <w:color w:val="auto"/>
                    </w:rPr>
                    <w:t>深化集中治理。全面加大工业园区、企业集群和重点企业VOCs治理力度。筛选全市VOCs控制的重点污染物和重点行业，编制重点行业“一行一策”、工业园区“一园一策”控制方案，实施重点行业VOCs排放总量控制。加强化工、工业涂装、包装印刷、油品储运销等重点行业VOCs治理，确定并发布VOCs重点监管企业名录，督促纳入重点监管企业名录的企业编制并实施“一企一策”综合治理方案。严格落实《挥发性有机物无组织排放控制标准》，加强VOCs无组织排放控制，加快废气收集系统建设，提高废气收集率。加强设备与管线组件泄漏控制，按相关要求开展LDAR工作。推进工业园区和企业集群建设涉VOCs“绿岛”项目，建设一批集中涂装中心、活性炭集中处理中心、有机溶剂回收中心等，多个市场主体共享环保基础设施，实施统一收集、集中收集、集中治理、稳定达标排放。</w:t>
                  </w:r>
                </w:p>
              </w:tc>
              <w:tc>
                <w:tcPr>
                  <w:tcW w:w="1362" w:type="pct"/>
                  <w:noWrap/>
                  <w:vAlign w:val="center"/>
                </w:tcPr>
                <w:p w14:paraId="21788561">
                  <w:pPr>
                    <w:pStyle w:val="145"/>
                    <w:rPr>
                      <w:color w:val="auto"/>
                      <w:szCs w:val="21"/>
                    </w:rPr>
                  </w:pPr>
                  <w:r>
                    <w:rPr>
                      <w:color w:val="auto"/>
                      <w:szCs w:val="21"/>
                    </w:rPr>
                    <w:t>①</w:t>
                  </w:r>
                  <w:r>
                    <w:rPr>
                      <w:rFonts w:hint="eastAsia"/>
                      <w:color w:val="auto"/>
                    </w:rPr>
                    <w:t>本项目使用的水性油墨满足《油墨中可挥发性有机化合物(VOCs)含量的限值》（GB38507-2020）</w:t>
                  </w:r>
                  <w:r>
                    <w:rPr>
                      <w:color w:val="auto"/>
                      <w:szCs w:val="21"/>
                    </w:rPr>
                    <w:t>，不属于高VOCs含量的溶剂型</w:t>
                  </w:r>
                  <w:r>
                    <w:rPr>
                      <w:rFonts w:hint="eastAsia"/>
                      <w:color w:val="auto"/>
                      <w:szCs w:val="21"/>
                    </w:rPr>
                    <w:t>油墨</w:t>
                  </w:r>
                  <w:r>
                    <w:rPr>
                      <w:color w:val="auto"/>
                      <w:szCs w:val="21"/>
                    </w:rPr>
                    <w:t>；</w:t>
                  </w:r>
                </w:p>
                <w:p w14:paraId="6F94A698">
                  <w:pPr>
                    <w:pStyle w:val="145"/>
                    <w:rPr>
                      <w:color w:val="auto"/>
                    </w:rPr>
                  </w:pPr>
                  <w:r>
                    <w:rPr>
                      <w:color w:val="auto"/>
                    </w:rPr>
                    <w:t>②</w:t>
                  </w:r>
                  <w:r>
                    <w:rPr>
                      <w:rFonts w:hint="eastAsia"/>
                      <w:color w:val="auto"/>
                    </w:rPr>
                    <w:t>注塑废气、热转印废气、印刷、烘干废气、注墨废气</w:t>
                  </w:r>
                  <w:r>
                    <w:rPr>
                      <w:color w:val="auto"/>
                    </w:rPr>
                    <w:t>经集气罩收集后通过风机引入1套“二级活性炭”处理，处理效率为90%，处理后经1根15m高（DA001）排气筒排放</w:t>
                  </w:r>
                </w:p>
              </w:tc>
              <w:tc>
                <w:tcPr>
                  <w:tcW w:w="557" w:type="pct"/>
                  <w:noWrap/>
                  <w:vAlign w:val="center"/>
                </w:tcPr>
                <w:p w14:paraId="424AF1AD">
                  <w:pPr>
                    <w:pStyle w:val="145"/>
                    <w:rPr>
                      <w:color w:val="auto"/>
                    </w:rPr>
                  </w:pPr>
                  <w:r>
                    <w:rPr>
                      <w:color w:val="auto"/>
                    </w:rPr>
                    <w:t>相符</w:t>
                  </w:r>
                </w:p>
              </w:tc>
            </w:tr>
            <w:tr w14:paraId="6BBC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ign w:val="center"/>
                </w:tcPr>
                <w:p w14:paraId="3A432A5E">
                  <w:pPr>
                    <w:pStyle w:val="145"/>
                    <w:rPr>
                      <w:color w:val="auto"/>
                    </w:rPr>
                  </w:pPr>
                  <w:r>
                    <w:rPr>
                      <w:color w:val="auto"/>
                    </w:rPr>
                    <w:t>3</w:t>
                  </w:r>
                </w:p>
              </w:tc>
              <w:tc>
                <w:tcPr>
                  <w:tcW w:w="2588" w:type="pct"/>
                  <w:noWrap/>
                  <w:vAlign w:val="center"/>
                </w:tcPr>
                <w:p w14:paraId="4EC03717">
                  <w:pPr>
                    <w:pStyle w:val="145"/>
                    <w:rPr>
                      <w:color w:val="auto"/>
                    </w:rPr>
                  </w:pPr>
                  <w:r>
                    <w:rPr>
                      <w:color w:val="auto"/>
                    </w:rPr>
                    <w:t>强化监测监控。在宿州高新技术产业开发区、宿州经济开发区、宿马园区、萧县经济开发区、泗城镇工业园区、砀山县薛楼板材加工园区等重点园区中开展监测、排查、评估、治理设施建设运营等一体化服务，着力提升监测监控能力，加快推进工业园区环境空气质量VOCs监测，鼓励有条件的园区开展走航监测、网格化监测等工作，建立环境信息共享平台和档案管理制度，涉及化工类工业园区建设监测预警监控体系。全面开展加油站、储油库和油罐车油气回收治理设施运行维护情况监督检查，推动企业制定实施日查、自检、年检和维护制度。</w:t>
                  </w:r>
                </w:p>
              </w:tc>
              <w:tc>
                <w:tcPr>
                  <w:tcW w:w="1362" w:type="pct"/>
                  <w:noWrap/>
                  <w:vAlign w:val="center"/>
                </w:tcPr>
                <w:p w14:paraId="622198D3">
                  <w:pPr>
                    <w:pStyle w:val="145"/>
                    <w:rPr>
                      <w:color w:val="auto"/>
                    </w:rPr>
                  </w:pPr>
                  <w:r>
                    <w:rPr>
                      <w:color w:val="auto"/>
                    </w:rPr>
                    <w:t>①</w:t>
                  </w:r>
                  <w:r>
                    <w:rPr>
                      <w:rFonts w:hint="eastAsia"/>
                      <w:color w:val="auto"/>
                    </w:rPr>
                    <w:t>本项目位于</w:t>
                  </w:r>
                  <w:r>
                    <w:rPr>
                      <w:color w:val="auto"/>
                    </w:rPr>
                    <w:t>安徽省</w:t>
                  </w:r>
                  <w:r>
                    <w:rPr>
                      <w:rFonts w:hint="eastAsia"/>
                      <w:color w:val="auto"/>
                      <w:lang w:eastAsia="zh-CN"/>
                    </w:rPr>
                    <w:t>宿州市经济开发区陈河路与鞋</w:t>
                  </w:r>
                  <w:r>
                    <w:rPr>
                      <w:color w:val="auto"/>
                    </w:rPr>
                    <w:t>城八路交叉口东南角，位于工业园区内②注塑废气、</w:t>
                  </w:r>
                  <w:r>
                    <w:rPr>
                      <w:rFonts w:hint="eastAsia"/>
                      <w:color w:val="auto"/>
                    </w:rPr>
                    <w:t>热转印废气、</w:t>
                  </w:r>
                  <w:r>
                    <w:rPr>
                      <w:color w:val="auto"/>
                    </w:rPr>
                    <w:t>印刷、烘干废气</w:t>
                  </w:r>
                  <w:r>
                    <w:rPr>
                      <w:rFonts w:hint="eastAsia"/>
                      <w:color w:val="auto"/>
                    </w:rPr>
                    <w:t>、注墨废气</w:t>
                  </w:r>
                  <w:r>
                    <w:rPr>
                      <w:color w:val="auto"/>
                    </w:rPr>
                    <w:t>经集气罩收集后通过风机引入1套“二级活性炭”处理，处理效率为90%，处理后经1根15m高（DA001）排气筒排放</w:t>
                  </w:r>
                </w:p>
              </w:tc>
              <w:tc>
                <w:tcPr>
                  <w:tcW w:w="557" w:type="pct"/>
                  <w:noWrap/>
                  <w:vAlign w:val="center"/>
                </w:tcPr>
                <w:p w14:paraId="0B1C4F79">
                  <w:pPr>
                    <w:pStyle w:val="145"/>
                    <w:rPr>
                      <w:color w:val="auto"/>
                    </w:rPr>
                  </w:pPr>
                  <w:r>
                    <w:rPr>
                      <w:color w:val="auto"/>
                    </w:rPr>
                    <w:t>相符</w:t>
                  </w:r>
                </w:p>
              </w:tc>
            </w:tr>
          </w:tbl>
          <w:p w14:paraId="63852005">
            <w:pPr>
              <w:ind w:firstLine="0" w:firstLineChars="0"/>
              <w:rPr>
                <w:rFonts w:hint="eastAsia"/>
                <w:color w:val="auto"/>
                <w:kern w:val="0"/>
              </w:rPr>
            </w:pPr>
          </w:p>
          <w:p w14:paraId="594CC1C9">
            <w:pPr>
              <w:ind w:firstLine="0" w:firstLineChars="0"/>
              <w:rPr>
                <w:rFonts w:hint="eastAsia"/>
                <w:color w:val="auto"/>
                <w:kern w:val="0"/>
              </w:rPr>
            </w:pPr>
          </w:p>
          <w:p w14:paraId="75616405">
            <w:pPr>
              <w:ind w:firstLine="0" w:firstLineChars="0"/>
              <w:rPr>
                <w:rFonts w:hint="eastAsia"/>
                <w:color w:val="auto"/>
                <w:kern w:val="0"/>
              </w:rPr>
            </w:pPr>
          </w:p>
          <w:p w14:paraId="1E4213D8">
            <w:pPr>
              <w:ind w:firstLine="0" w:firstLineChars="0"/>
              <w:rPr>
                <w:rFonts w:hint="eastAsia"/>
                <w:color w:val="auto"/>
                <w:kern w:val="0"/>
              </w:rPr>
            </w:pPr>
          </w:p>
          <w:p w14:paraId="20584244">
            <w:pPr>
              <w:ind w:firstLine="0" w:firstLineChars="0"/>
              <w:rPr>
                <w:rFonts w:hint="eastAsia"/>
                <w:color w:val="auto"/>
                <w:kern w:val="0"/>
              </w:rPr>
            </w:pPr>
          </w:p>
          <w:p w14:paraId="40F7C748">
            <w:pPr>
              <w:ind w:firstLine="0" w:firstLineChars="0"/>
              <w:rPr>
                <w:rFonts w:hint="eastAsia"/>
                <w:color w:val="auto"/>
                <w:kern w:val="0"/>
              </w:rPr>
            </w:pPr>
          </w:p>
          <w:p w14:paraId="593075DD">
            <w:pPr>
              <w:ind w:firstLine="0" w:firstLineChars="0"/>
              <w:rPr>
                <w:rFonts w:hint="eastAsia"/>
                <w:color w:val="auto"/>
                <w:kern w:val="0"/>
              </w:rPr>
            </w:pPr>
          </w:p>
          <w:p w14:paraId="0BA76661">
            <w:pPr>
              <w:ind w:firstLine="0" w:firstLineChars="0"/>
              <w:rPr>
                <w:rFonts w:hint="eastAsia"/>
                <w:color w:val="auto"/>
                <w:kern w:val="0"/>
              </w:rPr>
            </w:pPr>
          </w:p>
          <w:p w14:paraId="6390E8F2">
            <w:pPr>
              <w:ind w:firstLine="0" w:firstLineChars="0"/>
              <w:rPr>
                <w:rFonts w:hint="eastAsia"/>
                <w:color w:val="auto"/>
                <w:kern w:val="0"/>
              </w:rPr>
            </w:pPr>
          </w:p>
          <w:p w14:paraId="62CBC066">
            <w:pPr>
              <w:ind w:firstLine="0" w:firstLineChars="0"/>
              <w:rPr>
                <w:rFonts w:hint="eastAsia"/>
                <w:color w:val="auto"/>
                <w:kern w:val="0"/>
              </w:rPr>
            </w:pPr>
          </w:p>
          <w:p w14:paraId="7714DF95">
            <w:pPr>
              <w:ind w:firstLine="0" w:firstLineChars="0"/>
              <w:rPr>
                <w:rFonts w:hint="eastAsia"/>
                <w:color w:val="auto"/>
                <w:kern w:val="0"/>
              </w:rPr>
            </w:pPr>
          </w:p>
          <w:p w14:paraId="30E7EFD8">
            <w:pPr>
              <w:ind w:firstLine="0" w:firstLineChars="0"/>
              <w:rPr>
                <w:rFonts w:hint="eastAsia"/>
                <w:color w:val="auto"/>
                <w:kern w:val="0"/>
              </w:rPr>
            </w:pPr>
          </w:p>
          <w:p w14:paraId="3E40C8E3">
            <w:pPr>
              <w:ind w:firstLine="0" w:firstLineChars="0"/>
              <w:rPr>
                <w:rFonts w:hint="eastAsia"/>
                <w:color w:val="auto"/>
                <w:kern w:val="0"/>
              </w:rPr>
            </w:pPr>
          </w:p>
          <w:p w14:paraId="2F074048">
            <w:pPr>
              <w:ind w:firstLine="0" w:firstLineChars="0"/>
              <w:rPr>
                <w:rFonts w:hint="eastAsia"/>
                <w:color w:val="auto"/>
                <w:kern w:val="0"/>
              </w:rPr>
            </w:pPr>
          </w:p>
          <w:p w14:paraId="04CF802A">
            <w:pPr>
              <w:ind w:firstLine="0" w:firstLineChars="0"/>
              <w:rPr>
                <w:rFonts w:hint="eastAsia"/>
                <w:color w:val="auto"/>
                <w:kern w:val="0"/>
              </w:rPr>
            </w:pPr>
          </w:p>
          <w:p w14:paraId="0F78312C">
            <w:pPr>
              <w:ind w:firstLine="0" w:firstLineChars="0"/>
              <w:rPr>
                <w:rFonts w:hint="eastAsia"/>
                <w:color w:val="auto"/>
                <w:kern w:val="0"/>
              </w:rPr>
            </w:pPr>
          </w:p>
          <w:p w14:paraId="260F946F">
            <w:pPr>
              <w:ind w:firstLine="0" w:firstLineChars="0"/>
              <w:rPr>
                <w:rFonts w:hint="eastAsia"/>
                <w:color w:val="auto"/>
                <w:kern w:val="0"/>
              </w:rPr>
            </w:pPr>
          </w:p>
          <w:p w14:paraId="6D989F07">
            <w:pPr>
              <w:ind w:firstLine="0" w:firstLineChars="0"/>
              <w:rPr>
                <w:rFonts w:hint="eastAsia"/>
                <w:color w:val="auto"/>
                <w:kern w:val="0"/>
              </w:rPr>
            </w:pPr>
          </w:p>
          <w:p w14:paraId="5759323B">
            <w:pPr>
              <w:ind w:firstLine="0" w:firstLineChars="0"/>
              <w:rPr>
                <w:rFonts w:hint="eastAsia"/>
                <w:color w:val="auto"/>
                <w:kern w:val="0"/>
              </w:rPr>
            </w:pPr>
          </w:p>
          <w:p w14:paraId="22ABDF39">
            <w:pPr>
              <w:ind w:firstLine="0" w:firstLineChars="0"/>
              <w:rPr>
                <w:rFonts w:hint="eastAsia"/>
                <w:color w:val="auto"/>
                <w:kern w:val="0"/>
              </w:rPr>
            </w:pPr>
          </w:p>
          <w:p w14:paraId="437BB6B9">
            <w:pPr>
              <w:ind w:firstLine="0" w:firstLineChars="0"/>
              <w:rPr>
                <w:rFonts w:hint="eastAsia"/>
                <w:color w:val="auto"/>
                <w:kern w:val="0"/>
              </w:rPr>
            </w:pPr>
          </w:p>
          <w:p w14:paraId="3AE1B63E">
            <w:pPr>
              <w:ind w:firstLine="0" w:firstLineChars="0"/>
              <w:rPr>
                <w:rFonts w:hint="eastAsia"/>
                <w:color w:val="auto"/>
                <w:kern w:val="0"/>
              </w:rPr>
            </w:pPr>
          </w:p>
          <w:p w14:paraId="642E01EE">
            <w:pPr>
              <w:ind w:firstLine="0" w:firstLineChars="0"/>
              <w:rPr>
                <w:rFonts w:hint="eastAsia"/>
                <w:color w:val="auto"/>
                <w:kern w:val="0"/>
              </w:rPr>
            </w:pPr>
          </w:p>
          <w:p w14:paraId="019D9A04">
            <w:pPr>
              <w:ind w:firstLine="0" w:firstLineChars="0"/>
              <w:rPr>
                <w:rFonts w:hint="eastAsia"/>
                <w:color w:val="auto"/>
                <w:kern w:val="0"/>
              </w:rPr>
            </w:pPr>
          </w:p>
          <w:p w14:paraId="7F7FEC0F">
            <w:pPr>
              <w:ind w:firstLine="0" w:firstLineChars="0"/>
              <w:rPr>
                <w:color w:val="auto"/>
                <w:kern w:val="0"/>
              </w:rPr>
            </w:pPr>
          </w:p>
        </w:tc>
      </w:tr>
    </w:tbl>
    <w:p w14:paraId="1BB7E50A">
      <w:pPr>
        <w:ind w:firstLine="600"/>
        <w:rPr>
          <w:rFonts w:eastAsia="黑体"/>
          <w:color w:val="auto"/>
          <w:sz w:val="30"/>
        </w:rPr>
        <w:sectPr>
          <w:headerReference r:id="rId5" w:type="default"/>
          <w:footerReference r:id="rId6" w:type="default"/>
          <w:pgSz w:w="11906" w:h="16838"/>
          <w:pgMar w:top="1191" w:right="1247" w:bottom="1191" w:left="1247" w:header="454" w:footer="737" w:gutter="0"/>
          <w:pgNumType w:start="1"/>
          <w:cols w:space="720" w:num="1"/>
          <w:docGrid w:linePitch="312" w:charSpace="0"/>
        </w:sectPr>
      </w:pPr>
    </w:p>
    <w:p w14:paraId="271F2B8F">
      <w:pPr>
        <w:pStyle w:val="34"/>
        <w:ind w:firstLine="600"/>
        <w:jc w:val="center"/>
        <w:outlineLvl w:val="0"/>
        <w:rPr>
          <w:rFonts w:ascii="黑体" w:hAnsi="黑体" w:eastAsia="黑体"/>
          <w:snapToGrid w:val="0"/>
          <w:color w:val="auto"/>
          <w:sz w:val="30"/>
          <w:szCs w:val="30"/>
        </w:rPr>
      </w:pPr>
      <w:bookmarkStart w:id="1" w:name="_Toc70503420"/>
      <w:r>
        <w:rPr>
          <w:rFonts w:hint="eastAsia" w:ascii="黑体" w:hAnsi="黑体" w:eastAsia="黑体"/>
          <w:snapToGrid w:val="0"/>
          <w:color w:val="auto"/>
          <w:sz w:val="30"/>
          <w:szCs w:val="30"/>
        </w:rPr>
        <w:t>二、建设项目工程分析</w:t>
      </w:r>
      <w:bookmarkEnd w:id="1"/>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802"/>
      </w:tblGrid>
      <w:tr w14:paraId="7BBBA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429" w:type="pct"/>
            <w:vAlign w:val="center"/>
          </w:tcPr>
          <w:p w14:paraId="5EEB6387">
            <w:pPr>
              <w:pStyle w:val="34"/>
              <w:adjustRightInd w:val="0"/>
              <w:snapToGrid w:val="0"/>
              <w:spacing w:before="0" w:beforeAutospacing="0" w:after="0" w:afterAutospacing="0"/>
              <w:ind w:firstLine="0" w:firstLineChars="0"/>
              <w:jc w:val="center"/>
              <w:rPr>
                <w:rFonts w:ascii="Times New Roman" w:hAnsi="Times New Roman"/>
                <w:b/>
                <w:bCs/>
                <w:color w:val="auto"/>
                <w:szCs w:val="24"/>
              </w:rPr>
            </w:pPr>
            <w:r>
              <w:rPr>
                <w:rFonts w:ascii="Times New Roman" w:hAnsi="Times New Roman"/>
                <w:b/>
                <w:bCs/>
                <w:color w:val="auto"/>
                <w:szCs w:val="24"/>
              </w:rPr>
              <w:t>建设</w:t>
            </w:r>
          </w:p>
          <w:p w14:paraId="1F1CCF95">
            <w:pPr>
              <w:pStyle w:val="34"/>
              <w:adjustRightInd w:val="0"/>
              <w:snapToGrid w:val="0"/>
              <w:spacing w:before="0" w:beforeAutospacing="0" w:after="0" w:afterAutospacing="0"/>
              <w:ind w:firstLine="0" w:firstLineChars="0"/>
              <w:jc w:val="center"/>
              <w:rPr>
                <w:rFonts w:ascii="Times New Roman" w:hAnsi="Times New Roman"/>
                <w:color w:val="auto"/>
                <w:szCs w:val="24"/>
              </w:rPr>
            </w:pPr>
            <w:r>
              <w:rPr>
                <w:rFonts w:ascii="Times New Roman" w:hAnsi="Times New Roman"/>
                <w:b/>
                <w:bCs/>
                <w:color w:val="auto"/>
                <w:szCs w:val="24"/>
              </w:rPr>
              <w:t>内容</w:t>
            </w:r>
          </w:p>
        </w:tc>
        <w:tc>
          <w:tcPr>
            <w:tcW w:w="4570" w:type="pct"/>
          </w:tcPr>
          <w:p w14:paraId="589E58CD">
            <w:pPr>
              <w:spacing w:beforeLines="50"/>
              <w:ind w:firstLine="482"/>
              <w:jc w:val="left"/>
              <w:textAlignment w:val="baseline"/>
              <w:rPr>
                <w:b/>
                <w:bCs/>
                <w:color w:val="auto"/>
              </w:rPr>
            </w:pPr>
            <w:r>
              <w:rPr>
                <w:b/>
                <w:bCs/>
                <w:color w:val="auto"/>
              </w:rPr>
              <w:t>1、项目由来</w:t>
            </w:r>
          </w:p>
          <w:p w14:paraId="43D76D86">
            <w:pPr>
              <w:ind w:firstLine="480"/>
              <w:rPr>
                <w:color w:val="auto"/>
              </w:rPr>
            </w:pPr>
            <w:r>
              <w:rPr>
                <w:rFonts w:hint="eastAsia"/>
                <w:color w:val="auto"/>
              </w:rPr>
              <w:t>安徽名之尚文具有限公司位</w:t>
            </w:r>
            <w:r>
              <w:rPr>
                <w:color w:val="auto"/>
              </w:rPr>
              <w:t>于</w:t>
            </w:r>
            <w:r>
              <w:rPr>
                <w:rFonts w:hint="eastAsia"/>
                <w:color w:val="auto"/>
              </w:rPr>
              <w:t>安徽省</w:t>
            </w:r>
            <w:r>
              <w:rPr>
                <w:rFonts w:hint="eastAsia"/>
                <w:color w:val="auto"/>
                <w:lang w:eastAsia="zh-CN"/>
              </w:rPr>
              <w:t>宿州市经济开发区陈河路与鞋</w:t>
            </w:r>
            <w:r>
              <w:rPr>
                <w:rFonts w:hint="eastAsia"/>
                <w:color w:val="auto"/>
              </w:rPr>
              <w:t>城八路交叉口东南角</w:t>
            </w:r>
            <w:r>
              <w:rPr>
                <w:color w:val="auto"/>
              </w:rPr>
              <w:t>，项目租用安徽顺鑫鞋业有限公司闲置厂房，购置注塑机、注塑车间废气处理等设备，建设鞋服装饰配件、水彩笔、荧光笔等生产项目</w:t>
            </w:r>
            <w:r>
              <w:rPr>
                <w:rFonts w:hint="eastAsia"/>
                <w:color w:val="auto"/>
              </w:rPr>
              <w:t>，项目建成后可实现年产鞋服配件2000万件，文具产品2500万件的生产能力。</w:t>
            </w:r>
          </w:p>
          <w:p w14:paraId="450B0A82">
            <w:pPr>
              <w:ind w:firstLine="480"/>
              <w:rPr>
                <w:color w:val="auto"/>
              </w:rPr>
            </w:pPr>
            <w:r>
              <w:rPr>
                <w:color w:val="auto"/>
              </w:rPr>
              <w:t>根据《中华人民共和国环境保护法》、《中华人民共和国环境影响评价法》、《建设项目环境影响评价分类管理名录（2021年版）》（生态环境部令第16号）中的有关规定，本项目属于</w:t>
            </w:r>
            <w:r>
              <w:rPr>
                <w:rFonts w:hint="eastAsia"/>
                <w:color w:val="auto"/>
              </w:rPr>
              <w:t>“</w:t>
            </w:r>
            <w:r>
              <w:rPr>
                <w:color w:val="auto"/>
              </w:rPr>
              <w:t>二十一、文教、工美、体育和娱乐用品制造业24</w:t>
            </w:r>
            <w:r>
              <w:rPr>
                <w:rFonts w:hint="eastAsia"/>
                <w:color w:val="auto"/>
              </w:rPr>
              <w:t>、有橡胶硫化工艺、塑料注塑工艺的”和“二十六、橡胶和塑料制品业29，塑料制品业，其他（年用非溶剂型低VOCs含量涂料10吨以下的除外）”</w:t>
            </w:r>
            <w:r>
              <w:rPr>
                <w:color w:val="auto"/>
              </w:rPr>
              <w:t>，应当编制环境影响报告表。</w:t>
            </w:r>
          </w:p>
          <w:p w14:paraId="5E71577A">
            <w:pPr>
              <w:pStyle w:val="58"/>
              <w:ind w:firstLine="422"/>
              <w:rPr>
                <w:color w:val="auto"/>
              </w:rPr>
            </w:pPr>
            <w:r>
              <w:rPr>
                <w:color w:val="auto"/>
              </w:rPr>
              <w:t>表2-1环评类别和排污许可对照表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81"/>
              <w:gridCol w:w="2916"/>
              <w:gridCol w:w="663"/>
              <w:gridCol w:w="2547"/>
              <w:gridCol w:w="893"/>
            </w:tblGrid>
            <w:tr w14:paraId="731F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4" w:type="pct"/>
                  <w:tcBorders>
                    <w:tl2br w:val="nil"/>
                    <w:tr2bl w:val="nil"/>
                  </w:tcBorders>
                  <w:vAlign w:val="center"/>
                </w:tcPr>
                <w:p w14:paraId="56935BDA">
                  <w:pPr>
                    <w:pStyle w:val="57"/>
                    <w:rPr>
                      <w:b/>
                      <w:bCs w:val="0"/>
                      <w:color w:val="auto"/>
                    </w:rPr>
                  </w:pPr>
                  <w:r>
                    <w:rPr>
                      <w:b/>
                      <w:bCs w:val="0"/>
                      <w:color w:val="auto"/>
                    </w:rPr>
                    <w:t>序号</w:t>
                  </w:r>
                </w:p>
              </w:tc>
              <w:tc>
                <w:tcPr>
                  <w:tcW w:w="630" w:type="pct"/>
                  <w:tcBorders>
                    <w:tl2br w:val="nil"/>
                    <w:tr2bl w:val="nil"/>
                  </w:tcBorders>
                  <w:vAlign w:val="center"/>
                </w:tcPr>
                <w:p w14:paraId="5040AEE0">
                  <w:pPr>
                    <w:pStyle w:val="57"/>
                    <w:rPr>
                      <w:b/>
                      <w:bCs w:val="0"/>
                      <w:color w:val="auto"/>
                    </w:rPr>
                  </w:pPr>
                  <w:r>
                    <w:rPr>
                      <w:b/>
                      <w:bCs w:val="0"/>
                      <w:color w:val="auto"/>
                    </w:rPr>
                    <w:t>国民经济行业类别</w:t>
                  </w:r>
                </w:p>
              </w:tc>
              <w:tc>
                <w:tcPr>
                  <w:tcW w:w="1700" w:type="pct"/>
                  <w:tcBorders>
                    <w:tl2br w:val="nil"/>
                    <w:tr2bl w:val="nil"/>
                  </w:tcBorders>
                  <w:vAlign w:val="center"/>
                </w:tcPr>
                <w:p w14:paraId="5883034E">
                  <w:pPr>
                    <w:pStyle w:val="57"/>
                    <w:rPr>
                      <w:b/>
                      <w:bCs w:val="0"/>
                      <w:color w:val="auto"/>
                    </w:rPr>
                  </w:pPr>
                  <w:r>
                    <w:rPr>
                      <w:b/>
                      <w:bCs w:val="0"/>
                      <w:color w:val="auto"/>
                    </w:rPr>
                    <w:t>《建设项目环境影响评价分类管理名录（2021年版）》</w:t>
                  </w:r>
                </w:p>
              </w:tc>
              <w:tc>
                <w:tcPr>
                  <w:tcW w:w="387" w:type="pct"/>
                  <w:tcBorders>
                    <w:tl2br w:val="nil"/>
                    <w:tr2bl w:val="nil"/>
                  </w:tcBorders>
                  <w:vAlign w:val="center"/>
                </w:tcPr>
                <w:p w14:paraId="3AD4C81C">
                  <w:pPr>
                    <w:pStyle w:val="57"/>
                    <w:rPr>
                      <w:b/>
                      <w:bCs w:val="0"/>
                      <w:color w:val="auto"/>
                    </w:rPr>
                  </w:pPr>
                  <w:r>
                    <w:rPr>
                      <w:b/>
                      <w:bCs w:val="0"/>
                      <w:color w:val="auto"/>
                    </w:rPr>
                    <w:t>环评类别</w:t>
                  </w:r>
                </w:p>
              </w:tc>
              <w:tc>
                <w:tcPr>
                  <w:tcW w:w="1485" w:type="pct"/>
                  <w:tcBorders>
                    <w:tl2br w:val="nil"/>
                    <w:tr2bl w:val="nil"/>
                  </w:tcBorders>
                  <w:vAlign w:val="center"/>
                </w:tcPr>
                <w:p w14:paraId="48999702">
                  <w:pPr>
                    <w:pStyle w:val="57"/>
                    <w:rPr>
                      <w:b/>
                      <w:bCs w:val="0"/>
                      <w:color w:val="auto"/>
                    </w:rPr>
                  </w:pPr>
                  <w:r>
                    <w:rPr>
                      <w:b/>
                      <w:bCs w:val="0"/>
                      <w:color w:val="auto"/>
                    </w:rPr>
                    <w:t>《固定污染源排污许可分类管理名录（2019年版）》（部令第11号）</w:t>
                  </w:r>
                </w:p>
              </w:tc>
              <w:tc>
                <w:tcPr>
                  <w:tcW w:w="521" w:type="pct"/>
                  <w:tcBorders>
                    <w:tl2br w:val="nil"/>
                    <w:tr2bl w:val="nil"/>
                  </w:tcBorders>
                  <w:vAlign w:val="center"/>
                </w:tcPr>
                <w:p w14:paraId="0B07C5C3">
                  <w:pPr>
                    <w:pStyle w:val="57"/>
                    <w:rPr>
                      <w:b/>
                      <w:bCs w:val="0"/>
                      <w:color w:val="auto"/>
                    </w:rPr>
                  </w:pPr>
                  <w:r>
                    <w:rPr>
                      <w:b/>
                      <w:bCs w:val="0"/>
                      <w:color w:val="auto"/>
                    </w:rPr>
                    <w:t>排污许可管理类别</w:t>
                  </w:r>
                </w:p>
              </w:tc>
            </w:tr>
            <w:tr w14:paraId="38B4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74" w:type="pct"/>
                  <w:tcBorders>
                    <w:tl2br w:val="nil"/>
                    <w:tr2bl w:val="nil"/>
                  </w:tcBorders>
                  <w:vAlign w:val="center"/>
                </w:tcPr>
                <w:p w14:paraId="37AD7B74">
                  <w:pPr>
                    <w:pStyle w:val="57"/>
                    <w:rPr>
                      <w:color w:val="auto"/>
                    </w:rPr>
                  </w:pPr>
                  <w:r>
                    <w:rPr>
                      <w:color w:val="auto"/>
                    </w:rPr>
                    <w:t>1</w:t>
                  </w:r>
                </w:p>
              </w:tc>
              <w:tc>
                <w:tcPr>
                  <w:tcW w:w="630" w:type="pct"/>
                  <w:tcBorders>
                    <w:tl2br w:val="nil"/>
                    <w:tr2bl w:val="nil"/>
                  </w:tcBorders>
                  <w:vAlign w:val="center"/>
                </w:tcPr>
                <w:p w14:paraId="124A8A97">
                  <w:pPr>
                    <w:pStyle w:val="57"/>
                    <w:rPr>
                      <w:color w:val="auto"/>
                    </w:rPr>
                  </w:pPr>
                  <w:r>
                    <w:rPr>
                      <w:rFonts w:hint="eastAsia"/>
                      <w:color w:val="auto"/>
                    </w:rPr>
                    <w:t>C2412笔的制造</w:t>
                  </w:r>
                </w:p>
              </w:tc>
              <w:tc>
                <w:tcPr>
                  <w:tcW w:w="1700" w:type="pct"/>
                  <w:tcBorders>
                    <w:tl2br w:val="nil"/>
                    <w:tr2bl w:val="nil"/>
                  </w:tcBorders>
                  <w:vAlign w:val="center"/>
                </w:tcPr>
                <w:p w14:paraId="35BE4370">
                  <w:pPr>
                    <w:pStyle w:val="57"/>
                    <w:rPr>
                      <w:color w:val="auto"/>
                    </w:rPr>
                  </w:pPr>
                  <w:r>
                    <w:rPr>
                      <w:color w:val="auto"/>
                    </w:rPr>
                    <w:t>二十一、文教、工美、体育和娱乐用品制造业24</w:t>
                  </w:r>
                  <w:r>
                    <w:rPr>
                      <w:rFonts w:hint="eastAsia"/>
                      <w:color w:val="auto"/>
                    </w:rPr>
                    <w:t>、有橡胶硫化工艺、塑料注塑工艺的</w:t>
                  </w:r>
                </w:p>
              </w:tc>
              <w:tc>
                <w:tcPr>
                  <w:tcW w:w="387" w:type="pct"/>
                  <w:tcBorders>
                    <w:tl2br w:val="nil"/>
                    <w:tr2bl w:val="nil"/>
                  </w:tcBorders>
                  <w:vAlign w:val="center"/>
                </w:tcPr>
                <w:p w14:paraId="081C7597">
                  <w:pPr>
                    <w:pStyle w:val="57"/>
                    <w:rPr>
                      <w:color w:val="auto"/>
                    </w:rPr>
                  </w:pPr>
                  <w:r>
                    <w:rPr>
                      <w:color w:val="auto"/>
                    </w:rPr>
                    <w:t>报告表</w:t>
                  </w:r>
                </w:p>
              </w:tc>
              <w:tc>
                <w:tcPr>
                  <w:tcW w:w="1485" w:type="pct"/>
                  <w:tcBorders>
                    <w:tl2br w:val="nil"/>
                    <w:tr2bl w:val="nil"/>
                  </w:tcBorders>
                  <w:vAlign w:val="center"/>
                </w:tcPr>
                <w:p w14:paraId="4191F3E6">
                  <w:pPr>
                    <w:pStyle w:val="57"/>
                    <w:rPr>
                      <w:color w:val="auto"/>
                    </w:rPr>
                  </w:pPr>
                  <w:r>
                    <w:rPr>
                      <w:color w:val="auto"/>
                    </w:rPr>
                    <w:t>十九、文教、工美、体育和娱乐用品制造业24</w:t>
                  </w:r>
                  <w:r>
                    <w:rPr>
                      <w:rFonts w:hint="eastAsia"/>
                      <w:color w:val="auto"/>
                    </w:rPr>
                    <w:t>，文教办公用品制造241，其他</w:t>
                  </w:r>
                </w:p>
              </w:tc>
              <w:tc>
                <w:tcPr>
                  <w:tcW w:w="521" w:type="pct"/>
                  <w:tcBorders>
                    <w:tl2br w:val="nil"/>
                    <w:tr2bl w:val="nil"/>
                  </w:tcBorders>
                  <w:vAlign w:val="center"/>
                </w:tcPr>
                <w:p w14:paraId="1F838C6B">
                  <w:pPr>
                    <w:pStyle w:val="57"/>
                    <w:rPr>
                      <w:color w:val="auto"/>
                    </w:rPr>
                  </w:pPr>
                  <w:r>
                    <w:rPr>
                      <w:rFonts w:hint="eastAsia"/>
                      <w:color w:val="auto"/>
                    </w:rPr>
                    <w:t>登记</w:t>
                  </w:r>
                  <w:r>
                    <w:rPr>
                      <w:color w:val="auto"/>
                    </w:rPr>
                    <w:t>管理</w:t>
                  </w:r>
                </w:p>
              </w:tc>
            </w:tr>
            <w:tr w14:paraId="3AB4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74" w:type="pct"/>
                  <w:tcBorders>
                    <w:tl2br w:val="nil"/>
                    <w:tr2bl w:val="nil"/>
                  </w:tcBorders>
                  <w:vAlign w:val="center"/>
                </w:tcPr>
                <w:p w14:paraId="08E8F561">
                  <w:pPr>
                    <w:pStyle w:val="57"/>
                    <w:rPr>
                      <w:rFonts w:hint="eastAsia"/>
                      <w:color w:val="auto"/>
                    </w:rPr>
                  </w:pPr>
                  <w:r>
                    <w:rPr>
                      <w:rFonts w:hint="eastAsia"/>
                      <w:color w:val="auto"/>
                    </w:rPr>
                    <w:t>2</w:t>
                  </w:r>
                </w:p>
              </w:tc>
              <w:tc>
                <w:tcPr>
                  <w:tcW w:w="630" w:type="pct"/>
                  <w:tcBorders>
                    <w:tl2br w:val="nil"/>
                    <w:tr2bl w:val="nil"/>
                  </w:tcBorders>
                  <w:vAlign w:val="center"/>
                </w:tcPr>
                <w:p w14:paraId="3EEB6669">
                  <w:pPr>
                    <w:pStyle w:val="57"/>
                    <w:rPr>
                      <w:rFonts w:hint="eastAsia"/>
                      <w:color w:val="auto"/>
                    </w:rPr>
                  </w:pPr>
                  <w:r>
                    <w:rPr>
                      <w:rFonts w:hint="eastAsia"/>
                      <w:color w:val="auto"/>
                    </w:rPr>
                    <w:t>C2929塑料零件及其他塑料制品制造</w:t>
                  </w:r>
                </w:p>
              </w:tc>
              <w:tc>
                <w:tcPr>
                  <w:tcW w:w="1700" w:type="pct"/>
                  <w:tcBorders>
                    <w:tl2br w:val="nil"/>
                    <w:tr2bl w:val="nil"/>
                  </w:tcBorders>
                  <w:vAlign w:val="center"/>
                </w:tcPr>
                <w:p w14:paraId="12A560C6">
                  <w:pPr>
                    <w:pStyle w:val="57"/>
                    <w:rPr>
                      <w:rFonts w:hint="eastAsia"/>
                      <w:color w:val="auto"/>
                    </w:rPr>
                  </w:pPr>
                  <w:r>
                    <w:rPr>
                      <w:rFonts w:hint="eastAsia"/>
                      <w:color w:val="auto"/>
                    </w:rPr>
                    <w:t>二十六、橡胶和塑料制品业29，塑料制品业，其他（年用非溶剂型低VOCs含</w:t>
                  </w:r>
                </w:p>
                <w:p w14:paraId="033C0F1F">
                  <w:pPr>
                    <w:pStyle w:val="57"/>
                    <w:rPr>
                      <w:rFonts w:hint="eastAsia"/>
                      <w:color w:val="auto"/>
                    </w:rPr>
                  </w:pPr>
                  <w:r>
                    <w:rPr>
                      <w:rFonts w:hint="eastAsia"/>
                      <w:color w:val="auto"/>
                    </w:rPr>
                    <w:t>量涂料10吨以下的除外）</w:t>
                  </w:r>
                </w:p>
              </w:tc>
              <w:tc>
                <w:tcPr>
                  <w:tcW w:w="387" w:type="pct"/>
                  <w:tcBorders>
                    <w:tl2br w:val="nil"/>
                    <w:tr2bl w:val="nil"/>
                  </w:tcBorders>
                  <w:vAlign w:val="center"/>
                </w:tcPr>
                <w:p w14:paraId="72675048">
                  <w:pPr>
                    <w:pStyle w:val="57"/>
                    <w:rPr>
                      <w:color w:val="auto"/>
                    </w:rPr>
                  </w:pPr>
                  <w:r>
                    <w:rPr>
                      <w:color w:val="auto"/>
                    </w:rPr>
                    <w:t>报告表</w:t>
                  </w:r>
                </w:p>
              </w:tc>
              <w:tc>
                <w:tcPr>
                  <w:tcW w:w="1485" w:type="pct"/>
                  <w:tcBorders>
                    <w:tl2br w:val="nil"/>
                    <w:tr2bl w:val="nil"/>
                  </w:tcBorders>
                  <w:vAlign w:val="center"/>
                </w:tcPr>
                <w:p w14:paraId="5906098E">
                  <w:pPr>
                    <w:pStyle w:val="57"/>
                    <w:rPr>
                      <w:color w:val="auto"/>
                    </w:rPr>
                  </w:pPr>
                  <w:r>
                    <w:rPr>
                      <w:color w:val="auto"/>
                    </w:rPr>
                    <w:t>二十四、橡胶和塑料制品业29</w:t>
                  </w:r>
                  <w:r>
                    <w:rPr>
                      <w:rFonts w:hint="eastAsia"/>
                      <w:color w:val="auto"/>
                    </w:rPr>
                    <w:t>，塑料制品业292，塑料零件及其他塑料制品制造2929</w:t>
                  </w:r>
                </w:p>
              </w:tc>
              <w:tc>
                <w:tcPr>
                  <w:tcW w:w="521" w:type="pct"/>
                  <w:tcBorders>
                    <w:tl2br w:val="nil"/>
                    <w:tr2bl w:val="nil"/>
                  </w:tcBorders>
                  <w:vAlign w:val="center"/>
                </w:tcPr>
                <w:p w14:paraId="2489263E">
                  <w:pPr>
                    <w:pStyle w:val="57"/>
                    <w:rPr>
                      <w:rFonts w:hint="eastAsia"/>
                      <w:color w:val="auto"/>
                    </w:rPr>
                  </w:pPr>
                  <w:r>
                    <w:rPr>
                      <w:rFonts w:hint="eastAsia"/>
                      <w:color w:val="auto"/>
                    </w:rPr>
                    <w:t>登记</w:t>
                  </w:r>
                  <w:r>
                    <w:rPr>
                      <w:color w:val="auto"/>
                    </w:rPr>
                    <w:t>管理</w:t>
                  </w:r>
                </w:p>
              </w:tc>
            </w:tr>
          </w:tbl>
          <w:p w14:paraId="157648C3">
            <w:pPr>
              <w:ind w:firstLine="482"/>
              <w:jc w:val="left"/>
              <w:textAlignment w:val="baseline"/>
              <w:rPr>
                <w:b/>
                <w:bCs/>
                <w:color w:val="auto"/>
              </w:rPr>
            </w:pPr>
            <w:r>
              <w:rPr>
                <w:b/>
                <w:bCs/>
                <w:color w:val="auto"/>
              </w:rPr>
              <w:t>2、建设内容及规模</w:t>
            </w:r>
          </w:p>
          <w:p w14:paraId="620442EA">
            <w:pPr>
              <w:ind w:firstLine="480"/>
              <w:textAlignment w:val="baseline"/>
              <w:rPr>
                <w:color w:val="auto"/>
              </w:rPr>
            </w:pPr>
            <w:r>
              <w:rPr>
                <w:color w:val="auto"/>
              </w:rPr>
              <w:t>（1）基本情况</w:t>
            </w:r>
          </w:p>
          <w:p w14:paraId="72B4C715">
            <w:pPr>
              <w:ind w:firstLine="480"/>
              <w:rPr>
                <w:color w:val="auto"/>
              </w:rPr>
            </w:pPr>
            <w:r>
              <w:rPr>
                <w:color w:val="auto"/>
              </w:rPr>
              <w:t>主要工程内容详见表2-2。</w:t>
            </w:r>
          </w:p>
          <w:p w14:paraId="34705BA6">
            <w:pPr>
              <w:pStyle w:val="58"/>
              <w:ind w:firstLine="422"/>
              <w:rPr>
                <w:color w:val="auto"/>
              </w:rPr>
            </w:pPr>
            <w:r>
              <w:rPr>
                <w:color w:val="auto"/>
              </w:rPr>
              <w:t>表2-2主要工程内容一览表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57"/>
              <w:gridCol w:w="410"/>
              <w:gridCol w:w="1719"/>
              <w:gridCol w:w="4135"/>
              <w:gridCol w:w="915"/>
            </w:tblGrid>
            <w:tr w14:paraId="3E61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8" w:type="pct"/>
                  <w:tcBorders>
                    <w:tl2br w:val="nil"/>
                    <w:tr2bl w:val="nil"/>
                  </w:tcBorders>
                  <w:vAlign w:val="center"/>
                </w:tcPr>
                <w:p w14:paraId="2F8F60BF">
                  <w:pPr>
                    <w:pStyle w:val="57"/>
                    <w:rPr>
                      <w:b/>
                      <w:bCs w:val="0"/>
                      <w:color w:val="auto"/>
                    </w:rPr>
                  </w:pPr>
                  <w:r>
                    <w:rPr>
                      <w:b/>
                      <w:bCs w:val="0"/>
                      <w:color w:val="auto"/>
                    </w:rPr>
                    <w:t>指标</w:t>
                  </w:r>
                </w:p>
              </w:tc>
              <w:tc>
                <w:tcPr>
                  <w:tcW w:w="622" w:type="pct"/>
                  <w:gridSpan w:val="2"/>
                  <w:tcBorders>
                    <w:tl2br w:val="nil"/>
                    <w:tr2bl w:val="nil"/>
                  </w:tcBorders>
                  <w:vAlign w:val="center"/>
                </w:tcPr>
                <w:p w14:paraId="113EC4DD">
                  <w:pPr>
                    <w:pStyle w:val="57"/>
                    <w:rPr>
                      <w:b/>
                      <w:bCs w:val="0"/>
                      <w:color w:val="auto"/>
                    </w:rPr>
                  </w:pPr>
                  <w:r>
                    <w:rPr>
                      <w:b/>
                      <w:bCs w:val="0"/>
                      <w:color w:val="auto"/>
                    </w:rPr>
                    <w:t>内容</w:t>
                  </w:r>
                </w:p>
              </w:tc>
              <w:tc>
                <w:tcPr>
                  <w:tcW w:w="3414" w:type="pct"/>
                  <w:gridSpan w:val="2"/>
                  <w:tcBorders>
                    <w:tl2br w:val="nil"/>
                    <w:tr2bl w:val="nil"/>
                  </w:tcBorders>
                  <w:vAlign w:val="center"/>
                </w:tcPr>
                <w:p w14:paraId="4C67FF18">
                  <w:pPr>
                    <w:pStyle w:val="57"/>
                    <w:rPr>
                      <w:b/>
                      <w:bCs w:val="0"/>
                      <w:color w:val="auto"/>
                    </w:rPr>
                  </w:pPr>
                  <w:r>
                    <w:rPr>
                      <w:b/>
                      <w:bCs w:val="0"/>
                      <w:color w:val="auto"/>
                    </w:rPr>
                    <w:t>说明</w:t>
                  </w:r>
                </w:p>
              </w:tc>
              <w:tc>
                <w:tcPr>
                  <w:tcW w:w="534" w:type="pct"/>
                  <w:tcBorders>
                    <w:tl2br w:val="nil"/>
                    <w:tr2bl w:val="nil"/>
                  </w:tcBorders>
                  <w:vAlign w:val="center"/>
                </w:tcPr>
                <w:p w14:paraId="69D64218">
                  <w:pPr>
                    <w:pStyle w:val="57"/>
                    <w:rPr>
                      <w:b/>
                      <w:bCs w:val="0"/>
                      <w:color w:val="auto"/>
                    </w:rPr>
                  </w:pPr>
                  <w:r>
                    <w:rPr>
                      <w:b/>
                      <w:bCs w:val="0"/>
                      <w:color w:val="auto"/>
                    </w:rPr>
                    <w:t>备注</w:t>
                  </w:r>
                </w:p>
              </w:tc>
            </w:tr>
            <w:tr w14:paraId="298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8" w:type="pct"/>
                  <w:vMerge w:val="restart"/>
                  <w:tcBorders>
                    <w:tl2br w:val="nil"/>
                    <w:tr2bl w:val="nil"/>
                  </w:tcBorders>
                  <w:vAlign w:val="center"/>
                </w:tcPr>
                <w:p w14:paraId="5660F563">
                  <w:pPr>
                    <w:pStyle w:val="57"/>
                    <w:rPr>
                      <w:color w:val="auto"/>
                    </w:rPr>
                  </w:pPr>
                  <w:r>
                    <w:rPr>
                      <w:color w:val="auto"/>
                    </w:rPr>
                    <w:t>主体</w:t>
                  </w:r>
                </w:p>
                <w:p w14:paraId="02F4E918">
                  <w:pPr>
                    <w:pStyle w:val="57"/>
                    <w:rPr>
                      <w:color w:val="auto"/>
                    </w:rPr>
                  </w:pPr>
                  <w:r>
                    <w:rPr>
                      <w:color w:val="auto"/>
                    </w:rPr>
                    <w:t>工程</w:t>
                  </w:r>
                </w:p>
              </w:tc>
              <w:tc>
                <w:tcPr>
                  <w:tcW w:w="383" w:type="pct"/>
                  <w:vMerge w:val="restart"/>
                  <w:tcBorders>
                    <w:tl2br w:val="nil"/>
                    <w:tr2bl w:val="nil"/>
                  </w:tcBorders>
                  <w:vAlign w:val="center"/>
                </w:tcPr>
                <w:p w14:paraId="4A4EFAFE">
                  <w:pPr>
                    <w:pStyle w:val="57"/>
                    <w:rPr>
                      <w:color w:val="auto"/>
                    </w:rPr>
                  </w:pPr>
                  <w:r>
                    <w:rPr>
                      <w:color w:val="auto"/>
                    </w:rPr>
                    <w:t>生产厂房</w:t>
                  </w:r>
                </w:p>
              </w:tc>
              <w:tc>
                <w:tcPr>
                  <w:tcW w:w="238" w:type="pct"/>
                  <w:tcBorders>
                    <w:bottom w:val="single" w:color="000000" w:sz="4" w:space="0"/>
                    <w:tl2br w:val="nil"/>
                    <w:tr2bl w:val="nil"/>
                  </w:tcBorders>
                  <w:vAlign w:val="center"/>
                </w:tcPr>
                <w:p w14:paraId="333525D0">
                  <w:pPr>
                    <w:pStyle w:val="57"/>
                    <w:rPr>
                      <w:color w:val="auto"/>
                    </w:rPr>
                  </w:pPr>
                  <w:r>
                    <w:rPr>
                      <w:color w:val="auto"/>
                    </w:rPr>
                    <w:t>1层</w:t>
                  </w:r>
                </w:p>
              </w:tc>
              <w:tc>
                <w:tcPr>
                  <w:tcW w:w="3414" w:type="pct"/>
                  <w:gridSpan w:val="2"/>
                  <w:tcBorders>
                    <w:bottom w:val="single" w:color="000000" w:sz="4" w:space="0"/>
                    <w:tl2br w:val="nil"/>
                    <w:tr2bl w:val="nil"/>
                  </w:tcBorders>
                  <w:vAlign w:val="center"/>
                </w:tcPr>
                <w:p w14:paraId="182CA747">
                  <w:pPr>
                    <w:pStyle w:val="57"/>
                    <w:rPr>
                      <w:color w:val="auto"/>
                    </w:rPr>
                  </w:pPr>
                  <w:r>
                    <w:rPr>
                      <w:color w:val="auto"/>
                    </w:rPr>
                    <w:t>设置</w:t>
                  </w:r>
                  <w:r>
                    <w:rPr>
                      <w:rFonts w:hint="eastAsia"/>
                      <w:color w:val="auto"/>
                    </w:rPr>
                    <w:t>注塑机、印刷机、热转印机等生产设备</w:t>
                  </w:r>
                  <w:r>
                    <w:rPr>
                      <w:color w:val="auto"/>
                    </w:rPr>
                    <w:t>，</w:t>
                  </w:r>
                  <w:r>
                    <w:rPr>
                      <w:rFonts w:hint="eastAsia"/>
                      <w:color w:val="auto"/>
                    </w:rPr>
                    <w:t>进行鞋服配件及水彩笔荧光笔的生产，</w:t>
                  </w:r>
                  <w:r>
                    <w:rPr>
                      <w:rFonts w:hint="eastAsia"/>
                      <w:color w:val="auto"/>
                      <w:lang w:val="en-US" w:eastAsia="zh-CN"/>
                    </w:rPr>
                    <w:t>可实现</w:t>
                  </w:r>
                  <w:r>
                    <w:rPr>
                      <w:rFonts w:hint="eastAsia"/>
                      <w:color w:val="auto"/>
                    </w:rPr>
                    <w:t>年产鞋服配件2000万件，文具产品2500万件的生产能力</w:t>
                  </w:r>
                  <w:r>
                    <w:rPr>
                      <w:rFonts w:hint="eastAsia"/>
                      <w:color w:val="auto"/>
                      <w:lang w:eastAsia="zh-CN"/>
                    </w:rPr>
                    <w:t>，</w:t>
                  </w:r>
                  <w:r>
                    <w:rPr>
                      <w:color w:val="auto"/>
                    </w:rPr>
                    <w:t>建筑面积</w:t>
                  </w:r>
                  <w:r>
                    <w:rPr>
                      <w:rFonts w:hint="eastAsia"/>
                      <w:color w:val="auto"/>
                    </w:rPr>
                    <w:t>1680m</w:t>
                  </w:r>
                  <w:r>
                    <w:rPr>
                      <w:rFonts w:hint="eastAsia"/>
                      <w:color w:val="auto"/>
                      <w:vertAlign w:val="superscript"/>
                    </w:rPr>
                    <w:t>2</w:t>
                  </w:r>
                </w:p>
              </w:tc>
              <w:tc>
                <w:tcPr>
                  <w:tcW w:w="534" w:type="pct"/>
                  <w:tcBorders>
                    <w:bottom w:val="single" w:color="000000" w:sz="4" w:space="0"/>
                    <w:tl2br w:val="nil"/>
                    <w:tr2bl w:val="nil"/>
                  </w:tcBorders>
                  <w:vAlign w:val="center"/>
                </w:tcPr>
                <w:p w14:paraId="2EDD7877">
                  <w:pPr>
                    <w:pStyle w:val="57"/>
                    <w:rPr>
                      <w:color w:val="auto"/>
                    </w:rPr>
                  </w:pPr>
                  <w:r>
                    <w:rPr>
                      <w:rFonts w:hint="eastAsia"/>
                      <w:color w:val="auto"/>
                    </w:rPr>
                    <w:t>租赁</w:t>
                  </w:r>
                </w:p>
              </w:tc>
            </w:tr>
            <w:tr w14:paraId="36B0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28" w:type="pct"/>
                  <w:vMerge w:val="continue"/>
                  <w:tcBorders>
                    <w:tl2br w:val="nil"/>
                    <w:tr2bl w:val="nil"/>
                  </w:tcBorders>
                  <w:vAlign w:val="center"/>
                </w:tcPr>
                <w:p w14:paraId="58579355">
                  <w:pPr>
                    <w:pStyle w:val="57"/>
                    <w:rPr>
                      <w:color w:val="auto"/>
                    </w:rPr>
                  </w:pPr>
                </w:p>
              </w:tc>
              <w:tc>
                <w:tcPr>
                  <w:tcW w:w="383" w:type="pct"/>
                  <w:vMerge w:val="continue"/>
                  <w:tcBorders>
                    <w:tl2br w:val="nil"/>
                    <w:tr2bl w:val="nil"/>
                  </w:tcBorders>
                  <w:vAlign w:val="center"/>
                </w:tcPr>
                <w:p w14:paraId="1AF5896B">
                  <w:pPr>
                    <w:pStyle w:val="57"/>
                    <w:rPr>
                      <w:color w:val="auto"/>
                    </w:rPr>
                  </w:pPr>
                </w:p>
              </w:tc>
              <w:tc>
                <w:tcPr>
                  <w:tcW w:w="238" w:type="pct"/>
                  <w:tcBorders>
                    <w:bottom w:val="single" w:color="000000" w:sz="4" w:space="0"/>
                    <w:tl2br w:val="nil"/>
                    <w:tr2bl w:val="nil"/>
                  </w:tcBorders>
                  <w:vAlign w:val="center"/>
                </w:tcPr>
                <w:p w14:paraId="2BB50474">
                  <w:pPr>
                    <w:pStyle w:val="57"/>
                    <w:rPr>
                      <w:color w:val="auto"/>
                    </w:rPr>
                  </w:pPr>
                  <w:r>
                    <w:rPr>
                      <w:color w:val="auto"/>
                    </w:rPr>
                    <w:t>2层</w:t>
                  </w:r>
                </w:p>
              </w:tc>
              <w:tc>
                <w:tcPr>
                  <w:tcW w:w="3414" w:type="pct"/>
                  <w:gridSpan w:val="2"/>
                  <w:tcBorders>
                    <w:top w:val="single" w:color="000000" w:sz="4" w:space="0"/>
                    <w:tl2br w:val="nil"/>
                    <w:tr2bl w:val="nil"/>
                  </w:tcBorders>
                  <w:vAlign w:val="center"/>
                </w:tcPr>
                <w:p w14:paraId="5DC2AE9D">
                  <w:pPr>
                    <w:pStyle w:val="57"/>
                    <w:rPr>
                      <w:color w:val="auto"/>
                    </w:rPr>
                  </w:pPr>
                  <w:r>
                    <w:rPr>
                      <w:color w:val="auto"/>
                    </w:rPr>
                    <w:t>设置</w:t>
                  </w:r>
                  <w:r>
                    <w:rPr>
                      <w:rFonts w:hint="eastAsia"/>
                      <w:color w:val="auto"/>
                    </w:rPr>
                    <w:t>组装生产线、原料仓库、成品仓库</w:t>
                  </w:r>
                  <w:r>
                    <w:rPr>
                      <w:color w:val="auto"/>
                    </w:rPr>
                    <w:t>，建筑面积</w:t>
                  </w:r>
                  <w:r>
                    <w:rPr>
                      <w:rFonts w:hint="eastAsia"/>
                      <w:color w:val="auto"/>
                    </w:rPr>
                    <w:t>3240m</w:t>
                  </w:r>
                  <w:r>
                    <w:rPr>
                      <w:rFonts w:hint="eastAsia"/>
                      <w:color w:val="auto"/>
                      <w:vertAlign w:val="superscript"/>
                    </w:rPr>
                    <w:t>2</w:t>
                  </w:r>
                </w:p>
              </w:tc>
              <w:tc>
                <w:tcPr>
                  <w:tcW w:w="534" w:type="pct"/>
                  <w:tcBorders>
                    <w:top w:val="single" w:color="000000" w:sz="4" w:space="0"/>
                    <w:tl2br w:val="nil"/>
                    <w:tr2bl w:val="nil"/>
                  </w:tcBorders>
                  <w:vAlign w:val="center"/>
                </w:tcPr>
                <w:p w14:paraId="23620740">
                  <w:pPr>
                    <w:pStyle w:val="57"/>
                    <w:rPr>
                      <w:color w:val="auto"/>
                    </w:rPr>
                  </w:pPr>
                  <w:r>
                    <w:rPr>
                      <w:rFonts w:hint="eastAsia"/>
                      <w:color w:val="auto"/>
                    </w:rPr>
                    <w:t>租赁</w:t>
                  </w:r>
                </w:p>
              </w:tc>
            </w:tr>
            <w:tr w14:paraId="1920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 w:type="pct"/>
                  <w:vMerge w:val="restart"/>
                  <w:tcBorders>
                    <w:tl2br w:val="nil"/>
                    <w:tr2bl w:val="nil"/>
                  </w:tcBorders>
                  <w:vAlign w:val="center"/>
                </w:tcPr>
                <w:p w14:paraId="58986B88">
                  <w:pPr>
                    <w:pStyle w:val="57"/>
                    <w:rPr>
                      <w:color w:val="auto"/>
                    </w:rPr>
                  </w:pPr>
                  <w:r>
                    <w:rPr>
                      <w:color w:val="auto"/>
                    </w:rPr>
                    <w:t>仓储工程</w:t>
                  </w:r>
                </w:p>
              </w:tc>
              <w:tc>
                <w:tcPr>
                  <w:tcW w:w="622" w:type="pct"/>
                  <w:gridSpan w:val="2"/>
                  <w:tcBorders>
                    <w:tl2br w:val="nil"/>
                    <w:tr2bl w:val="nil"/>
                  </w:tcBorders>
                  <w:vAlign w:val="center"/>
                </w:tcPr>
                <w:p w14:paraId="13ACF91A">
                  <w:pPr>
                    <w:pStyle w:val="57"/>
                    <w:rPr>
                      <w:color w:val="auto"/>
                    </w:rPr>
                  </w:pPr>
                  <w:r>
                    <w:rPr>
                      <w:color w:val="auto"/>
                    </w:rPr>
                    <w:t>原料仓库</w:t>
                  </w:r>
                </w:p>
              </w:tc>
              <w:tc>
                <w:tcPr>
                  <w:tcW w:w="3414" w:type="pct"/>
                  <w:gridSpan w:val="2"/>
                  <w:tcBorders>
                    <w:tl2br w:val="nil"/>
                    <w:tr2bl w:val="nil"/>
                  </w:tcBorders>
                  <w:vAlign w:val="center"/>
                </w:tcPr>
                <w:p w14:paraId="6CF18FD5">
                  <w:pPr>
                    <w:pStyle w:val="57"/>
                    <w:rPr>
                      <w:color w:val="auto"/>
                    </w:rPr>
                  </w:pPr>
                  <w:r>
                    <w:rPr>
                      <w:color w:val="auto"/>
                    </w:rPr>
                    <w:t>位于</w:t>
                  </w:r>
                  <w:r>
                    <w:rPr>
                      <w:rFonts w:hint="eastAsia"/>
                      <w:color w:val="auto"/>
                    </w:rPr>
                    <w:t>生产厂房2层西侧</w:t>
                  </w:r>
                  <w:r>
                    <w:rPr>
                      <w:color w:val="auto"/>
                    </w:rPr>
                    <w:t>，建筑面积</w:t>
                  </w:r>
                  <w:r>
                    <w:rPr>
                      <w:rFonts w:hint="eastAsia"/>
                      <w:color w:val="auto"/>
                    </w:rPr>
                    <w:t>1500m</w:t>
                  </w:r>
                  <w:r>
                    <w:rPr>
                      <w:rFonts w:hint="eastAsia"/>
                      <w:color w:val="auto"/>
                      <w:vertAlign w:val="superscript"/>
                    </w:rPr>
                    <w:t>2</w:t>
                  </w:r>
                  <w:r>
                    <w:rPr>
                      <w:color w:val="auto"/>
                    </w:rPr>
                    <w:t>，用于原料暂存</w:t>
                  </w:r>
                </w:p>
              </w:tc>
              <w:tc>
                <w:tcPr>
                  <w:tcW w:w="534" w:type="pct"/>
                  <w:tcBorders>
                    <w:tl2br w:val="nil"/>
                    <w:tr2bl w:val="nil"/>
                  </w:tcBorders>
                  <w:vAlign w:val="center"/>
                </w:tcPr>
                <w:p w14:paraId="4EC7FAC2">
                  <w:pPr>
                    <w:pStyle w:val="57"/>
                    <w:rPr>
                      <w:color w:val="auto"/>
                    </w:rPr>
                  </w:pPr>
                  <w:r>
                    <w:rPr>
                      <w:rFonts w:hint="eastAsia"/>
                      <w:color w:val="auto"/>
                    </w:rPr>
                    <w:t>租赁</w:t>
                  </w:r>
                </w:p>
              </w:tc>
            </w:tr>
            <w:tr w14:paraId="4432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28" w:type="pct"/>
                  <w:vMerge w:val="continue"/>
                  <w:tcBorders>
                    <w:tl2br w:val="nil"/>
                    <w:tr2bl w:val="nil"/>
                  </w:tcBorders>
                  <w:vAlign w:val="center"/>
                </w:tcPr>
                <w:p w14:paraId="3B1CA4C4">
                  <w:pPr>
                    <w:pStyle w:val="57"/>
                    <w:rPr>
                      <w:color w:val="auto"/>
                    </w:rPr>
                  </w:pPr>
                </w:p>
              </w:tc>
              <w:tc>
                <w:tcPr>
                  <w:tcW w:w="622" w:type="pct"/>
                  <w:gridSpan w:val="2"/>
                  <w:tcBorders>
                    <w:tl2br w:val="nil"/>
                    <w:tr2bl w:val="nil"/>
                  </w:tcBorders>
                  <w:vAlign w:val="center"/>
                </w:tcPr>
                <w:p w14:paraId="4252E73E">
                  <w:pPr>
                    <w:pStyle w:val="57"/>
                    <w:rPr>
                      <w:color w:val="auto"/>
                    </w:rPr>
                  </w:pPr>
                  <w:r>
                    <w:rPr>
                      <w:color w:val="auto"/>
                    </w:rPr>
                    <w:t>成品仓库</w:t>
                  </w:r>
                </w:p>
              </w:tc>
              <w:tc>
                <w:tcPr>
                  <w:tcW w:w="3414" w:type="pct"/>
                  <w:gridSpan w:val="2"/>
                  <w:tcBorders>
                    <w:tl2br w:val="nil"/>
                    <w:tr2bl w:val="nil"/>
                  </w:tcBorders>
                  <w:vAlign w:val="center"/>
                </w:tcPr>
                <w:p w14:paraId="561C92FC">
                  <w:pPr>
                    <w:pStyle w:val="57"/>
                    <w:rPr>
                      <w:color w:val="auto"/>
                    </w:rPr>
                  </w:pPr>
                  <w:r>
                    <w:rPr>
                      <w:color w:val="auto"/>
                    </w:rPr>
                    <w:t>位于</w:t>
                  </w:r>
                  <w:r>
                    <w:rPr>
                      <w:rFonts w:hint="eastAsia"/>
                      <w:color w:val="auto"/>
                    </w:rPr>
                    <w:t>生产厂房2层东侧</w:t>
                  </w:r>
                  <w:r>
                    <w:rPr>
                      <w:color w:val="auto"/>
                    </w:rPr>
                    <w:t>，建筑面积</w:t>
                  </w:r>
                  <w:r>
                    <w:rPr>
                      <w:rFonts w:hint="eastAsia"/>
                      <w:color w:val="auto"/>
                    </w:rPr>
                    <w:t>1500m</w:t>
                  </w:r>
                  <w:r>
                    <w:rPr>
                      <w:rFonts w:hint="eastAsia"/>
                      <w:color w:val="auto"/>
                      <w:vertAlign w:val="superscript"/>
                    </w:rPr>
                    <w:t>2</w:t>
                  </w:r>
                  <w:r>
                    <w:rPr>
                      <w:color w:val="auto"/>
                    </w:rPr>
                    <w:t>，用于产品暂存</w:t>
                  </w:r>
                </w:p>
              </w:tc>
              <w:tc>
                <w:tcPr>
                  <w:tcW w:w="534" w:type="pct"/>
                  <w:tcBorders>
                    <w:tl2br w:val="nil"/>
                    <w:tr2bl w:val="nil"/>
                  </w:tcBorders>
                  <w:vAlign w:val="center"/>
                </w:tcPr>
                <w:p w14:paraId="59C44E59">
                  <w:pPr>
                    <w:pStyle w:val="57"/>
                    <w:rPr>
                      <w:color w:val="auto"/>
                    </w:rPr>
                  </w:pPr>
                  <w:r>
                    <w:rPr>
                      <w:rFonts w:hint="eastAsia"/>
                      <w:color w:val="auto"/>
                    </w:rPr>
                    <w:t>租赁</w:t>
                  </w:r>
                </w:p>
              </w:tc>
            </w:tr>
            <w:tr w14:paraId="19B8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8" w:type="pct"/>
                  <w:vMerge w:val="restart"/>
                  <w:tcBorders>
                    <w:tl2br w:val="nil"/>
                    <w:tr2bl w:val="nil"/>
                  </w:tcBorders>
                  <w:vAlign w:val="center"/>
                </w:tcPr>
                <w:p w14:paraId="082631A2">
                  <w:pPr>
                    <w:pStyle w:val="57"/>
                    <w:rPr>
                      <w:color w:val="auto"/>
                    </w:rPr>
                  </w:pPr>
                  <w:r>
                    <w:rPr>
                      <w:color w:val="auto"/>
                    </w:rPr>
                    <w:t>辅助工程</w:t>
                  </w:r>
                </w:p>
              </w:tc>
              <w:tc>
                <w:tcPr>
                  <w:tcW w:w="622" w:type="pct"/>
                  <w:gridSpan w:val="2"/>
                  <w:tcBorders>
                    <w:tl2br w:val="nil"/>
                    <w:tr2bl w:val="nil"/>
                  </w:tcBorders>
                  <w:vAlign w:val="center"/>
                </w:tcPr>
                <w:p w14:paraId="774A303F">
                  <w:pPr>
                    <w:pStyle w:val="57"/>
                    <w:rPr>
                      <w:color w:val="auto"/>
                    </w:rPr>
                  </w:pPr>
                  <w:r>
                    <w:rPr>
                      <w:color w:val="auto"/>
                    </w:rPr>
                    <w:t>办公室</w:t>
                  </w:r>
                </w:p>
              </w:tc>
              <w:tc>
                <w:tcPr>
                  <w:tcW w:w="3414" w:type="pct"/>
                  <w:gridSpan w:val="2"/>
                  <w:tcBorders>
                    <w:tl2br w:val="nil"/>
                    <w:tr2bl w:val="nil"/>
                  </w:tcBorders>
                  <w:vAlign w:val="center"/>
                </w:tcPr>
                <w:p w14:paraId="79323E1A">
                  <w:pPr>
                    <w:pStyle w:val="57"/>
                    <w:rPr>
                      <w:color w:val="auto"/>
                    </w:rPr>
                  </w:pPr>
                  <w:r>
                    <w:rPr>
                      <w:color w:val="auto"/>
                    </w:rPr>
                    <w:t>位于</w:t>
                  </w:r>
                  <w:r>
                    <w:rPr>
                      <w:rFonts w:hint="eastAsia"/>
                      <w:color w:val="auto"/>
                    </w:rPr>
                    <w:t>综合楼4楼</w:t>
                  </w:r>
                  <w:r>
                    <w:rPr>
                      <w:color w:val="auto"/>
                    </w:rPr>
                    <w:t>，建筑面积</w:t>
                  </w:r>
                  <w:r>
                    <w:rPr>
                      <w:rFonts w:hint="eastAsia"/>
                      <w:color w:val="auto"/>
                    </w:rPr>
                    <w:t>700m</w:t>
                  </w:r>
                  <w:r>
                    <w:rPr>
                      <w:rFonts w:hint="eastAsia"/>
                      <w:color w:val="auto"/>
                      <w:vertAlign w:val="superscript"/>
                    </w:rPr>
                    <w:t>2</w:t>
                  </w:r>
                  <w:r>
                    <w:rPr>
                      <w:color w:val="auto"/>
                    </w:rPr>
                    <w:t>，用于</w:t>
                  </w:r>
                  <w:r>
                    <w:rPr>
                      <w:rFonts w:hint="eastAsia"/>
                      <w:color w:val="auto"/>
                    </w:rPr>
                    <w:t>员工办公</w:t>
                  </w:r>
                </w:p>
              </w:tc>
              <w:tc>
                <w:tcPr>
                  <w:tcW w:w="534" w:type="pct"/>
                  <w:tcBorders>
                    <w:tl2br w:val="nil"/>
                    <w:tr2bl w:val="nil"/>
                  </w:tcBorders>
                  <w:vAlign w:val="center"/>
                </w:tcPr>
                <w:p w14:paraId="2631308A">
                  <w:pPr>
                    <w:pStyle w:val="57"/>
                    <w:rPr>
                      <w:color w:val="auto"/>
                    </w:rPr>
                  </w:pPr>
                  <w:r>
                    <w:rPr>
                      <w:rFonts w:hint="eastAsia"/>
                      <w:color w:val="auto"/>
                    </w:rPr>
                    <w:t>租赁</w:t>
                  </w:r>
                </w:p>
              </w:tc>
            </w:tr>
            <w:tr w14:paraId="45F0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8" w:type="pct"/>
                  <w:vMerge w:val="continue"/>
                  <w:tcBorders>
                    <w:tl2br w:val="nil"/>
                    <w:tr2bl w:val="nil"/>
                  </w:tcBorders>
                  <w:vAlign w:val="center"/>
                </w:tcPr>
                <w:p w14:paraId="5F68E84F">
                  <w:pPr>
                    <w:pStyle w:val="57"/>
                    <w:rPr>
                      <w:color w:val="auto"/>
                    </w:rPr>
                  </w:pPr>
                </w:p>
              </w:tc>
              <w:tc>
                <w:tcPr>
                  <w:tcW w:w="622" w:type="pct"/>
                  <w:gridSpan w:val="2"/>
                  <w:tcBorders>
                    <w:tl2br w:val="nil"/>
                    <w:tr2bl w:val="nil"/>
                  </w:tcBorders>
                  <w:vAlign w:val="center"/>
                </w:tcPr>
                <w:p w14:paraId="3E5998F1">
                  <w:pPr>
                    <w:pStyle w:val="57"/>
                    <w:rPr>
                      <w:color w:val="auto"/>
                    </w:rPr>
                  </w:pPr>
                  <w:r>
                    <w:rPr>
                      <w:rFonts w:hint="eastAsia"/>
                      <w:color w:val="auto"/>
                    </w:rPr>
                    <w:t>宿舍</w:t>
                  </w:r>
                </w:p>
              </w:tc>
              <w:tc>
                <w:tcPr>
                  <w:tcW w:w="3414" w:type="pct"/>
                  <w:gridSpan w:val="2"/>
                  <w:tcBorders>
                    <w:tl2br w:val="nil"/>
                    <w:tr2bl w:val="nil"/>
                  </w:tcBorders>
                  <w:vAlign w:val="center"/>
                </w:tcPr>
                <w:p w14:paraId="5958E2D2">
                  <w:pPr>
                    <w:pStyle w:val="57"/>
                    <w:rPr>
                      <w:color w:val="auto"/>
                    </w:rPr>
                  </w:pPr>
                  <w:r>
                    <w:rPr>
                      <w:color w:val="auto"/>
                    </w:rPr>
                    <w:t>位于</w:t>
                  </w:r>
                  <w:r>
                    <w:rPr>
                      <w:rFonts w:hint="eastAsia"/>
                      <w:color w:val="auto"/>
                    </w:rPr>
                    <w:t>综合楼3楼</w:t>
                  </w:r>
                  <w:r>
                    <w:rPr>
                      <w:color w:val="auto"/>
                    </w:rPr>
                    <w:t>，建筑面积</w:t>
                  </w:r>
                  <w:r>
                    <w:rPr>
                      <w:rFonts w:hint="eastAsia"/>
                      <w:color w:val="auto"/>
                    </w:rPr>
                    <w:t>800m</w:t>
                  </w:r>
                  <w:r>
                    <w:rPr>
                      <w:rFonts w:hint="eastAsia"/>
                      <w:color w:val="auto"/>
                      <w:vertAlign w:val="superscript"/>
                    </w:rPr>
                    <w:t>2</w:t>
                  </w:r>
                  <w:r>
                    <w:rPr>
                      <w:color w:val="auto"/>
                    </w:rPr>
                    <w:t>，用于</w:t>
                  </w:r>
                  <w:r>
                    <w:rPr>
                      <w:rFonts w:hint="eastAsia"/>
                      <w:color w:val="auto"/>
                    </w:rPr>
                    <w:t>员工住宿</w:t>
                  </w:r>
                </w:p>
              </w:tc>
              <w:tc>
                <w:tcPr>
                  <w:tcW w:w="534" w:type="pct"/>
                  <w:tcBorders>
                    <w:tl2br w:val="nil"/>
                    <w:tr2bl w:val="nil"/>
                  </w:tcBorders>
                  <w:vAlign w:val="center"/>
                </w:tcPr>
                <w:p w14:paraId="7A545C8F">
                  <w:pPr>
                    <w:pStyle w:val="57"/>
                    <w:rPr>
                      <w:color w:val="auto"/>
                    </w:rPr>
                  </w:pPr>
                  <w:r>
                    <w:rPr>
                      <w:rFonts w:hint="eastAsia"/>
                      <w:color w:val="auto"/>
                    </w:rPr>
                    <w:t>租赁</w:t>
                  </w:r>
                </w:p>
              </w:tc>
            </w:tr>
            <w:tr w14:paraId="79C9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8" w:type="pct"/>
                  <w:vMerge w:val="restart"/>
                  <w:tcBorders>
                    <w:tl2br w:val="nil"/>
                    <w:tr2bl w:val="nil"/>
                  </w:tcBorders>
                  <w:vAlign w:val="center"/>
                </w:tcPr>
                <w:p w14:paraId="3DFABB35">
                  <w:pPr>
                    <w:pStyle w:val="57"/>
                    <w:rPr>
                      <w:color w:val="auto"/>
                    </w:rPr>
                  </w:pPr>
                  <w:r>
                    <w:rPr>
                      <w:color w:val="auto"/>
                    </w:rPr>
                    <w:t>公用</w:t>
                  </w:r>
                </w:p>
                <w:p w14:paraId="57A72EBF">
                  <w:pPr>
                    <w:pStyle w:val="57"/>
                    <w:rPr>
                      <w:color w:val="auto"/>
                    </w:rPr>
                  </w:pPr>
                  <w:r>
                    <w:rPr>
                      <w:color w:val="auto"/>
                    </w:rPr>
                    <w:t>工程</w:t>
                  </w:r>
                </w:p>
              </w:tc>
              <w:tc>
                <w:tcPr>
                  <w:tcW w:w="622" w:type="pct"/>
                  <w:gridSpan w:val="2"/>
                  <w:tcBorders>
                    <w:tl2br w:val="nil"/>
                    <w:tr2bl w:val="nil"/>
                  </w:tcBorders>
                  <w:vAlign w:val="center"/>
                </w:tcPr>
                <w:p w14:paraId="02260160">
                  <w:pPr>
                    <w:pStyle w:val="57"/>
                    <w:rPr>
                      <w:color w:val="auto"/>
                    </w:rPr>
                  </w:pPr>
                  <w:r>
                    <w:rPr>
                      <w:color w:val="auto"/>
                    </w:rPr>
                    <w:t>供电</w:t>
                  </w:r>
                </w:p>
              </w:tc>
              <w:tc>
                <w:tcPr>
                  <w:tcW w:w="3948" w:type="pct"/>
                  <w:gridSpan w:val="3"/>
                  <w:tcBorders>
                    <w:tl2br w:val="nil"/>
                    <w:tr2bl w:val="nil"/>
                  </w:tcBorders>
                  <w:vAlign w:val="center"/>
                </w:tcPr>
                <w:p w14:paraId="0EC81E7B">
                  <w:pPr>
                    <w:pStyle w:val="57"/>
                    <w:rPr>
                      <w:color w:val="auto"/>
                    </w:rPr>
                  </w:pPr>
                  <w:r>
                    <w:rPr>
                      <w:color w:val="auto"/>
                    </w:rPr>
                    <w:t>由市政电网供应，用电量约为30万千瓦时/年</w:t>
                  </w:r>
                </w:p>
              </w:tc>
            </w:tr>
            <w:tr w14:paraId="28EF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8" w:type="pct"/>
                  <w:vMerge w:val="continue"/>
                  <w:tcBorders>
                    <w:tl2br w:val="nil"/>
                    <w:tr2bl w:val="nil"/>
                  </w:tcBorders>
                  <w:vAlign w:val="center"/>
                </w:tcPr>
                <w:p w14:paraId="0215B8B2">
                  <w:pPr>
                    <w:pStyle w:val="57"/>
                    <w:rPr>
                      <w:color w:val="auto"/>
                    </w:rPr>
                  </w:pPr>
                </w:p>
              </w:tc>
              <w:tc>
                <w:tcPr>
                  <w:tcW w:w="622" w:type="pct"/>
                  <w:gridSpan w:val="2"/>
                  <w:tcBorders>
                    <w:tl2br w:val="nil"/>
                    <w:tr2bl w:val="nil"/>
                  </w:tcBorders>
                  <w:vAlign w:val="center"/>
                </w:tcPr>
                <w:p w14:paraId="0828927E">
                  <w:pPr>
                    <w:pStyle w:val="57"/>
                    <w:rPr>
                      <w:color w:val="auto"/>
                    </w:rPr>
                  </w:pPr>
                  <w:r>
                    <w:rPr>
                      <w:color w:val="auto"/>
                    </w:rPr>
                    <w:t>供水</w:t>
                  </w:r>
                </w:p>
              </w:tc>
              <w:tc>
                <w:tcPr>
                  <w:tcW w:w="3948" w:type="pct"/>
                  <w:gridSpan w:val="3"/>
                  <w:tcBorders>
                    <w:tl2br w:val="nil"/>
                    <w:tr2bl w:val="nil"/>
                  </w:tcBorders>
                  <w:vAlign w:val="center"/>
                </w:tcPr>
                <w:p w14:paraId="267B3383">
                  <w:pPr>
                    <w:pStyle w:val="57"/>
                    <w:rPr>
                      <w:color w:val="auto"/>
                    </w:rPr>
                  </w:pPr>
                  <w:r>
                    <w:rPr>
                      <w:color w:val="auto"/>
                    </w:rPr>
                    <w:t>用水量为</w:t>
                  </w:r>
                  <w:r>
                    <w:rPr>
                      <w:rFonts w:hint="eastAsia"/>
                      <w:color w:val="auto"/>
                    </w:rPr>
                    <w:t>4.8</w:t>
                  </w:r>
                  <w:r>
                    <w:rPr>
                      <w:color w:val="auto"/>
                    </w:rPr>
                    <w:t>m³/d（</w:t>
                  </w:r>
                  <w:r>
                    <w:rPr>
                      <w:rFonts w:hint="eastAsia"/>
                      <w:color w:val="auto"/>
                    </w:rPr>
                    <w:t>1440</w:t>
                  </w:r>
                  <w:r>
                    <w:rPr>
                      <w:color w:val="auto"/>
                    </w:rPr>
                    <w:t>m³/a），依托市政供水管网</w:t>
                  </w:r>
                </w:p>
              </w:tc>
            </w:tr>
            <w:tr w14:paraId="558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28" w:type="pct"/>
                  <w:vMerge w:val="continue"/>
                  <w:tcBorders>
                    <w:tl2br w:val="nil"/>
                    <w:tr2bl w:val="nil"/>
                  </w:tcBorders>
                  <w:vAlign w:val="center"/>
                </w:tcPr>
                <w:p w14:paraId="0D3D1941">
                  <w:pPr>
                    <w:pStyle w:val="57"/>
                    <w:rPr>
                      <w:color w:val="auto"/>
                    </w:rPr>
                  </w:pPr>
                </w:p>
              </w:tc>
              <w:tc>
                <w:tcPr>
                  <w:tcW w:w="622" w:type="pct"/>
                  <w:gridSpan w:val="2"/>
                  <w:tcBorders>
                    <w:tl2br w:val="nil"/>
                    <w:tr2bl w:val="nil"/>
                  </w:tcBorders>
                  <w:vAlign w:val="center"/>
                </w:tcPr>
                <w:p w14:paraId="6C6EAB02">
                  <w:pPr>
                    <w:pStyle w:val="57"/>
                    <w:rPr>
                      <w:color w:val="auto"/>
                    </w:rPr>
                  </w:pPr>
                  <w:r>
                    <w:rPr>
                      <w:color w:val="auto"/>
                    </w:rPr>
                    <w:t>排水</w:t>
                  </w:r>
                </w:p>
              </w:tc>
              <w:tc>
                <w:tcPr>
                  <w:tcW w:w="3948" w:type="pct"/>
                  <w:gridSpan w:val="3"/>
                  <w:tcBorders>
                    <w:bottom w:val="single" w:color="000000" w:sz="4" w:space="0"/>
                    <w:tl2br w:val="nil"/>
                    <w:tr2bl w:val="nil"/>
                  </w:tcBorders>
                  <w:vAlign w:val="center"/>
                </w:tcPr>
                <w:p w14:paraId="63A5199F">
                  <w:pPr>
                    <w:pStyle w:val="57"/>
                    <w:rPr>
                      <w:color w:val="auto"/>
                    </w:rPr>
                  </w:pPr>
                  <w:r>
                    <w:rPr>
                      <w:rFonts w:hint="eastAsia"/>
                      <w:color w:val="auto"/>
                    </w:rPr>
                    <w:t>雨污分流，生活污水经化粪池预处理后达城南污水处理厂接管标准，接管城南污水处理厂处理，处理达标后排入运粮河，排放量为3.84m</w:t>
                  </w:r>
                  <w:r>
                    <w:rPr>
                      <w:rFonts w:hint="eastAsia"/>
                      <w:color w:val="auto"/>
                      <w:vertAlign w:val="superscript"/>
                    </w:rPr>
                    <w:t>3</w:t>
                  </w:r>
                  <w:r>
                    <w:rPr>
                      <w:rFonts w:hint="eastAsia"/>
                      <w:color w:val="auto"/>
                    </w:rPr>
                    <w:t>/d（1152m</w:t>
                  </w:r>
                  <w:r>
                    <w:rPr>
                      <w:rFonts w:hint="eastAsia"/>
                      <w:color w:val="auto"/>
                      <w:vertAlign w:val="superscript"/>
                    </w:rPr>
                    <w:t>3</w:t>
                  </w:r>
                  <w:r>
                    <w:rPr>
                      <w:rFonts w:hint="eastAsia"/>
                      <w:color w:val="auto"/>
                    </w:rPr>
                    <w:t>/a）</w:t>
                  </w:r>
                </w:p>
              </w:tc>
            </w:tr>
            <w:tr w14:paraId="5610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8" w:type="pct"/>
                  <w:vMerge w:val="restart"/>
                  <w:tcBorders>
                    <w:tl2br w:val="nil"/>
                    <w:tr2bl w:val="nil"/>
                  </w:tcBorders>
                  <w:vAlign w:val="center"/>
                </w:tcPr>
                <w:p w14:paraId="39DBFEC0">
                  <w:pPr>
                    <w:pStyle w:val="57"/>
                    <w:rPr>
                      <w:color w:val="auto"/>
                    </w:rPr>
                  </w:pPr>
                  <w:r>
                    <w:rPr>
                      <w:color w:val="auto"/>
                    </w:rPr>
                    <w:t>环保</w:t>
                  </w:r>
                </w:p>
                <w:p w14:paraId="6646B249">
                  <w:pPr>
                    <w:pStyle w:val="57"/>
                    <w:rPr>
                      <w:color w:val="auto"/>
                    </w:rPr>
                  </w:pPr>
                  <w:r>
                    <w:rPr>
                      <w:color w:val="auto"/>
                    </w:rPr>
                    <w:t>工程</w:t>
                  </w:r>
                </w:p>
              </w:tc>
              <w:tc>
                <w:tcPr>
                  <w:tcW w:w="622" w:type="pct"/>
                  <w:gridSpan w:val="2"/>
                  <w:tcBorders>
                    <w:tl2br w:val="nil"/>
                    <w:tr2bl w:val="nil"/>
                  </w:tcBorders>
                  <w:vAlign w:val="center"/>
                </w:tcPr>
                <w:p w14:paraId="0ABB71A7">
                  <w:pPr>
                    <w:pStyle w:val="57"/>
                    <w:rPr>
                      <w:color w:val="auto"/>
                    </w:rPr>
                  </w:pPr>
                  <w:r>
                    <w:rPr>
                      <w:color w:val="auto"/>
                    </w:rPr>
                    <w:t>废水治理</w:t>
                  </w:r>
                </w:p>
              </w:tc>
              <w:tc>
                <w:tcPr>
                  <w:tcW w:w="3948" w:type="pct"/>
                  <w:gridSpan w:val="3"/>
                  <w:tcBorders>
                    <w:tl2br w:val="nil"/>
                    <w:tr2bl w:val="nil"/>
                  </w:tcBorders>
                  <w:vAlign w:val="center"/>
                </w:tcPr>
                <w:p w14:paraId="22562DA6">
                  <w:pPr>
                    <w:pStyle w:val="57"/>
                    <w:rPr>
                      <w:color w:val="auto"/>
                    </w:rPr>
                  </w:pPr>
                  <w:r>
                    <w:rPr>
                      <w:rFonts w:hint="eastAsia"/>
                      <w:color w:val="auto"/>
                    </w:rPr>
                    <w:t>生活污水经化粪池预处理后达城南污水处理厂接管标准，接管城南污水处理厂处理，处理达标后排入运粮河</w:t>
                  </w:r>
                </w:p>
              </w:tc>
            </w:tr>
            <w:tr w14:paraId="0FAC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28" w:type="pct"/>
                  <w:vMerge w:val="continue"/>
                  <w:tcBorders>
                    <w:tl2br w:val="nil"/>
                    <w:tr2bl w:val="nil"/>
                  </w:tcBorders>
                  <w:vAlign w:val="center"/>
                </w:tcPr>
                <w:p w14:paraId="7FBCFAE7">
                  <w:pPr>
                    <w:pStyle w:val="57"/>
                    <w:rPr>
                      <w:color w:val="auto"/>
                    </w:rPr>
                  </w:pPr>
                </w:p>
              </w:tc>
              <w:tc>
                <w:tcPr>
                  <w:tcW w:w="622" w:type="pct"/>
                  <w:gridSpan w:val="2"/>
                  <w:tcBorders>
                    <w:tl2br w:val="nil"/>
                    <w:tr2bl w:val="nil"/>
                  </w:tcBorders>
                  <w:vAlign w:val="center"/>
                </w:tcPr>
                <w:p w14:paraId="581012C3">
                  <w:pPr>
                    <w:pStyle w:val="57"/>
                    <w:rPr>
                      <w:color w:val="auto"/>
                    </w:rPr>
                  </w:pPr>
                  <w:r>
                    <w:rPr>
                      <w:color w:val="auto"/>
                    </w:rPr>
                    <w:t>废气治理</w:t>
                  </w:r>
                </w:p>
              </w:tc>
              <w:tc>
                <w:tcPr>
                  <w:tcW w:w="3948" w:type="pct"/>
                  <w:gridSpan w:val="3"/>
                  <w:tcBorders>
                    <w:tl2br w:val="nil"/>
                    <w:tr2bl w:val="nil"/>
                  </w:tcBorders>
                  <w:vAlign w:val="center"/>
                </w:tcPr>
                <w:p w14:paraId="05622838">
                  <w:pPr>
                    <w:pStyle w:val="57"/>
                    <w:rPr>
                      <w:color w:val="auto"/>
                    </w:rPr>
                  </w:pPr>
                  <w:r>
                    <w:rPr>
                      <w:rFonts w:hint="eastAsia"/>
                      <w:color w:val="auto"/>
                    </w:rPr>
                    <w:t>注塑废气、热转印废气、印刷、烘干废气、注墨废气经集气罩收集后通过风机引入1套“二级活性炭”处理，处理效率为90%，处理后经1根15m高（DA001）排气筒排放，收集效率为90%，风机风量15000m³/h</w:t>
                  </w:r>
                </w:p>
              </w:tc>
            </w:tr>
            <w:tr w14:paraId="039F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8" w:type="pct"/>
                  <w:vMerge w:val="continue"/>
                  <w:tcBorders>
                    <w:tl2br w:val="nil"/>
                    <w:tr2bl w:val="nil"/>
                  </w:tcBorders>
                  <w:vAlign w:val="center"/>
                </w:tcPr>
                <w:p w14:paraId="34CFC0D8">
                  <w:pPr>
                    <w:pStyle w:val="57"/>
                    <w:rPr>
                      <w:color w:val="auto"/>
                    </w:rPr>
                  </w:pPr>
                </w:p>
              </w:tc>
              <w:tc>
                <w:tcPr>
                  <w:tcW w:w="622" w:type="pct"/>
                  <w:gridSpan w:val="2"/>
                  <w:tcBorders>
                    <w:tl2br w:val="nil"/>
                    <w:tr2bl w:val="nil"/>
                  </w:tcBorders>
                  <w:vAlign w:val="center"/>
                </w:tcPr>
                <w:p w14:paraId="0E3E325C">
                  <w:pPr>
                    <w:pStyle w:val="57"/>
                    <w:rPr>
                      <w:color w:val="auto"/>
                    </w:rPr>
                  </w:pPr>
                  <w:r>
                    <w:rPr>
                      <w:color w:val="auto"/>
                    </w:rPr>
                    <w:t>噪声</w:t>
                  </w:r>
                </w:p>
                <w:p w14:paraId="3E6A579F">
                  <w:pPr>
                    <w:pStyle w:val="57"/>
                    <w:rPr>
                      <w:color w:val="auto"/>
                    </w:rPr>
                  </w:pPr>
                  <w:r>
                    <w:rPr>
                      <w:color w:val="auto"/>
                    </w:rPr>
                    <w:t>治理</w:t>
                  </w:r>
                </w:p>
              </w:tc>
              <w:tc>
                <w:tcPr>
                  <w:tcW w:w="3948" w:type="pct"/>
                  <w:gridSpan w:val="3"/>
                  <w:tcBorders>
                    <w:tl2br w:val="nil"/>
                    <w:tr2bl w:val="nil"/>
                  </w:tcBorders>
                  <w:vAlign w:val="center"/>
                </w:tcPr>
                <w:p w14:paraId="48A409EE">
                  <w:pPr>
                    <w:pStyle w:val="57"/>
                    <w:rPr>
                      <w:color w:val="auto"/>
                    </w:rPr>
                  </w:pPr>
                  <w:r>
                    <w:rPr>
                      <w:color w:val="auto"/>
                    </w:rPr>
                    <w:t>利用厂房本身进行隔声处理，高噪声设备配套减振、隔声装置</w:t>
                  </w:r>
                </w:p>
              </w:tc>
            </w:tr>
            <w:tr w14:paraId="5FD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28" w:type="pct"/>
                  <w:vMerge w:val="continue"/>
                  <w:tcBorders>
                    <w:tl2br w:val="nil"/>
                    <w:tr2bl w:val="nil"/>
                  </w:tcBorders>
                  <w:vAlign w:val="center"/>
                </w:tcPr>
                <w:p w14:paraId="749094C0">
                  <w:pPr>
                    <w:pStyle w:val="57"/>
                    <w:rPr>
                      <w:color w:val="auto"/>
                    </w:rPr>
                  </w:pPr>
                </w:p>
              </w:tc>
              <w:tc>
                <w:tcPr>
                  <w:tcW w:w="622" w:type="pct"/>
                  <w:gridSpan w:val="2"/>
                  <w:vMerge w:val="restart"/>
                  <w:tcBorders>
                    <w:tl2br w:val="nil"/>
                    <w:tr2bl w:val="nil"/>
                  </w:tcBorders>
                  <w:vAlign w:val="center"/>
                </w:tcPr>
                <w:p w14:paraId="0ED76897">
                  <w:pPr>
                    <w:pStyle w:val="57"/>
                    <w:rPr>
                      <w:color w:val="auto"/>
                    </w:rPr>
                  </w:pPr>
                  <w:r>
                    <w:rPr>
                      <w:color w:val="auto"/>
                    </w:rPr>
                    <w:t>固体废物污染防治</w:t>
                  </w:r>
                </w:p>
              </w:tc>
              <w:tc>
                <w:tcPr>
                  <w:tcW w:w="1003" w:type="pct"/>
                  <w:tcBorders>
                    <w:tl2br w:val="nil"/>
                    <w:tr2bl w:val="nil"/>
                  </w:tcBorders>
                  <w:vAlign w:val="center"/>
                </w:tcPr>
                <w:p w14:paraId="24E42AFA">
                  <w:pPr>
                    <w:pStyle w:val="57"/>
                    <w:rPr>
                      <w:color w:val="auto"/>
                    </w:rPr>
                  </w:pPr>
                  <w:r>
                    <w:rPr>
                      <w:color w:val="auto"/>
                    </w:rPr>
                    <w:t>一般工业固体废物</w:t>
                  </w:r>
                </w:p>
              </w:tc>
              <w:tc>
                <w:tcPr>
                  <w:tcW w:w="2944" w:type="pct"/>
                  <w:gridSpan w:val="2"/>
                  <w:tcBorders>
                    <w:tl2br w:val="nil"/>
                    <w:tr2bl w:val="nil"/>
                  </w:tcBorders>
                  <w:vAlign w:val="center"/>
                </w:tcPr>
                <w:p w14:paraId="428E3A80">
                  <w:pPr>
                    <w:pStyle w:val="57"/>
                    <w:rPr>
                      <w:color w:val="auto"/>
                    </w:rPr>
                  </w:pPr>
                  <w:r>
                    <w:rPr>
                      <w:color w:val="auto"/>
                    </w:rPr>
                    <w:t>废包装材料</w:t>
                  </w:r>
                  <w:r>
                    <w:rPr>
                      <w:rFonts w:hint="eastAsia"/>
                      <w:color w:val="auto"/>
                    </w:rPr>
                    <w:t>、边角料外售综合利用</w:t>
                  </w:r>
                  <w:r>
                    <w:rPr>
                      <w:color w:val="auto"/>
                    </w:rPr>
                    <w:t>。设置1座15</w:t>
                  </w:r>
                  <w:r>
                    <w:rPr>
                      <w:rFonts w:hint="eastAsia"/>
                      <w:color w:val="auto"/>
                    </w:rPr>
                    <w:t>m</w:t>
                  </w:r>
                  <w:r>
                    <w:rPr>
                      <w:rFonts w:hint="eastAsia"/>
                      <w:color w:val="auto"/>
                      <w:vertAlign w:val="superscript"/>
                    </w:rPr>
                    <w:t>2</w:t>
                  </w:r>
                  <w:r>
                    <w:rPr>
                      <w:color w:val="auto"/>
                    </w:rPr>
                    <w:t>一般固废暂存间，位于位于</w:t>
                  </w:r>
                  <w:r>
                    <w:rPr>
                      <w:rFonts w:hint="eastAsia"/>
                      <w:color w:val="auto"/>
                    </w:rPr>
                    <w:t>生产厂房2层南</w:t>
                  </w:r>
                  <w:r>
                    <w:rPr>
                      <w:color w:val="auto"/>
                    </w:rPr>
                    <w:t>侧</w:t>
                  </w:r>
                </w:p>
              </w:tc>
            </w:tr>
            <w:tr w14:paraId="3B87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28" w:type="pct"/>
                  <w:vMerge w:val="continue"/>
                  <w:tcBorders>
                    <w:tl2br w:val="nil"/>
                    <w:tr2bl w:val="nil"/>
                  </w:tcBorders>
                  <w:vAlign w:val="center"/>
                </w:tcPr>
                <w:p w14:paraId="77B5703F">
                  <w:pPr>
                    <w:pStyle w:val="57"/>
                    <w:rPr>
                      <w:color w:val="auto"/>
                    </w:rPr>
                  </w:pPr>
                </w:p>
              </w:tc>
              <w:tc>
                <w:tcPr>
                  <w:tcW w:w="622" w:type="pct"/>
                  <w:gridSpan w:val="2"/>
                  <w:vMerge w:val="continue"/>
                  <w:tcBorders>
                    <w:tl2br w:val="nil"/>
                    <w:tr2bl w:val="nil"/>
                  </w:tcBorders>
                  <w:vAlign w:val="center"/>
                </w:tcPr>
                <w:p w14:paraId="06CA41F9">
                  <w:pPr>
                    <w:pStyle w:val="57"/>
                    <w:rPr>
                      <w:color w:val="auto"/>
                    </w:rPr>
                  </w:pPr>
                </w:p>
              </w:tc>
              <w:tc>
                <w:tcPr>
                  <w:tcW w:w="1003" w:type="pct"/>
                  <w:tcBorders>
                    <w:tl2br w:val="nil"/>
                    <w:tr2bl w:val="nil"/>
                  </w:tcBorders>
                  <w:vAlign w:val="center"/>
                </w:tcPr>
                <w:p w14:paraId="45BAE8EC">
                  <w:pPr>
                    <w:pStyle w:val="57"/>
                    <w:rPr>
                      <w:color w:val="auto"/>
                    </w:rPr>
                  </w:pPr>
                  <w:r>
                    <w:rPr>
                      <w:color w:val="auto"/>
                    </w:rPr>
                    <w:t>危险废物</w:t>
                  </w:r>
                </w:p>
              </w:tc>
              <w:tc>
                <w:tcPr>
                  <w:tcW w:w="2944" w:type="pct"/>
                  <w:gridSpan w:val="2"/>
                  <w:tcBorders>
                    <w:tl2br w:val="nil"/>
                    <w:tr2bl w:val="nil"/>
                  </w:tcBorders>
                  <w:vAlign w:val="center"/>
                </w:tcPr>
                <w:p w14:paraId="721FDCAB">
                  <w:pPr>
                    <w:pStyle w:val="57"/>
                    <w:rPr>
                      <w:color w:val="auto"/>
                    </w:rPr>
                  </w:pPr>
                  <w:r>
                    <w:rPr>
                      <w:color w:val="auto"/>
                    </w:rPr>
                    <w:t>废机油、废活性炭</w:t>
                  </w:r>
                  <w:r>
                    <w:rPr>
                      <w:rFonts w:hint="eastAsia"/>
                      <w:color w:val="auto"/>
                    </w:rPr>
                    <w:t>、废容器桶、废抹布</w:t>
                  </w:r>
                  <w:r>
                    <w:rPr>
                      <w:color w:val="auto"/>
                    </w:rPr>
                    <w:t>委托有资质的危废处置单位处理。配套建设1座15</w:t>
                  </w:r>
                  <w:r>
                    <w:rPr>
                      <w:rFonts w:hint="eastAsia"/>
                      <w:color w:val="auto"/>
                    </w:rPr>
                    <w:t>m</w:t>
                  </w:r>
                  <w:r>
                    <w:rPr>
                      <w:rFonts w:hint="eastAsia"/>
                      <w:color w:val="auto"/>
                      <w:vertAlign w:val="superscript"/>
                    </w:rPr>
                    <w:t>2</w:t>
                  </w:r>
                  <w:r>
                    <w:rPr>
                      <w:color w:val="auto"/>
                    </w:rPr>
                    <w:t>危废暂存间，位于</w:t>
                  </w:r>
                  <w:r>
                    <w:rPr>
                      <w:rFonts w:hint="eastAsia"/>
                      <w:color w:val="auto"/>
                    </w:rPr>
                    <w:t>生产厂房2层南</w:t>
                  </w:r>
                  <w:r>
                    <w:rPr>
                      <w:color w:val="auto"/>
                    </w:rPr>
                    <w:t>侧</w:t>
                  </w:r>
                </w:p>
              </w:tc>
            </w:tr>
            <w:tr w14:paraId="12E4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8" w:type="pct"/>
                  <w:vMerge w:val="continue"/>
                  <w:tcBorders>
                    <w:tl2br w:val="nil"/>
                    <w:tr2bl w:val="nil"/>
                  </w:tcBorders>
                  <w:vAlign w:val="center"/>
                </w:tcPr>
                <w:p w14:paraId="4409AAED">
                  <w:pPr>
                    <w:pStyle w:val="57"/>
                    <w:rPr>
                      <w:color w:val="auto"/>
                    </w:rPr>
                  </w:pPr>
                </w:p>
              </w:tc>
              <w:tc>
                <w:tcPr>
                  <w:tcW w:w="622" w:type="pct"/>
                  <w:gridSpan w:val="2"/>
                  <w:vMerge w:val="continue"/>
                  <w:tcBorders>
                    <w:tl2br w:val="nil"/>
                    <w:tr2bl w:val="nil"/>
                  </w:tcBorders>
                  <w:vAlign w:val="center"/>
                </w:tcPr>
                <w:p w14:paraId="6B24421B">
                  <w:pPr>
                    <w:pStyle w:val="57"/>
                    <w:rPr>
                      <w:color w:val="auto"/>
                    </w:rPr>
                  </w:pPr>
                </w:p>
              </w:tc>
              <w:tc>
                <w:tcPr>
                  <w:tcW w:w="1003" w:type="pct"/>
                  <w:tcBorders>
                    <w:tl2br w:val="nil"/>
                    <w:tr2bl w:val="nil"/>
                  </w:tcBorders>
                  <w:vAlign w:val="center"/>
                </w:tcPr>
                <w:p w14:paraId="2177604C">
                  <w:pPr>
                    <w:pStyle w:val="57"/>
                    <w:rPr>
                      <w:color w:val="auto"/>
                    </w:rPr>
                  </w:pPr>
                  <w:r>
                    <w:rPr>
                      <w:color w:val="auto"/>
                    </w:rPr>
                    <w:t>生活垃圾</w:t>
                  </w:r>
                </w:p>
              </w:tc>
              <w:tc>
                <w:tcPr>
                  <w:tcW w:w="2944" w:type="pct"/>
                  <w:gridSpan w:val="2"/>
                  <w:tcBorders>
                    <w:tl2br w:val="nil"/>
                    <w:tr2bl w:val="nil"/>
                  </w:tcBorders>
                  <w:vAlign w:val="center"/>
                </w:tcPr>
                <w:p w14:paraId="6292C6A0">
                  <w:pPr>
                    <w:pStyle w:val="57"/>
                    <w:rPr>
                      <w:color w:val="auto"/>
                    </w:rPr>
                  </w:pPr>
                  <w:r>
                    <w:rPr>
                      <w:color w:val="auto"/>
                    </w:rPr>
                    <w:t>生活垃圾交由当地环卫部门统一清运处理</w:t>
                  </w:r>
                </w:p>
              </w:tc>
            </w:tr>
          </w:tbl>
          <w:p w14:paraId="271BE241">
            <w:pPr>
              <w:widowControl/>
              <w:ind w:firstLine="480"/>
              <w:jc w:val="left"/>
              <w:rPr>
                <w:color w:val="auto"/>
              </w:rPr>
            </w:pPr>
            <w:r>
              <w:rPr>
                <w:color w:val="auto"/>
              </w:rPr>
              <w:t>（2）主要产品及产能</w:t>
            </w:r>
          </w:p>
          <w:p w14:paraId="4F0F865C">
            <w:pPr>
              <w:pStyle w:val="17"/>
              <w:ind w:firstLine="480"/>
              <w:rPr>
                <w:color w:val="auto"/>
              </w:rPr>
            </w:pPr>
            <w:r>
              <w:rPr>
                <w:color w:val="auto"/>
              </w:rPr>
              <w:t>根据建设单位提供的资料，本项目产品方案详见下表。</w:t>
            </w:r>
            <w:bookmarkStart w:id="9" w:name="_GoBack"/>
            <w:bookmarkEnd w:id="9"/>
          </w:p>
          <w:p w14:paraId="29CA151B">
            <w:pPr>
              <w:pStyle w:val="58"/>
              <w:ind w:firstLine="422"/>
              <w:rPr>
                <w:color w:val="auto"/>
              </w:rPr>
            </w:pPr>
            <w:r>
              <w:rPr>
                <w:rFonts w:hint="eastAsia"/>
                <w:color w:val="auto"/>
              </w:rPr>
              <w:t>表</w:t>
            </w:r>
            <w:r>
              <w:rPr>
                <w:color w:val="auto"/>
              </w:rPr>
              <w:t>2</w:t>
            </w:r>
            <w:r>
              <w:rPr>
                <w:rFonts w:hint="eastAsia"/>
                <w:color w:val="auto"/>
              </w:rPr>
              <w:t>-3产品产量一览表</w:t>
            </w:r>
          </w:p>
          <w:tbl>
            <w:tblPr>
              <w:tblStyle w:val="38"/>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6"/>
              <w:gridCol w:w="2097"/>
              <w:gridCol w:w="1785"/>
            </w:tblGrid>
            <w:tr w14:paraId="1CB2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993" w:type="pct"/>
                  <w:vAlign w:val="center"/>
                </w:tcPr>
                <w:p w14:paraId="1E4A4B84">
                  <w:pPr>
                    <w:pStyle w:val="82"/>
                    <w:rPr>
                      <w:b/>
                      <w:bCs/>
                      <w:color w:val="auto"/>
                    </w:rPr>
                  </w:pPr>
                  <w:r>
                    <w:rPr>
                      <w:b/>
                      <w:bCs/>
                      <w:color w:val="auto"/>
                    </w:rPr>
                    <w:t>序号</w:t>
                  </w:r>
                </w:p>
              </w:tc>
              <w:tc>
                <w:tcPr>
                  <w:tcW w:w="1737" w:type="pct"/>
                  <w:vAlign w:val="center"/>
                </w:tcPr>
                <w:p w14:paraId="2CA61E32">
                  <w:pPr>
                    <w:pStyle w:val="82"/>
                    <w:rPr>
                      <w:b/>
                      <w:bCs/>
                      <w:color w:val="auto"/>
                    </w:rPr>
                  </w:pPr>
                  <w:r>
                    <w:rPr>
                      <w:b/>
                      <w:bCs/>
                      <w:color w:val="auto"/>
                    </w:rPr>
                    <w:t>产品种类</w:t>
                  </w:r>
                </w:p>
              </w:tc>
              <w:tc>
                <w:tcPr>
                  <w:tcW w:w="1225" w:type="pct"/>
                  <w:vAlign w:val="center"/>
                </w:tcPr>
                <w:p w14:paraId="177A54EE">
                  <w:pPr>
                    <w:pStyle w:val="82"/>
                    <w:rPr>
                      <w:b/>
                      <w:bCs/>
                      <w:color w:val="auto"/>
                    </w:rPr>
                  </w:pPr>
                  <w:r>
                    <w:rPr>
                      <w:rFonts w:hint="eastAsia"/>
                      <w:b/>
                      <w:bCs/>
                      <w:color w:val="auto"/>
                    </w:rPr>
                    <w:t>产能情况</w:t>
                  </w:r>
                </w:p>
              </w:tc>
              <w:tc>
                <w:tcPr>
                  <w:tcW w:w="1043" w:type="pct"/>
                  <w:vAlign w:val="center"/>
                </w:tcPr>
                <w:p w14:paraId="29223DEE">
                  <w:pPr>
                    <w:pStyle w:val="82"/>
                    <w:rPr>
                      <w:b/>
                      <w:bCs/>
                      <w:color w:val="auto"/>
                    </w:rPr>
                  </w:pPr>
                  <w:r>
                    <w:rPr>
                      <w:b/>
                      <w:bCs/>
                      <w:color w:val="auto"/>
                    </w:rPr>
                    <w:t>单位</w:t>
                  </w:r>
                </w:p>
              </w:tc>
            </w:tr>
            <w:tr w14:paraId="7B65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3" w:type="pct"/>
                  <w:vAlign w:val="center"/>
                </w:tcPr>
                <w:p w14:paraId="7F5F0AC2">
                  <w:pPr>
                    <w:pStyle w:val="82"/>
                    <w:rPr>
                      <w:color w:val="auto"/>
                    </w:rPr>
                  </w:pPr>
                  <w:r>
                    <w:rPr>
                      <w:color w:val="auto"/>
                    </w:rPr>
                    <w:t>1</w:t>
                  </w:r>
                </w:p>
              </w:tc>
              <w:tc>
                <w:tcPr>
                  <w:tcW w:w="1737" w:type="pct"/>
                  <w:vAlign w:val="center"/>
                </w:tcPr>
                <w:p w14:paraId="3FFB8596">
                  <w:pPr>
                    <w:pStyle w:val="82"/>
                    <w:rPr>
                      <w:color w:val="auto"/>
                    </w:rPr>
                  </w:pPr>
                  <w:r>
                    <w:rPr>
                      <w:rFonts w:hint="eastAsia"/>
                      <w:color w:val="auto"/>
                    </w:rPr>
                    <w:t>鞋服配件</w:t>
                  </w:r>
                </w:p>
              </w:tc>
              <w:tc>
                <w:tcPr>
                  <w:tcW w:w="1225" w:type="pct"/>
                  <w:vAlign w:val="center"/>
                </w:tcPr>
                <w:p w14:paraId="07D6609D">
                  <w:pPr>
                    <w:pStyle w:val="82"/>
                    <w:rPr>
                      <w:color w:val="auto"/>
                    </w:rPr>
                  </w:pPr>
                  <w:r>
                    <w:rPr>
                      <w:rFonts w:hint="eastAsia"/>
                      <w:color w:val="auto"/>
                    </w:rPr>
                    <w:t>2000</w:t>
                  </w:r>
                </w:p>
              </w:tc>
              <w:tc>
                <w:tcPr>
                  <w:tcW w:w="1043" w:type="pct"/>
                  <w:vAlign w:val="center"/>
                </w:tcPr>
                <w:p w14:paraId="762D2951">
                  <w:pPr>
                    <w:pStyle w:val="82"/>
                    <w:rPr>
                      <w:rFonts w:hint="eastAsia"/>
                      <w:color w:val="auto"/>
                    </w:rPr>
                  </w:pPr>
                  <w:r>
                    <w:rPr>
                      <w:rFonts w:hint="eastAsia"/>
                      <w:color w:val="auto"/>
                    </w:rPr>
                    <w:t>万件</w:t>
                  </w:r>
                </w:p>
              </w:tc>
            </w:tr>
            <w:tr w14:paraId="62FC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3" w:type="pct"/>
                  <w:vAlign w:val="center"/>
                </w:tcPr>
                <w:p w14:paraId="21E25CCC">
                  <w:pPr>
                    <w:pStyle w:val="82"/>
                    <w:rPr>
                      <w:rFonts w:hint="eastAsia"/>
                      <w:color w:val="auto"/>
                    </w:rPr>
                  </w:pPr>
                  <w:r>
                    <w:rPr>
                      <w:rFonts w:hint="eastAsia"/>
                      <w:color w:val="auto"/>
                    </w:rPr>
                    <w:t>2</w:t>
                  </w:r>
                </w:p>
              </w:tc>
              <w:tc>
                <w:tcPr>
                  <w:tcW w:w="1737" w:type="pct"/>
                  <w:vAlign w:val="center"/>
                </w:tcPr>
                <w:p w14:paraId="3A9A046B">
                  <w:pPr>
                    <w:pStyle w:val="82"/>
                    <w:rPr>
                      <w:color w:val="auto"/>
                    </w:rPr>
                  </w:pPr>
                  <w:r>
                    <w:rPr>
                      <w:rFonts w:hint="eastAsia"/>
                      <w:color w:val="auto"/>
                    </w:rPr>
                    <w:t>文具产品</w:t>
                  </w:r>
                </w:p>
              </w:tc>
              <w:tc>
                <w:tcPr>
                  <w:tcW w:w="1225" w:type="pct"/>
                  <w:vAlign w:val="center"/>
                </w:tcPr>
                <w:p w14:paraId="50CA9D72">
                  <w:pPr>
                    <w:pStyle w:val="82"/>
                    <w:rPr>
                      <w:color w:val="auto"/>
                    </w:rPr>
                  </w:pPr>
                  <w:r>
                    <w:rPr>
                      <w:rFonts w:hint="eastAsia"/>
                      <w:color w:val="auto"/>
                    </w:rPr>
                    <w:t>2500</w:t>
                  </w:r>
                </w:p>
              </w:tc>
              <w:tc>
                <w:tcPr>
                  <w:tcW w:w="1043" w:type="pct"/>
                  <w:vAlign w:val="center"/>
                </w:tcPr>
                <w:p w14:paraId="1A1A8ECD">
                  <w:pPr>
                    <w:pStyle w:val="82"/>
                    <w:rPr>
                      <w:rFonts w:hint="eastAsia"/>
                      <w:color w:val="auto"/>
                    </w:rPr>
                  </w:pPr>
                  <w:r>
                    <w:rPr>
                      <w:rFonts w:hint="eastAsia"/>
                      <w:color w:val="auto"/>
                    </w:rPr>
                    <w:t>万件</w:t>
                  </w:r>
                </w:p>
              </w:tc>
            </w:tr>
          </w:tbl>
          <w:p w14:paraId="01BD43E9">
            <w:pPr>
              <w:pStyle w:val="58"/>
              <w:ind w:firstLine="422"/>
              <w:rPr>
                <w:color w:val="auto"/>
              </w:rPr>
            </w:pPr>
            <w:r>
              <w:rPr>
                <w:rFonts w:hint="eastAsia"/>
                <w:color w:val="auto"/>
              </w:rPr>
              <w:t>表</w:t>
            </w:r>
            <w:r>
              <w:rPr>
                <w:color w:val="auto"/>
              </w:rPr>
              <w:t>2</w:t>
            </w:r>
            <w:r>
              <w:rPr>
                <w:rFonts w:hint="eastAsia"/>
                <w:color w:val="auto"/>
              </w:rPr>
              <w:t>-</w:t>
            </w:r>
            <w:r>
              <w:rPr>
                <w:rFonts w:hint="eastAsia"/>
                <w:color w:val="auto"/>
                <w:lang w:val="en-US" w:eastAsia="zh-CN"/>
              </w:rPr>
              <w:t>4产品及规格</w:t>
            </w:r>
            <w:r>
              <w:rPr>
                <w:rFonts w:hint="eastAsia"/>
                <w:color w:val="auto"/>
              </w:rPr>
              <w:t>一览表</w:t>
            </w:r>
          </w:p>
          <w:tbl>
            <w:tblPr>
              <w:tblStyle w:val="38"/>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2040"/>
              <w:gridCol w:w="3737"/>
              <w:gridCol w:w="1785"/>
            </w:tblGrid>
            <w:tr w14:paraId="3CCF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582" w:type="pct"/>
                  <w:vAlign w:val="center"/>
                </w:tcPr>
                <w:p w14:paraId="0B2E596D">
                  <w:pPr>
                    <w:pStyle w:val="82"/>
                    <w:rPr>
                      <w:b/>
                      <w:bCs/>
                      <w:color w:val="auto"/>
                    </w:rPr>
                  </w:pPr>
                  <w:r>
                    <w:rPr>
                      <w:b/>
                      <w:bCs/>
                      <w:color w:val="auto"/>
                    </w:rPr>
                    <w:t>序号</w:t>
                  </w:r>
                </w:p>
              </w:tc>
              <w:tc>
                <w:tcPr>
                  <w:tcW w:w="1191" w:type="pct"/>
                  <w:vAlign w:val="center"/>
                </w:tcPr>
                <w:p w14:paraId="20AA14B2">
                  <w:pPr>
                    <w:pStyle w:val="82"/>
                    <w:rPr>
                      <w:b/>
                      <w:bCs/>
                      <w:color w:val="auto"/>
                    </w:rPr>
                  </w:pPr>
                  <w:r>
                    <w:rPr>
                      <w:b/>
                      <w:bCs/>
                      <w:color w:val="auto"/>
                    </w:rPr>
                    <w:t>产品种类</w:t>
                  </w:r>
                </w:p>
              </w:tc>
              <w:tc>
                <w:tcPr>
                  <w:tcW w:w="2183" w:type="pct"/>
                  <w:vAlign w:val="center"/>
                </w:tcPr>
                <w:p w14:paraId="2D020B45">
                  <w:pPr>
                    <w:pStyle w:val="82"/>
                    <w:rPr>
                      <w:rFonts w:hint="default" w:eastAsia="宋体"/>
                      <w:b/>
                      <w:bCs/>
                      <w:color w:val="auto"/>
                      <w:lang w:val="en-US" w:eastAsia="zh-CN"/>
                    </w:rPr>
                  </w:pPr>
                  <w:r>
                    <w:rPr>
                      <w:rFonts w:hint="eastAsia"/>
                      <w:b/>
                      <w:bCs/>
                      <w:color w:val="auto"/>
                      <w:lang w:val="en-US" w:eastAsia="zh-CN"/>
                    </w:rPr>
                    <w:t>产品图片</w:t>
                  </w:r>
                </w:p>
              </w:tc>
              <w:tc>
                <w:tcPr>
                  <w:tcW w:w="1042" w:type="pct"/>
                  <w:vAlign w:val="center"/>
                </w:tcPr>
                <w:p w14:paraId="631545CF">
                  <w:pPr>
                    <w:pStyle w:val="82"/>
                    <w:rPr>
                      <w:b/>
                      <w:bCs/>
                      <w:color w:val="auto"/>
                    </w:rPr>
                  </w:pPr>
                  <w:r>
                    <w:rPr>
                      <w:b/>
                      <w:bCs/>
                      <w:color w:val="auto"/>
                    </w:rPr>
                    <w:t>单位</w:t>
                  </w:r>
                </w:p>
              </w:tc>
            </w:tr>
            <w:tr w14:paraId="19A9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2" w:type="pct"/>
                  <w:vAlign w:val="center"/>
                </w:tcPr>
                <w:p w14:paraId="5918FD4F">
                  <w:pPr>
                    <w:pStyle w:val="82"/>
                    <w:rPr>
                      <w:color w:val="auto"/>
                    </w:rPr>
                  </w:pPr>
                  <w:r>
                    <w:rPr>
                      <w:color w:val="auto"/>
                    </w:rPr>
                    <w:t>1</w:t>
                  </w:r>
                </w:p>
              </w:tc>
              <w:tc>
                <w:tcPr>
                  <w:tcW w:w="1191" w:type="pct"/>
                  <w:vAlign w:val="center"/>
                </w:tcPr>
                <w:p w14:paraId="69ACA975">
                  <w:pPr>
                    <w:pStyle w:val="82"/>
                    <w:rPr>
                      <w:rFonts w:hint="eastAsia" w:eastAsia="宋体"/>
                      <w:color w:val="auto"/>
                      <w:lang w:eastAsia="zh-CN"/>
                    </w:rPr>
                  </w:pPr>
                  <w:r>
                    <w:rPr>
                      <w:rFonts w:hint="eastAsia"/>
                      <w:color w:val="auto"/>
                    </w:rPr>
                    <w:t>鞋服配件</w:t>
                  </w:r>
                  <w:r>
                    <w:rPr>
                      <w:rFonts w:hint="eastAsia"/>
                      <w:color w:val="auto"/>
                      <w:lang w:eastAsia="zh-CN"/>
                    </w:rPr>
                    <w:t>（</w:t>
                  </w:r>
                  <w:r>
                    <w:rPr>
                      <w:rFonts w:hint="eastAsia"/>
                      <w:color w:val="auto"/>
                      <w:lang w:val="en-US" w:eastAsia="zh-CN"/>
                    </w:rPr>
                    <w:t>鞋撑</w:t>
                  </w:r>
                  <w:r>
                    <w:rPr>
                      <w:rFonts w:hint="eastAsia"/>
                      <w:color w:val="auto"/>
                      <w:lang w:eastAsia="zh-CN"/>
                    </w:rPr>
                    <w:t>）</w:t>
                  </w:r>
                </w:p>
              </w:tc>
              <w:tc>
                <w:tcPr>
                  <w:tcW w:w="2183" w:type="pct"/>
                  <w:vAlign w:val="center"/>
                </w:tcPr>
                <w:p w14:paraId="2799104F">
                  <w:pPr>
                    <w:pStyle w:val="82"/>
                    <w:jc w:val="both"/>
                    <w:rPr>
                      <w:color w:val="auto"/>
                    </w:rPr>
                  </w:pPr>
                  <w:r>
                    <w:rPr>
                      <w:color w:val="auto"/>
                    </w:rPr>
                    <w:drawing>
                      <wp:inline distT="0" distB="0" distL="114300" distR="114300">
                        <wp:extent cx="1049655" cy="1123950"/>
                        <wp:effectExtent l="0" t="0" r="17145"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13"/>
                                <a:stretch>
                                  <a:fillRect/>
                                </a:stretch>
                              </pic:blipFill>
                              <pic:spPr>
                                <a:xfrm>
                                  <a:off x="0" y="0"/>
                                  <a:ext cx="1049655" cy="1123950"/>
                                </a:xfrm>
                                <a:prstGeom prst="rect">
                                  <a:avLst/>
                                </a:prstGeom>
                                <a:noFill/>
                                <a:ln>
                                  <a:noFill/>
                                </a:ln>
                              </pic:spPr>
                            </pic:pic>
                          </a:graphicData>
                        </a:graphic>
                      </wp:inline>
                    </w:drawing>
                  </w:r>
                  <w:r>
                    <w:rPr>
                      <w:color w:val="auto"/>
                    </w:rPr>
                    <w:drawing>
                      <wp:inline distT="0" distB="0" distL="114300" distR="114300">
                        <wp:extent cx="1003935" cy="969010"/>
                        <wp:effectExtent l="0" t="0" r="5715" b="254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4"/>
                                <a:stretch>
                                  <a:fillRect/>
                                </a:stretch>
                              </pic:blipFill>
                              <pic:spPr>
                                <a:xfrm>
                                  <a:off x="0" y="0"/>
                                  <a:ext cx="1003935" cy="969010"/>
                                </a:xfrm>
                                <a:prstGeom prst="rect">
                                  <a:avLst/>
                                </a:prstGeom>
                                <a:noFill/>
                                <a:ln>
                                  <a:noFill/>
                                </a:ln>
                              </pic:spPr>
                            </pic:pic>
                          </a:graphicData>
                        </a:graphic>
                      </wp:inline>
                    </w:drawing>
                  </w:r>
                </w:p>
              </w:tc>
              <w:tc>
                <w:tcPr>
                  <w:tcW w:w="1042" w:type="pct"/>
                  <w:vAlign w:val="center"/>
                </w:tcPr>
                <w:p w14:paraId="287651A2">
                  <w:pPr>
                    <w:pStyle w:val="82"/>
                    <w:rPr>
                      <w:rFonts w:hint="eastAsia"/>
                      <w:color w:val="auto"/>
                    </w:rPr>
                  </w:pPr>
                  <w:r>
                    <w:rPr>
                      <w:rFonts w:hint="eastAsia"/>
                      <w:color w:val="auto"/>
                    </w:rPr>
                    <w:t>鞋撑</w:t>
                  </w:r>
                  <w:r>
                    <w:rPr>
                      <w:rFonts w:hint="eastAsia"/>
                      <w:color w:val="auto"/>
                      <w:lang w:eastAsia="zh-CN"/>
                    </w:rPr>
                    <w:t>，</w:t>
                  </w:r>
                  <w:r>
                    <w:rPr>
                      <w:rFonts w:hint="eastAsia"/>
                      <w:color w:val="auto"/>
                    </w:rPr>
                    <w:t>把鞋子撑起来</w:t>
                  </w:r>
                  <w:r>
                    <w:rPr>
                      <w:rFonts w:hint="eastAsia"/>
                      <w:color w:val="auto"/>
                      <w:lang w:eastAsia="zh-CN"/>
                    </w:rPr>
                    <w:t>，</w:t>
                  </w:r>
                  <w:r>
                    <w:rPr>
                      <w:rFonts w:hint="eastAsia"/>
                      <w:color w:val="auto"/>
                    </w:rPr>
                    <w:t>防止</w:t>
                  </w:r>
                  <w:r>
                    <w:rPr>
                      <w:rFonts w:hint="eastAsia"/>
                      <w:color w:val="auto"/>
                      <w:lang w:val="en-US" w:eastAsia="zh-CN"/>
                    </w:rPr>
                    <w:t>新</w:t>
                  </w:r>
                  <w:r>
                    <w:rPr>
                      <w:rFonts w:hint="eastAsia"/>
                      <w:color w:val="auto"/>
                    </w:rPr>
                    <w:t>鞋子在储存或者运输时被挤压</w:t>
                  </w:r>
                  <w:r>
                    <w:rPr>
                      <w:rFonts w:hint="eastAsia"/>
                      <w:color w:val="auto"/>
                      <w:lang w:eastAsia="zh-CN"/>
                    </w:rPr>
                    <w:t>，</w:t>
                  </w:r>
                  <w:r>
                    <w:rPr>
                      <w:rFonts w:hint="eastAsia"/>
                      <w:color w:val="auto"/>
                    </w:rPr>
                    <w:t>而出现变形、走形的情况</w:t>
                  </w:r>
                </w:p>
              </w:tc>
            </w:tr>
            <w:tr w14:paraId="6425B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2" w:type="pct"/>
                  <w:vAlign w:val="center"/>
                </w:tcPr>
                <w:p w14:paraId="1783ADD3">
                  <w:pPr>
                    <w:pStyle w:val="82"/>
                    <w:rPr>
                      <w:rFonts w:hint="eastAsia"/>
                      <w:color w:val="auto"/>
                    </w:rPr>
                  </w:pPr>
                  <w:r>
                    <w:rPr>
                      <w:rFonts w:hint="eastAsia"/>
                      <w:color w:val="auto"/>
                    </w:rPr>
                    <w:t>2</w:t>
                  </w:r>
                </w:p>
              </w:tc>
              <w:tc>
                <w:tcPr>
                  <w:tcW w:w="1191" w:type="pct"/>
                  <w:vAlign w:val="center"/>
                </w:tcPr>
                <w:p w14:paraId="674544DE">
                  <w:pPr>
                    <w:pStyle w:val="82"/>
                    <w:rPr>
                      <w:rFonts w:hint="eastAsia" w:eastAsia="宋体"/>
                      <w:color w:val="auto"/>
                      <w:lang w:eastAsia="zh-CN"/>
                    </w:rPr>
                  </w:pPr>
                  <w:r>
                    <w:rPr>
                      <w:rFonts w:hint="eastAsia"/>
                      <w:color w:val="auto"/>
                    </w:rPr>
                    <w:t>文具产品</w:t>
                  </w:r>
                  <w:r>
                    <w:rPr>
                      <w:rFonts w:hint="eastAsia"/>
                      <w:color w:val="auto"/>
                      <w:lang w:eastAsia="zh-CN"/>
                    </w:rPr>
                    <w:t>（</w:t>
                  </w:r>
                  <w:r>
                    <w:rPr>
                      <w:rFonts w:hint="eastAsia"/>
                      <w:color w:val="auto"/>
                      <w:lang w:val="en-US" w:eastAsia="zh-CN"/>
                    </w:rPr>
                    <w:t>水彩笔、荧光笔</w:t>
                  </w:r>
                  <w:r>
                    <w:rPr>
                      <w:rFonts w:hint="eastAsia"/>
                      <w:color w:val="auto"/>
                      <w:lang w:eastAsia="zh-CN"/>
                    </w:rPr>
                    <w:t>）</w:t>
                  </w:r>
                </w:p>
              </w:tc>
              <w:tc>
                <w:tcPr>
                  <w:tcW w:w="2183" w:type="pct"/>
                  <w:vAlign w:val="center"/>
                </w:tcPr>
                <w:p w14:paraId="0868C8F1">
                  <w:pPr>
                    <w:pStyle w:val="82"/>
                    <w:rPr>
                      <w:color w:val="auto"/>
                    </w:rPr>
                  </w:pPr>
                  <w:r>
                    <w:rPr>
                      <w:color w:val="auto"/>
                    </w:rPr>
                    <w:drawing>
                      <wp:inline distT="0" distB="0" distL="114300" distR="114300">
                        <wp:extent cx="2232660" cy="1535430"/>
                        <wp:effectExtent l="0" t="0" r="15240" b="762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15">
                                  <a:clrChange>
                                    <a:clrFrom>
                                      <a:srgbClr val="C5CBD1">
                                        <a:alpha val="100000"/>
                                      </a:srgbClr>
                                    </a:clrFrom>
                                    <a:clrTo>
                                      <a:srgbClr val="C5CBD1">
                                        <a:alpha val="100000"/>
                                        <a:alpha val="0"/>
                                      </a:srgbClr>
                                    </a:clrTo>
                                  </a:clrChange>
                                </a:blip>
                                <a:stretch>
                                  <a:fillRect/>
                                </a:stretch>
                              </pic:blipFill>
                              <pic:spPr>
                                <a:xfrm>
                                  <a:off x="0" y="0"/>
                                  <a:ext cx="2232660" cy="1535430"/>
                                </a:xfrm>
                                <a:prstGeom prst="rect">
                                  <a:avLst/>
                                </a:prstGeom>
                                <a:noFill/>
                                <a:ln>
                                  <a:noFill/>
                                </a:ln>
                              </pic:spPr>
                            </pic:pic>
                          </a:graphicData>
                        </a:graphic>
                      </wp:inline>
                    </w:drawing>
                  </w:r>
                </w:p>
              </w:tc>
              <w:tc>
                <w:tcPr>
                  <w:tcW w:w="1042" w:type="pct"/>
                  <w:vAlign w:val="center"/>
                </w:tcPr>
                <w:p w14:paraId="40076FCC">
                  <w:pPr>
                    <w:pStyle w:val="82"/>
                    <w:rPr>
                      <w:rFonts w:hint="default" w:eastAsia="宋体"/>
                      <w:color w:val="auto"/>
                      <w:lang w:val="en-US" w:eastAsia="zh-CN"/>
                    </w:rPr>
                  </w:pPr>
                  <w:r>
                    <w:rPr>
                      <w:rFonts w:hint="eastAsia"/>
                      <w:color w:val="auto"/>
                    </w:rPr>
                    <w:t>水彩笔是儿童常用的绘画工具</w:t>
                  </w:r>
                  <w:r>
                    <w:rPr>
                      <w:rFonts w:hint="eastAsia"/>
                      <w:color w:val="auto"/>
                      <w:lang w:val="en-US" w:eastAsia="zh-CN"/>
                    </w:rPr>
                    <w:t>或者用于标记、标号</w:t>
                  </w:r>
                </w:p>
              </w:tc>
            </w:tr>
          </w:tbl>
          <w:p w14:paraId="32699784">
            <w:pPr>
              <w:pStyle w:val="17"/>
              <w:ind w:firstLine="480"/>
              <w:rPr>
                <w:color w:val="auto"/>
              </w:rPr>
            </w:pPr>
            <w:r>
              <w:rPr>
                <w:color w:val="auto"/>
              </w:rPr>
              <w:t>（3）原辅材料</w:t>
            </w:r>
          </w:p>
          <w:p w14:paraId="36D3ECB5">
            <w:pPr>
              <w:pStyle w:val="17"/>
              <w:ind w:firstLine="480"/>
              <w:rPr>
                <w:rFonts w:hint="eastAsia"/>
                <w:color w:val="auto"/>
              </w:rPr>
            </w:pPr>
            <w:r>
              <w:rPr>
                <w:color w:val="auto"/>
              </w:rPr>
              <w:t>本项目主要原辅材料见表2-</w:t>
            </w:r>
            <w:r>
              <w:rPr>
                <w:rFonts w:hint="eastAsia"/>
                <w:color w:val="auto"/>
              </w:rPr>
              <w:t>5</w:t>
            </w:r>
            <w:r>
              <w:rPr>
                <w:color w:val="auto"/>
              </w:rPr>
              <w:t>。</w:t>
            </w:r>
          </w:p>
          <w:p w14:paraId="56E3354B">
            <w:pPr>
              <w:pStyle w:val="58"/>
              <w:ind w:firstLine="422"/>
              <w:rPr>
                <w:color w:val="auto"/>
              </w:rPr>
            </w:pPr>
            <w:r>
              <w:rPr>
                <w:color w:val="auto"/>
              </w:rPr>
              <w:t>表2-</w:t>
            </w:r>
            <w:r>
              <w:rPr>
                <w:rFonts w:hint="eastAsia"/>
                <w:color w:val="auto"/>
              </w:rPr>
              <w:t>5</w:t>
            </w:r>
            <w:r>
              <w:rPr>
                <w:color w:val="auto"/>
              </w:rPr>
              <w:t>主要原辅材料消耗情况</w:t>
            </w:r>
          </w:p>
          <w:tbl>
            <w:tblPr>
              <w:tblStyle w:val="3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768"/>
              <w:gridCol w:w="988"/>
              <w:gridCol w:w="1110"/>
              <w:gridCol w:w="714"/>
              <w:gridCol w:w="1171"/>
              <w:gridCol w:w="760"/>
              <w:gridCol w:w="1213"/>
            </w:tblGrid>
            <w:tr w14:paraId="6FAA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5EB8EA50">
                  <w:pPr>
                    <w:pStyle w:val="57"/>
                    <w:rPr>
                      <w:b/>
                      <w:bCs w:val="0"/>
                      <w:color w:val="auto"/>
                    </w:rPr>
                  </w:pPr>
                  <w:r>
                    <w:rPr>
                      <w:rFonts w:hint="eastAsia"/>
                      <w:b/>
                      <w:bCs w:val="0"/>
                      <w:color w:val="auto"/>
                    </w:rPr>
                    <w:t>序号</w:t>
                  </w:r>
                </w:p>
              </w:tc>
              <w:tc>
                <w:tcPr>
                  <w:tcW w:w="1031" w:type="pct"/>
                  <w:tcBorders>
                    <w:tl2br w:val="nil"/>
                    <w:tr2bl w:val="nil"/>
                  </w:tcBorders>
                  <w:vAlign w:val="center"/>
                </w:tcPr>
                <w:p w14:paraId="45AA7CA9">
                  <w:pPr>
                    <w:pStyle w:val="57"/>
                    <w:rPr>
                      <w:rFonts w:hint="eastAsia"/>
                      <w:b/>
                      <w:bCs w:val="0"/>
                      <w:color w:val="auto"/>
                    </w:rPr>
                  </w:pPr>
                  <w:r>
                    <w:rPr>
                      <w:rFonts w:hint="eastAsia"/>
                      <w:b/>
                      <w:bCs w:val="0"/>
                      <w:color w:val="auto"/>
                    </w:rPr>
                    <w:t>原辅材料名称</w:t>
                  </w:r>
                </w:p>
              </w:tc>
              <w:tc>
                <w:tcPr>
                  <w:tcW w:w="576" w:type="pct"/>
                  <w:tcBorders>
                    <w:tl2br w:val="nil"/>
                    <w:tr2bl w:val="nil"/>
                  </w:tcBorders>
                  <w:vAlign w:val="center"/>
                </w:tcPr>
                <w:p w14:paraId="79EC14EB">
                  <w:pPr>
                    <w:pStyle w:val="57"/>
                    <w:rPr>
                      <w:rFonts w:hint="eastAsia"/>
                      <w:b/>
                      <w:bCs w:val="0"/>
                      <w:color w:val="auto"/>
                    </w:rPr>
                  </w:pPr>
                  <w:r>
                    <w:rPr>
                      <w:rFonts w:hint="eastAsia"/>
                      <w:b/>
                      <w:bCs w:val="0"/>
                      <w:color w:val="auto"/>
                    </w:rPr>
                    <w:t>年用量</w:t>
                  </w:r>
                </w:p>
              </w:tc>
              <w:tc>
                <w:tcPr>
                  <w:tcW w:w="647" w:type="pct"/>
                  <w:tcBorders>
                    <w:tl2br w:val="nil"/>
                    <w:tr2bl w:val="nil"/>
                  </w:tcBorders>
                  <w:vAlign w:val="center"/>
                </w:tcPr>
                <w:p w14:paraId="12CB4659">
                  <w:pPr>
                    <w:pStyle w:val="57"/>
                    <w:rPr>
                      <w:rFonts w:hint="eastAsia"/>
                      <w:b/>
                      <w:bCs w:val="0"/>
                      <w:color w:val="auto"/>
                    </w:rPr>
                  </w:pPr>
                  <w:r>
                    <w:rPr>
                      <w:rFonts w:hint="eastAsia"/>
                      <w:b/>
                      <w:bCs w:val="0"/>
                      <w:color w:val="auto"/>
                    </w:rPr>
                    <w:t>最大贮存量</w:t>
                  </w:r>
                </w:p>
              </w:tc>
              <w:tc>
                <w:tcPr>
                  <w:tcW w:w="416" w:type="pct"/>
                  <w:tcBorders>
                    <w:tl2br w:val="nil"/>
                    <w:tr2bl w:val="nil"/>
                  </w:tcBorders>
                  <w:vAlign w:val="center"/>
                </w:tcPr>
                <w:p w14:paraId="7DE2D270">
                  <w:pPr>
                    <w:pStyle w:val="57"/>
                    <w:rPr>
                      <w:rFonts w:hint="eastAsia"/>
                      <w:b/>
                      <w:bCs w:val="0"/>
                      <w:color w:val="auto"/>
                    </w:rPr>
                  </w:pPr>
                  <w:r>
                    <w:rPr>
                      <w:rFonts w:hint="eastAsia"/>
                      <w:b/>
                      <w:bCs w:val="0"/>
                      <w:color w:val="auto"/>
                    </w:rPr>
                    <w:t>单位</w:t>
                  </w:r>
                </w:p>
              </w:tc>
              <w:tc>
                <w:tcPr>
                  <w:tcW w:w="683" w:type="pct"/>
                  <w:tcBorders>
                    <w:tl2br w:val="nil"/>
                    <w:tr2bl w:val="nil"/>
                  </w:tcBorders>
                  <w:vAlign w:val="center"/>
                </w:tcPr>
                <w:p w14:paraId="357C1B70">
                  <w:pPr>
                    <w:pStyle w:val="57"/>
                    <w:rPr>
                      <w:rFonts w:hint="eastAsia"/>
                      <w:b/>
                      <w:bCs w:val="0"/>
                      <w:color w:val="auto"/>
                    </w:rPr>
                  </w:pPr>
                  <w:r>
                    <w:rPr>
                      <w:rFonts w:hint="eastAsia"/>
                      <w:b/>
                      <w:bCs w:val="0"/>
                      <w:color w:val="auto"/>
                    </w:rPr>
                    <w:t>存储位置</w:t>
                  </w:r>
                </w:p>
              </w:tc>
              <w:tc>
                <w:tcPr>
                  <w:tcW w:w="443" w:type="pct"/>
                  <w:tcBorders>
                    <w:tl2br w:val="nil"/>
                    <w:tr2bl w:val="nil"/>
                  </w:tcBorders>
                  <w:vAlign w:val="center"/>
                </w:tcPr>
                <w:p w14:paraId="532C3C2E">
                  <w:pPr>
                    <w:pStyle w:val="57"/>
                    <w:rPr>
                      <w:rFonts w:hint="eastAsia"/>
                      <w:b/>
                      <w:bCs w:val="0"/>
                      <w:color w:val="auto"/>
                    </w:rPr>
                  </w:pPr>
                  <w:r>
                    <w:rPr>
                      <w:rFonts w:hint="eastAsia"/>
                      <w:b/>
                      <w:bCs w:val="0"/>
                      <w:color w:val="auto"/>
                    </w:rPr>
                    <w:t>形态</w:t>
                  </w:r>
                </w:p>
              </w:tc>
              <w:tc>
                <w:tcPr>
                  <w:tcW w:w="704" w:type="pct"/>
                  <w:tcBorders>
                    <w:tl2br w:val="nil"/>
                    <w:tr2bl w:val="nil"/>
                  </w:tcBorders>
                  <w:vAlign w:val="center"/>
                </w:tcPr>
                <w:p w14:paraId="5AC9A070">
                  <w:pPr>
                    <w:pStyle w:val="57"/>
                    <w:rPr>
                      <w:rFonts w:hint="eastAsia"/>
                      <w:b/>
                      <w:bCs w:val="0"/>
                      <w:color w:val="auto"/>
                    </w:rPr>
                  </w:pPr>
                  <w:r>
                    <w:rPr>
                      <w:rFonts w:hint="eastAsia"/>
                      <w:b/>
                      <w:bCs w:val="0"/>
                      <w:color w:val="auto"/>
                    </w:rPr>
                    <w:t>规格及包装方式</w:t>
                  </w:r>
                </w:p>
              </w:tc>
            </w:tr>
            <w:tr w14:paraId="300A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8"/>
                  <w:tcBorders>
                    <w:tl2br w:val="nil"/>
                    <w:tr2bl w:val="nil"/>
                  </w:tcBorders>
                  <w:vAlign w:val="center"/>
                </w:tcPr>
                <w:p w14:paraId="5F1EE192">
                  <w:pPr>
                    <w:pStyle w:val="57"/>
                    <w:rPr>
                      <w:color w:val="auto"/>
                    </w:rPr>
                  </w:pPr>
                  <w:r>
                    <w:rPr>
                      <w:rFonts w:hint="eastAsia"/>
                      <w:b/>
                      <w:bCs w:val="0"/>
                      <w:color w:val="auto"/>
                    </w:rPr>
                    <w:t>文具产品生产原料</w:t>
                  </w:r>
                </w:p>
              </w:tc>
            </w:tr>
            <w:tr w14:paraId="7BB4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497" w:type="pct"/>
                  <w:tcBorders>
                    <w:tl2br w:val="nil"/>
                    <w:tr2bl w:val="nil"/>
                  </w:tcBorders>
                  <w:vAlign w:val="center"/>
                </w:tcPr>
                <w:p w14:paraId="6B343E2C">
                  <w:pPr>
                    <w:pStyle w:val="57"/>
                    <w:rPr>
                      <w:color w:val="auto"/>
                    </w:rPr>
                  </w:pPr>
                  <w:r>
                    <w:rPr>
                      <w:rFonts w:hint="eastAsia"/>
                      <w:color w:val="auto"/>
                    </w:rPr>
                    <w:t>1</w:t>
                  </w:r>
                </w:p>
              </w:tc>
              <w:tc>
                <w:tcPr>
                  <w:tcW w:w="1031" w:type="pct"/>
                  <w:tcBorders>
                    <w:tl2br w:val="nil"/>
                    <w:tr2bl w:val="nil"/>
                  </w:tcBorders>
                  <w:vAlign w:val="center"/>
                </w:tcPr>
                <w:p w14:paraId="7169AFD8">
                  <w:pPr>
                    <w:pStyle w:val="57"/>
                    <w:rPr>
                      <w:color w:val="auto"/>
                    </w:rPr>
                  </w:pPr>
                  <w:r>
                    <w:rPr>
                      <w:rFonts w:hint="eastAsia"/>
                      <w:color w:val="auto"/>
                    </w:rPr>
                    <w:t>PP粒子（新料）</w:t>
                  </w:r>
                </w:p>
              </w:tc>
              <w:tc>
                <w:tcPr>
                  <w:tcW w:w="576" w:type="pct"/>
                  <w:tcBorders>
                    <w:tl2br w:val="nil"/>
                    <w:tr2bl w:val="nil"/>
                  </w:tcBorders>
                  <w:vAlign w:val="center"/>
                </w:tcPr>
                <w:p w14:paraId="74437705">
                  <w:pPr>
                    <w:pStyle w:val="57"/>
                    <w:rPr>
                      <w:color w:val="auto"/>
                    </w:rPr>
                  </w:pPr>
                  <w:r>
                    <w:rPr>
                      <w:rFonts w:hint="eastAsia"/>
                      <w:color w:val="auto"/>
                    </w:rPr>
                    <w:t>380</w:t>
                  </w:r>
                </w:p>
              </w:tc>
              <w:tc>
                <w:tcPr>
                  <w:tcW w:w="647" w:type="pct"/>
                  <w:tcBorders>
                    <w:tl2br w:val="nil"/>
                    <w:tr2bl w:val="nil"/>
                  </w:tcBorders>
                  <w:noWrap/>
                  <w:vAlign w:val="center"/>
                </w:tcPr>
                <w:p w14:paraId="4640FD49">
                  <w:pPr>
                    <w:pStyle w:val="57"/>
                    <w:rPr>
                      <w:color w:val="auto"/>
                    </w:rPr>
                  </w:pPr>
                  <w:r>
                    <w:rPr>
                      <w:rFonts w:hint="eastAsia"/>
                      <w:color w:val="auto"/>
                    </w:rPr>
                    <w:t>10</w:t>
                  </w:r>
                </w:p>
              </w:tc>
              <w:tc>
                <w:tcPr>
                  <w:tcW w:w="416" w:type="pct"/>
                  <w:tcBorders>
                    <w:tl2br w:val="nil"/>
                    <w:tr2bl w:val="nil"/>
                  </w:tcBorders>
                  <w:noWrap/>
                  <w:vAlign w:val="center"/>
                </w:tcPr>
                <w:p w14:paraId="419EEC50">
                  <w:pPr>
                    <w:pStyle w:val="57"/>
                    <w:rPr>
                      <w:rFonts w:hint="eastAsia"/>
                      <w:color w:val="auto"/>
                    </w:rPr>
                  </w:pPr>
                  <w:r>
                    <w:rPr>
                      <w:rFonts w:hint="eastAsia"/>
                      <w:color w:val="auto"/>
                    </w:rPr>
                    <w:t>吨</w:t>
                  </w:r>
                </w:p>
              </w:tc>
              <w:tc>
                <w:tcPr>
                  <w:tcW w:w="683" w:type="pct"/>
                  <w:tcBorders>
                    <w:tl2br w:val="nil"/>
                    <w:tr2bl w:val="nil"/>
                  </w:tcBorders>
                  <w:noWrap/>
                  <w:vAlign w:val="center"/>
                </w:tcPr>
                <w:p w14:paraId="536153D8">
                  <w:pPr>
                    <w:pStyle w:val="57"/>
                    <w:rPr>
                      <w:rFonts w:hint="eastAsia"/>
                      <w:color w:val="auto"/>
                    </w:rPr>
                  </w:pPr>
                  <w:r>
                    <w:rPr>
                      <w:rFonts w:hint="eastAsia"/>
                      <w:color w:val="auto"/>
                    </w:rPr>
                    <w:t>原料仓库</w:t>
                  </w:r>
                </w:p>
              </w:tc>
              <w:tc>
                <w:tcPr>
                  <w:tcW w:w="443" w:type="pct"/>
                  <w:tcBorders>
                    <w:tl2br w:val="nil"/>
                    <w:tr2bl w:val="nil"/>
                  </w:tcBorders>
                  <w:noWrap/>
                  <w:vAlign w:val="center"/>
                </w:tcPr>
                <w:p w14:paraId="7246FA9D">
                  <w:pPr>
                    <w:pStyle w:val="57"/>
                    <w:rPr>
                      <w:rFonts w:hint="eastAsia"/>
                      <w:color w:val="auto"/>
                    </w:rPr>
                  </w:pPr>
                  <w:r>
                    <w:rPr>
                      <w:rFonts w:hint="eastAsia"/>
                      <w:color w:val="auto"/>
                    </w:rPr>
                    <w:t>固体</w:t>
                  </w:r>
                </w:p>
              </w:tc>
              <w:tc>
                <w:tcPr>
                  <w:tcW w:w="704" w:type="pct"/>
                  <w:tcBorders>
                    <w:tl2br w:val="nil"/>
                    <w:tr2bl w:val="nil"/>
                  </w:tcBorders>
                  <w:noWrap/>
                  <w:vAlign w:val="center"/>
                </w:tcPr>
                <w:p w14:paraId="15346740">
                  <w:pPr>
                    <w:pStyle w:val="57"/>
                    <w:rPr>
                      <w:rFonts w:hint="eastAsia"/>
                      <w:color w:val="auto"/>
                    </w:rPr>
                  </w:pPr>
                  <w:r>
                    <w:rPr>
                      <w:color w:val="auto"/>
                    </w:rPr>
                    <w:t>25kg/</w:t>
                  </w:r>
                  <w:r>
                    <w:rPr>
                      <w:rFonts w:hint="eastAsia"/>
                      <w:color w:val="auto"/>
                    </w:rPr>
                    <w:t>袋</w:t>
                  </w:r>
                </w:p>
              </w:tc>
            </w:tr>
            <w:tr w14:paraId="21860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497" w:type="pct"/>
                  <w:tcBorders>
                    <w:tl2br w:val="nil"/>
                    <w:tr2bl w:val="nil"/>
                  </w:tcBorders>
                  <w:vAlign w:val="center"/>
                </w:tcPr>
                <w:p w14:paraId="5AD362E3">
                  <w:pPr>
                    <w:pStyle w:val="57"/>
                    <w:rPr>
                      <w:color w:val="auto"/>
                    </w:rPr>
                  </w:pPr>
                  <w:r>
                    <w:rPr>
                      <w:rFonts w:hint="eastAsia"/>
                      <w:color w:val="auto"/>
                    </w:rPr>
                    <w:t>2</w:t>
                  </w:r>
                </w:p>
              </w:tc>
              <w:tc>
                <w:tcPr>
                  <w:tcW w:w="1031" w:type="pct"/>
                  <w:tcBorders>
                    <w:tl2br w:val="nil"/>
                    <w:tr2bl w:val="nil"/>
                  </w:tcBorders>
                  <w:vAlign w:val="center"/>
                </w:tcPr>
                <w:p w14:paraId="05CC25D6">
                  <w:pPr>
                    <w:pStyle w:val="57"/>
                    <w:rPr>
                      <w:color w:val="auto"/>
                    </w:rPr>
                  </w:pPr>
                  <w:r>
                    <w:rPr>
                      <w:rFonts w:hint="eastAsia"/>
                      <w:color w:val="auto"/>
                    </w:rPr>
                    <w:t>色粉</w:t>
                  </w:r>
                </w:p>
              </w:tc>
              <w:tc>
                <w:tcPr>
                  <w:tcW w:w="576" w:type="pct"/>
                  <w:tcBorders>
                    <w:tl2br w:val="nil"/>
                    <w:tr2bl w:val="nil"/>
                  </w:tcBorders>
                  <w:vAlign w:val="center"/>
                </w:tcPr>
                <w:p w14:paraId="4D14F30F">
                  <w:pPr>
                    <w:pStyle w:val="57"/>
                    <w:rPr>
                      <w:color w:val="auto"/>
                    </w:rPr>
                  </w:pPr>
                  <w:r>
                    <w:rPr>
                      <w:rFonts w:hint="eastAsia"/>
                      <w:color w:val="auto"/>
                    </w:rPr>
                    <w:t>5</w:t>
                  </w:r>
                </w:p>
              </w:tc>
              <w:tc>
                <w:tcPr>
                  <w:tcW w:w="647" w:type="pct"/>
                  <w:tcBorders>
                    <w:tl2br w:val="nil"/>
                    <w:tr2bl w:val="nil"/>
                  </w:tcBorders>
                  <w:noWrap/>
                  <w:vAlign w:val="center"/>
                </w:tcPr>
                <w:p w14:paraId="0165320C">
                  <w:pPr>
                    <w:pStyle w:val="57"/>
                    <w:rPr>
                      <w:color w:val="auto"/>
                    </w:rPr>
                  </w:pPr>
                  <w:r>
                    <w:rPr>
                      <w:rFonts w:hint="eastAsia"/>
                      <w:color w:val="auto"/>
                    </w:rPr>
                    <w:t>0.5</w:t>
                  </w:r>
                </w:p>
              </w:tc>
              <w:tc>
                <w:tcPr>
                  <w:tcW w:w="416" w:type="pct"/>
                  <w:tcBorders>
                    <w:tl2br w:val="nil"/>
                    <w:tr2bl w:val="nil"/>
                  </w:tcBorders>
                  <w:noWrap/>
                  <w:vAlign w:val="center"/>
                </w:tcPr>
                <w:p w14:paraId="48BBEE2F">
                  <w:pPr>
                    <w:pStyle w:val="57"/>
                    <w:rPr>
                      <w:rFonts w:hint="eastAsia"/>
                      <w:color w:val="auto"/>
                    </w:rPr>
                  </w:pPr>
                  <w:r>
                    <w:rPr>
                      <w:rFonts w:hint="eastAsia"/>
                      <w:color w:val="auto"/>
                    </w:rPr>
                    <w:t>吨</w:t>
                  </w:r>
                </w:p>
              </w:tc>
              <w:tc>
                <w:tcPr>
                  <w:tcW w:w="683" w:type="pct"/>
                  <w:tcBorders>
                    <w:tl2br w:val="nil"/>
                    <w:tr2bl w:val="nil"/>
                  </w:tcBorders>
                  <w:noWrap/>
                  <w:vAlign w:val="center"/>
                </w:tcPr>
                <w:p w14:paraId="47C7EC68">
                  <w:pPr>
                    <w:pStyle w:val="57"/>
                    <w:rPr>
                      <w:rFonts w:hint="eastAsia"/>
                      <w:color w:val="auto"/>
                    </w:rPr>
                  </w:pPr>
                  <w:r>
                    <w:rPr>
                      <w:rFonts w:hint="eastAsia"/>
                      <w:color w:val="auto"/>
                    </w:rPr>
                    <w:t>原料仓库</w:t>
                  </w:r>
                </w:p>
              </w:tc>
              <w:tc>
                <w:tcPr>
                  <w:tcW w:w="443" w:type="pct"/>
                  <w:tcBorders>
                    <w:tl2br w:val="nil"/>
                    <w:tr2bl w:val="nil"/>
                  </w:tcBorders>
                  <w:noWrap/>
                  <w:vAlign w:val="center"/>
                </w:tcPr>
                <w:p w14:paraId="5BE1932E">
                  <w:pPr>
                    <w:pStyle w:val="57"/>
                    <w:rPr>
                      <w:color w:val="auto"/>
                    </w:rPr>
                  </w:pPr>
                  <w:r>
                    <w:rPr>
                      <w:rFonts w:hint="eastAsia"/>
                      <w:color w:val="auto"/>
                    </w:rPr>
                    <w:t>固体</w:t>
                  </w:r>
                </w:p>
              </w:tc>
              <w:tc>
                <w:tcPr>
                  <w:tcW w:w="704" w:type="pct"/>
                  <w:tcBorders>
                    <w:tl2br w:val="nil"/>
                    <w:tr2bl w:val="nil"/>
                  </w:tcBorders>
                  <w:noWrap/>
                  <w:vAlign w:val="center"/>
                </w:tcPr>
                <w:p w14:paraId="06D8BA15">
                  <w:pPr>
                    <w:pStyle w:val="57"/>
                    <w:rPr>
                      <w:color w:val="auto"/>
                    </w:rPr>
                  </w:pPr>
                  <w:r>
                    <w:rPr>
                      <w:color w:val="auto"/>
                    </w:rPr>
                    <w:t>25kg/</w:t>
                  </w:r>
                  <w:r>
                    <w:rPr>
                      <w:rFonts w:hint="eastAsia"/>
                      <w:color w:val="auto"/>
                    </w:rPr>
                    <w:t>袋</w:t>
                  </w:r>
                </w:p>
              </w:tc>
            </w:tr>
            <w:tr w14:paraId="03E6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703F02AC">
                  <w:pPr>
                    <w:pStyle w:val="57"/>
                    <w:rPr>
                      <w:color w:val="auto"/>
                    </w:rPr>
                  </w:pPr>
                  <w:r>
                    <w:rPr>
                      <w:rFonts w:hint="eastAsia"/>
                      <w:color w:val="auto"/>
                    </w:rPr>
                    <w:t>3</w:t>
                  </w:r>
                </w:p>
              </w:tc>
              <w:tc>
                <w:tcPr>
                  <w:tcW w:w="1031" w:type="pct"/>
                  <w:tcBorders>
                    <w:tl2br w:val="nil"/>
                    <w:tr2bl w:val="nil"/>
                  </w:tcBorders>
                  <w:vAlign w:val="center"/>
                </w:tcPr>
                <w:p w14:paraId="172106D6">
                  <w:pPr>
                    <w:pStyle w:val="57"/>
                    <w:rPr>
                      <w:color w:val="auto"/>
                    </w:rPr>
                  </w:pPr>
                  <w:r>
                    <w:rPr>
                      <w:rFonts w:hint="eastAsia"/>
                      <w:color w:val="auto"/>
                    </w:rPr>
                    <w:t>色母</w:t>
                  </w:r>
                </w:p>
              </w:tc>
              <w:tc>
                <w:tcPr>
                  <w:tcW w:w="576" w:type="pct"/>
                  <w:tcBorders>
                    <w:tl2br w:val="nil"/>
                    <w:tr2bl w:val="nil"/>
                  </w:tcBorders>
                  <w:vAlign w:val="center"/>
                </w:tcPr>
                <w:p w14:paraId="70051AE8">
                  <w:pPr>
                    <w:pStyle w:val="57"/>
                    <w:rPr>
                      <w:color w:val="auto"/>
                    </w:rPr>
                  </w:pPr>
                  <w:r>
                    <w:rPr>
                      <w:rFonts w:hint="eastAsia"/>
                      <w:color w:val="auto"/>
                    </w:rPr>
                    <w:t>15</w:t>
                  </w:r>
                </w:p>
              </w:tc>
              <w:tc>
                <w:tcPr>
                  <w:tcW w:w="647" w:type="pct"/>
                  <w:tcBorders>
                    <w:tl2br w:val="nil"/>
                    <w:tr2bl w:val="nil"/>
                  </w:tcBorders>
                  <w:noWrap/>
                  <w:vAlign w:val="center"/>
                </w:tcPr>
                <w:p w14:paraId="5B55AD99">
                  <w:pPr>
                    <w:pStyle w:val="57"/>
                    <w:rPr>
                      <w:color w:val="auto"/>
                    </w:rPr>
                  </w:pPr>
                  <w:r>
                    <w:rPr>
                      <w:rFonts w:hint="eastAsia"/>
                      <w:color w:val="auto"/>
                    </w:rPr>
                    <w:t>2</w:t>
                  </w:r>
                </w:p>
              </w:tc>
              <w:tc>
                <w:tcPr>
                  <w:tcW w:w="416" w:type="pct"/>
                  <w:tcBorders>
                    <w:tl2br w:val="nil"/>
                    <w:tr2bl w:val="nil"/>
                  </w:tcBorders>
                  <w:noWrap/>
                  <w:vAlign w:val="center"/>
                </w:tcPr>
                <w:p w14:paraId="6D72ECA6">
                  <w:pPr>
                    <w:pStyle w:val="57"/>
                    <w:rPr>
                      <w:rFonts w:hint="eastAsia"/>
                      <w:color w:val="auto"/>
                    </w:rPr>
                  </w:pPr>
                  <w:r>
                    <w:rPr>
                      <w:rFonts w:hint="eastAsia"/>
                      <w:color w:val="auto"/>
                    </w:rPr>
                    <w:t>吨</w:t>
                  </w:r>
                </w:p>
              </w:tc>
              <w:tc>
                <w:tcPr>
                  <w:tcW w:w="683" w:type="pct"/>
                  <w:tcBorders>
                    <w:tl2br w:val="nil"/>
                    <w:tr2bl w:val="nil"/>
                  </w:tcBorders>
                  <w:noWrap/>
                  <w:vAlign w:val="center"/>
                </w:tcPr>
                <w:p w14:paraId="1E3AC186">
                  <w:pPr>
                    <w:pStyle w:val="57"/>
                    <w:rPr>
                      <w:rFonts w:hint="eastAsia"/>
                      <w:color w:val="auto"/>
                    </w:rPr>
                  </w:pPr>
                  <w:r>
                    <w:rPr>
                      <w:rFonts w:hint="eastAsia"/>
                      <w:color w:val="auto"/>
                    </w:rPr>
                    <w:t>原料仓库</w:t>
                  </w:r>
                </w:p>
              </w:tc>
              <w:tc>
                <w:tcPr>
                  <w:tcW w:w="443" w:type="pct"/>
                  <w:tcBorders>
                    <w:tl2br w:val="nil"/>
                    <w:tr2bl w:val="nil"/>
                  </w:tcBorders>
                  <w:noWrap/>
                  <w:vAlign w:val="center"/>
                </w:tcPr>
                <w:p w14:paraId="3B3FDD17">
                  <w:pPr>
                    <w:pStyle w:val="57"/>
                    <w:rPr>
                      <w:rFonts w:hint="eastAsia"/>
                      <w:color w:val="auto"/>
                    </w:rPr>
                  </w:pPr>
                  <w:r>
                    <w:rPr>
                      <w:rFonts w:hint="eastAsia"/>
                      <w:color w:val="auto"/>
                    </w:rPr>
                    <w:t>固体</w:t>
                  </w:r>
                </w:p>
              </w:tc>
              <w:tc>
                <w:tcPr>
                  <w:tcW w:w="704" w:type="pct"/>
                  <w:tcBorders>
                    <w:tl2br w:val="nil"/>
                    <w:tr2bl w:val="nil"/>
                  </w:tcBorders>
                  <w:noWrap/>
                  <w:vAlign w:val="center"/>
                </w:tcPr>
                <w:p w14:paraId="6BC00049">
                  <w:pPr>
                    <w:pStyle w:val="57"/>
                    <w:rPr>
                      <w:rFonts w:hint="eastAsia"/>
                      <w:color w:val="auto"/>
                    </w:rPr>
                  </w:pPr>
                  <w:r>
                    <w:rPr>
                      <w:color w:val="auto"/>
                    </w:rPr>
                    <w:t>25kg/</w:t>
                  </w:r>
                  <w:r>
                    <w:rPr>
                      <w:rFonts w:hint="eastAsia"/>
                      <w:color w:val="auto"/>
                    </w:rPr>
                    <w:t>袋</w:t>
                  </w:r>
                </w:p>
              </w:tc>
            </w:tr>
            <w:tr w14:paraId="2E57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497" w:type="pct"/>
                  <w:tcBorders>
                    <w:tl2br w:val="nil"/>
                    <w:tr2bl w:val="nil"/>
                  </w:tcBorders>
                  <w:vAlign w:val="center"/>
                </w:tcPr>
                <w:p w14:paraId="275EB2AB">
                  <w:pPr>
                    <w:pStyle w:val="57"/>
                    <w:rPr>
                      <w:color w:val="auto"/>
                    </w:rPr>
                  </w:pPr>
                  <w:r>
                    <w:rPr>
                      <w:rFonts w:hint="eastAsia"/>
                      <w:color w:val="auto"/>
                    </w:rPr>
                    <w:t>4</w:t>
                  </w:r>
                </w:p>
              </w:tc>
              <w:tc>
                <w:tcPr>
                  <w:tcW w:w="1031" w:type="pct"/>
                  <w:tcBorders>
                    <w:tl2br w:val="nil"/>
                    <w:tr2bl w:val="nil"/>
                  </w:tcBorders>
                  <w:vAlign w:val="center"/>
                </w:tcPr>
                <w:p w14:paraId="0992159F">
                  <w:pPr>
                    <w:pStyle w:val="57"/>
                    <w:rPr>
                      <w:color w:val="auto"/>
                    </w:rPr>
                  </w:pPr>
                  <w:r>
                    <w:rPr>
                      <w:rFonts w:hint="eastAsia"/>
                      <w:color w:val="auto"/>
                    </w:rPr>
                    <w:t>水性油墨</w:t>
                  </w:r>
                </w:p>
              </w:tc>
              <w:tc>
                <w:tcPr>
                  <w:tcW w:w="576" w:type="pct"/>
                  <w:tcBorders>
                    <w:tl2br w:val="nil"/>
                    <w:tr2bl w:val="nil"/>
                  </w:tcBorders>
                  <w:vAlign w:val="center"/>
                </w:tcPr>
                <w:p w14:paraId="747CB48B">
                  <w:pPr>
                    <w:pStyle w:val="57"/>
                    <w:rPr>
                      <w:color w:val="auto"/>
                    </w:rPr>
                  </w:pPr>
                  <w:r>
                    <w:rPr>
                      <w:rFonts w:hint="eastAsia"/>
                      <w:color w:val="auto"/>
                    </w:rPr>
                    <w:t>1</w:t>
                  </w:r>
                </w:p>
              </w:tc>
              <w:tc>
                <w:tcPr>
                  <w:tcW w:w="647" w:type="pct"/>
                  <w:tcBorders>
                    <w:tl2br w:val="nil"/>
                    <w:tr2bl w:val="nil"/>
                  </w:tcBorders>
                  <w:noWrap/>
                  <w:vAlign w:val="center"/>
                </w:tcPr>
                <w:p w14:paraId="63B7B20B">
                  <w:pPr>
                    <w:pStyle w:val="57"/>
                    <w:rPr>
                      <w:color w:val="auto"/>
                    </w:rPr>
                  </w:pPr>
                  <w:r>
                    <w:rPr>
                      <w:rFonts w:hint="eastAsia"/>
                      <w:color w:val="auto"/>
                    </w:rPr>
                    <w:t>0.2</w:t>
                  </w:r>
                </w:p>
              </w:tc>
              <w:tc>
                <w:tcPr>
                  <w:tcW w:w="416" w:type="pct"/>
                  <w:tcBorders>
                    <w:tl2br w:val="nil"/>
                    <w:tr2bl w:val="nil"/>
                  </w:tcBorders>
                  <w:noWrap/>
                  <w:vAlign w:val="center"/>
                </w:tcPr>
                <w:p w14:paraId="1E036162">
                  <w:pPr>
                    <w:pStyle w:val="57"/>
                    <w:rPr>
                      <w:rFonts w:hint="eastAsia"/>
                      <w:color w:val="auto"/>
                    </w:rPr>
                  </w:pPr>
                  <w:r>
                    <w:rPr>
                      <w:rFonts w:hint="eastAsia"/>
                      <w:color w:val="auto"/>
                    </w:rPr>
                    <w:t>吨</w:t>
                  </w:r>
                </w:p>
              </w:tc>
              <w:tc>
                <w:tcPr>
                  <w:tcW w:w="683" w:type="pct"/>
                  <w:tcBorders>
                    <w:tl2br w:val="nil"/>
                    <w:tr2bl w:val="nil"/>
                  </w:tcBorders>
                  <w:noWrap/>
                  <w:vAlign w:val="center"/>
                </w:tcPr>
                <w:p w14:paraId="3C43FFB7">
                  <w:pPr>
                    <w:pStyle w:val="57"/>
                    <w:rPr>
                      <w:rFonts w:hint="eastAsia"/>
                      <w:color w:val="auto"/>
                    </w:rPr>
                  </w:pPr>
                  <w:r>
                    <w:rPr>
                      <w:rFonts w:hint="eastAsia"/>
                      <w:color w:val="auto"/>
                    </w:rPr>
                    <w:t>原料仓库</w:t>
                  </w:r>
                </w:p>
              </w:tc>
              <w:tc>
                <w:tcPr>
                  <w:tcW w:w="443" w:type="pct"/>
                  <w:tcBorders>
                    <w:tl2br w:val="nil"/>
                    <w:tr2bl w:val="nil"/>
                  </w:tcBorders>
                  <w:noWrap/>
                  <w:vAlign w:val="center"/>
                </w:tcPr>
                <w:p w14:paraId="41C5A1DF">
                  <w:pPr>
                    <w:pStyle w:val="57"/>
                    <w:rPr>
                      <w:color w:val="auto"/>
                    </w:rPr>
                  </w:pPr>
                  <w:r>
                    <w:rPr>
                      <w:rFonts w:hint="eastAsia"/>
                      <w:color w:val="auto"/>
                    </w:rPr>
                    <w:t>液体</w:t>
                  </w:r>
                </w:p>
              </w:tc>
              <w:tc>
                <w:tcPr>
                  <w:tcW w:w="704" w:type="pct"/>
                  <w:tcBorders>
                    <w:tl2br w:val="nil"/>
                    <w:tr2bl w:val="nil"/>
                  </w:tcBorders>
                  <w:noWrap/>
                  <w:vAlign w:val="center"/>
                </w:tcPr>
                <w:p w14:paraId="08A6BF5D">
                  <w:pPr>
                    <w:pStyle w:val="57"/>
                    <w:rPr>
                      <w:color w:val="auto"/>
                    </w:rPr>
                  </w:pPr>
                  <w:r>
                    <w:rPr>
                      <w:rFonts w:hint="eastAsia"/>
                      <w:color w:val="auto"/>
                    </w:rPr>
                    <w:t>25kg/桶</w:t>
                  </w:r>
                </w:p>
              </w:tc>
            </w:tr>
            <w:tr w14:paraId="4EAF9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6B7DC38F">
                  <w:pPr>
                    <w:pStyle w:val="57"/>
                    <w:rPr>
                      <w:color w:val="auto"/>
                    </w:rPr>
                  </w:pPr>
                  <w:r>
                    <w:rPr>
                      <w:rFonts w:hint="eastAsia"/>
                      <w:color w:val="auto"/>
                    </w:rPr>
                    <w:t>5</w:t>
                  </w:r>
                </w:p>
              </w:tc>
              <w:tc>
                <w:tcPr>
                  <w:tcW w:w="1031" w:type="pct"/>
                  <w:tcBorders>
                    <w:tl2br w:val="nil"/>
                    <w:tr2bl w:val="nil"/>
                  </w:tcBorders>
                  <w:vAlign w:val="center"/>
                </w:tcPr>
                <w:p w14:paraId="4711AA74">
                  <w:pPr>
                    <w:pStyle w:val="57"/>
                    <w:rPr>
                      <w:color w:val="auto"/>
                    </w:rPr>
                  </w:pPr>
                  <w:r>
                    <w:rPr>
                      <w:rFonts w:hint="eastAsia"/>
                      <w:color w:val="auto"/>
                    </w:rPr>
                    <w:t>水性墨水</w:t>
                  </w:r>
                </w:p>
              </w:tc>
              <w:tc>
                <w:tcPr>
                  <w:tcW w:w="576" w:type="pct"/>
                  <w:tcBorders>
                    <w:tl2br w:val="nil"/>
                    <w:tr2bl w:val="nil"/>
                  </w:tcBorders>
                  <w:vAlign w:val="center"/>
                </w:tcPr>
                <w:p w14:paraId="451519DF">
                  <w:pPr>
                    <w:pStyle w:val="57"/>
                    <w:rPr>
                      <w:color w:val="auto"/>
                    </w:rPr>
                  </w:pPr>
                  <w:r>
                    <w:rPr>
                      <w:rFonts w:hint="eastAsia"/>
                      <w:color w:val="auto"/>
                    </w:rPr>
                    <w:t>40</w:t>
                  </w:r>
                </w:p>
              </w:tc>
              <w:tc>
                <w:tcPr>
                  <w:tcW w:w="647" w:type="pct"/>
                  <w:tcBorders>
                    <w:tl2br w:val="nil"/>
                    <w:tr2bl w:val="nil"/>
                  </w:tcBorders>
                  <w:noWrap/>
                  <w:vAlign w:val="center"/>
                </w:tcPr>
                <w:p w14:paraId="703376B6">
                  <w:pPr>
                    <w:pStyle w:val="57"/>
                    <w:rPr>
                      <w:color w:val="auto"/>
                    </w:rPr>
                  </w:pPr>
                  <w:r>
                    <w:rPr>
                      <w:rFonts w:hint="eastAsia"/>
                      <w:color w:val="auto"/>
                    </w:rPr>
                    <w:t>4</w:t>
                  </w:r>
                </w:p>
              </w:tc>
              <w:tc>
                <w:tcPr>
                  <w:tcW w:w="416" w:type="pct"/>
                  <w:tcBorders>
                    <w:tl2br w:val="nil"/>
                    <w:tr2bl w:val="nil"/>
                  </w:tcBorders>
                  <w:noWrap/>
                  <w:vAlign w:val="center"/>
                </w:tcPr>
                <w:p w14:paraId="5FF2F193">
                  <w:pPr>
                    <w:pStyle w:val="57"/>
                    <w:rPr>
                      <w:rFonts w:hint="eastAsia"/>
                      <w:color w:val="auto"/>
                    </w:rPr>
                  </w:pPr>
                  <w:r>
                    <w:rPr>
                      <w:rFonts w:hint="eastAsia"/>
                      <w:color w:val="auto"/>
                    </w:rPr>
                    <w:t>吨</w:t>
                  </w:r>
                </w:p>
              </w:tc>
              <w:tc>
                <w:tcPr>
                  <w:tcW w:w="683" w:type="pct"/>
                  <w:tcBorders>
                    <w:tl2br w:val="nil"/>
                    <w:tr2bl w:val="nil"/>
                  </w:tcBorders>
                  <w:noWrap/>
                  <w:vAlign w:val="center"/>
                </w:tcPr>
                <w:p w14:paraId="29FEDB6B">
                  <w:pPr>
                    <w:pStyle w:val="57"/>
                    <w:rPr>
                      <w:rFonts w:hint="eastAsia"/>
                      <w:color w:val="auto"/>
                    </w:rPr>
                  </w:pPr>
                  <w:r>
                    <w:rPr>
                      <w:rFonts w:hint="eastAsia"/>
                      <w:color w:val="auto"/>
                    </w:rPr>
                    <w:t>原料仓库</w:t>
                  </w:r>
                </w:p>
              </w:tc>
              <w:tc>
                <w:tcPr>
                  <w:tcW w:w="443" w:type="pct"/>
                  <w:tcBorders>
                    <w:tl2br w:val="nil"/>
                    <w:tr2bl w:val="nil"/>
                  </w:tcBorders>
                  <w:noWrap/>
                  <w:vAlign w:val="center"/>
                </w:tcPr>
                <w:p w14:paraId="0392DF00">
                  <w:pPr>
                    <w:pStyle w:val="57"/>
                    <w:rPr>
                      <w:rFonts w:hint="eastAsia"/>
                      <w:color w:val="auto"/>
                    </w:rPr>
                  </w:pPr>
                  <w:r>
                    <w:rPr>
                      <w:rFonts w:hint="eastAsia"/>
                      <w:color w:val="auto"/>
                    </w:rPr>
                    <w:t>液体</w:t>
                  </w:r>
                </w:p>
              </w:tc>
              <w:tc>
                <w:tcPr>
                  <w:tcW w:w="704" w:type="pct"/>
                  <w:tcBorders>
                    <w:tl2br w:val="nil"/>
                    <w:tr2bl w:val="nil"/>
                  </w:tcBorders>
                  <w:noWrap/>
                  <w:vAlign w:val="center"/>
                </w:tcPr>
                <w:p w14:paraId="50E107AD">
                  <w:pPr>
                    <w:pStyle w:val="57"/>
                    <w:rPr>
                      <w:rFonts w:hint="eastAsia"/>
                      <w:color w:val="auto"/>
                    </w:rPr>
                  </w:pPr>
                  <w:r>
                    <w:rPr>
                      <w:rFonts w:hint="eastAsia"/>
                      <w:color w:val="auto"/>
                    </w:rPr>
                    <w:t>50kg/桶</w:t>
                  </w:r>
                </w:p>
              </w:tc>
            </w:tr>
            <w:tr w14:paraId="51E9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5001F4E0">
                  <w:pPr>
                    <w:pStyle w:val="57"/>
                    <w:rPr>
                      <w:color w:val="auto"/>
                    </w:rPr>
                  </w:pPr>
                  <w:r>
                    <w:rPr>
                      <w:rFonts w:hint="eastAsia"/>
                      <w:color w:val="auto"/>
                    </w:rPr>
                    <w:t>6</w:t>
                  </w:r>
                </w:p>
              </w:tc>
              <w:tc>
                <w:tcPr>
                  <w:tcW w:w="1031" w:type="pct"/>
                  <w:tcBorders>
                    <w:tl2br w:val="nil"/>
                    <w:tr2bl w:val="nil"/>
                  </w:tcBorders>
                  <w:vAlign w:val="center"/>
                </w:tcPr>
                <w:p w14:paraId="008D36ED">
                  <w:pPr>
                    <w:pStyle w:val="57"/>
                    <w:rPr>
                      <w:color w:val="auto"/>
                    </w:rPr>
                  </w:pPr>
                  <w:r>
                    <w:rPr>
                      <w:rFonts w:hint="eastAsia"/>
                      <w:color w:val="auto"/>
                    </w:rPr>
                    <w:t>油性墨水</w:t>
                  </w:r>
                </w:p>
              </w:tc>
              <w:tc>
                <w:tcPr>
                  <w:tcW w:w="576" w:type="pct"/>
                  <w:tcBorders>
                    <w:tl2br w:val="nil"/>
                    <w:tr2bl w:val="nil"/>
                  </w:tcBorders>
                  <w:vAlign w:val="center"/>
                </w:tcPr>
                <w:p w14:paraId="0CD8F5BE">
                  <w:pPr>
                    <w:pStyle w:val="57"/>
                    <w:rPr>
                      <w:color w:val="auto"/>
                    </w:rPr>
                  </w:pPr>
                  <w:r>
                    <w:rPr>
                      <w:rFonts w:hint="eastAsia"/>
                      <w:color w:val="auto"/>
                    </w:rPr>
                    <w:t>20</w:t>
                  </w:r>
                </w:p>
              </w:tc>
              <w:tc>
                <w:tcPr>
                  <w:tcW w:w="647" w:type="pct"/>
                  <w:tcBorders>
                    <w:tl2br w:val="nil"/>
                    <w:tr2bl w:val="nil"/>
                  </w:tcBorders>
                  <w:noWrap/>
                  <w:vAlign w:val="center"/>
                </w:tcPr>
                <w:p w14:paraId="20E5270D">
                  <w:pPr>
                    <w:pStyle w:val="57"/>
                    <w:rPr>
                      <w:color w:val="auto"/>
                    </w:rPr>
                  </w:pPr>
                  <w:r>
                    <w:rPr>
                      <w:rFonts w:hint="eastAsia"/>
                      <w:color w:val="auto"/>
                    </w:rPr>
                    <w:t>2</w:t>
                  </w:r>
                </w:p>
              </w:tc>
              <w:tc>
                <w:tcPr>
                  <w:tcW w:w="416" w:type="pct"/>
                  <w:tcBorders>
                    <w:tl2br w:val="nil"/>
                    <w:tr2bl w:val="nil"/>
                  </w:tcBorders>
                  <w:noWrap/>
                  <w:vAlign w:val="center"/>
                </w:tcPr>
                <w:p w14:paraId="6E7DFCC8">
                  <w:pPr>
                    <w:pStyle w:val="57"/>
                    <w:rPr>
                      <w:rFonts w:hint="eastAsia"/>
                      <w:color w:val="auto"/>
                    </w:rPr>
                  </w:pPr>
                  <w:r>
                    <w:rPr>
                      <w:rFonts w:hint="eastAsia"/>
                      <w:color w:val="auto"/>
                    </w:rPr>
                    <w:t>吨</w:t>
                  </w:r>
                </w:p>
              </w:tc>
              <w:tc>
                <w:tcPr>
                  <w:tcW w:w="683" w:type="pct"/>
                  <w:tcBorders>
                    <w:tl2br w:val="nil"/>
                    <w:tr2bl w:val="nil"/>
                  </w:tcBorders>
                  <w:noWrap/>
                  <w:vAlign w:val="center"/>
                </w:tcPr>
                <w:p w14:paraId="4B547DD7">
                  <w:pPr>
                    <w:pStyle w:val="57"/>
                    <w:rPr>
                      <w:rFonts w:hint="eastAsia"/>
                      <w:color w:val="auto"/>
                    </w:rPr>
                  </w:pPr>
                  <w:r>
                    <w:rPr>
                      <w:rFonts w:hint="eastAsia"/>
                      <w:color w:val="auto"/>
                    </w:rPr>
                    <w:t>原料仓库</w:t>
                  </w:r>
                </w:p>
              </w:tc>
              <w:tc>
                <w:tcPr>
                  <w:tcW w:w="443" w:type="pct"/>
                  <w:tcBorders>
                    <w:tl2br w:val="nil"/>
                    <w:tr2bl w:val="nil"/>
                  </w:tcBorders>
                  <w:noWrap/>
                  <w:vAlign w:val="center"/>
                </w:tcPr>
                <w:p w14:paraId="6A0E4DCA">
                  <w:pPr>
                    <w:pStyle w:val="57"/>
                    <w:rPr>
                      <w:rFonts w:hint="eastAsia"/>
                      <w:color w:val="auto"/>
                    </w:rPr>
                  </w:pPr>
                  <w:r>
                    <w:rPr>
                      <w:rFonts w:hint="eastAsia"/>
                      <w:color w:val="auto"/>
                    </w:rPr>
                    <w:t>液体</w:t>
                  </w:r>
                </w:p>
              </w:tc>
              <w:tc>
                <w:tcPr>
                  <w:tcW w:w="704" w:type="pct"/>
                  <w:tcBorders>
                    <w:tl2br w:val="nil"/>
                    <w:tr2bl w:val="nil"/>
                  </w:tcBorders>
                  <w:noWrap/>
                  <w:vAlign w:val="center"/>
                </w:tcPr>
                <w:p w14:paraId="6D57C3C9">
                  <w:pPr>
                    <w:pStyle w:val="57"/>
                    <w:rPr>
                      <w:rFonts w:hint="eastAsia"/>
                      <w:color w:val="auto"/>
                    </w:rPr>
                  </w:pPr>
                  <w:r>
                    <w:rPr>
                      <w:rFonts w:hint="eastAsia"/>
                      <w:color w:val="auto"/>
                    </w:rPr>
                    <w:t>50kg/桶</w:t>
                  </w:r>
                </w:p>
              </w:tc>
            </w:tr>
            <w:tr w14:paraId="69A4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293BD6A2">
                  <w:pPr>
                    <w:pStyle w:val="57"/>
                    <w:rPr>
                      <w:color w:val="auto"/>
                    </w:rPr>
                  </w:pPr>
                  <w:r>
                    <w:rPr>
                      <w:rFonts w:hint="eastAsia"/>
                      <w:color w:val="auto"/>
                    </w:rPr>
                    <w:t>7</w:t>
                  </w:r>
                </w:p>
              </w:tc>
              <w:tc>
                <w:tcPr>
                  <w:tcW w:w="1031" w:type="pct"/>
                  <w:tcBorders>
                    <w:tl2br w:val="nil"/>
                    <w:tr2bl w:val="nil"/>
                  </w:tcBorders>
                  <w:vAlign w:val="center"/>
                </w:tcPr>
                <w:p w14:paraId="7CFA7F52">
                  <w:pPr>
                    <w:pStyle w:val="57"/>
                    <w:rPr>
                      <w:color w:val="auto"/>
                    </w:rPr>
                  </w:pPr>
                  <w:r>
                    <w:rPr>
                      <w:rFonts w:hint="eastAsia"/>
                      <w:color w:val="auto"/>
                    </w:rPr>
                    <w:t>笔芯</w:t>
                  </w:r>
                </w:p>
              </w:tc>
              <w:tc>
                <w:tcPr>
                  <w:tcW w:w="576" w:type="pct"/>
                  <w:tcBorders>
                    <w:tl2br w:val="nil"/>
                    <w:tr2bl w:val="nil"/>
                  </w:tcBorders>
                  <w:vAlign w:val="center"/>
                </w:tcPr>
                <w:p w14:paraId="7B174A64">
                  <w:pPr>
                    <w:pStyle w:val="57"/>
                    <w:rPr>
                      <w:color w:val="auto"/>
                    </w:rPr>
                  </w:pPr>
                  <w:r>
                    <w:rPr>
                      <w:rFonts w:hint="eastAsia"/>
                      <w:color w:val="auto"/>
                    </w:rPr>
                    <w:t>2500</w:t>
                  </w:r>
                </w:p>
              </w:tc>
              <w:tc>
                <w:tcPr>
                  <w:tcW w:w="647" w:type="pct"/>
                  <w:tcBorders>
                    <w:tl2br w:val="nil"/>
                    <w:tr2bl w:val="nil"/>
                  </w:tcBorders>
                  <w:noWrap/>
                  <w:vAlign w:val="center"/>
                </w:tcPr>
                <w:p w14:paraId="57EE4C90">
                  <w:pPr>
                    <w:pStyle w:val="57"/>
                    <w:rPr>
                      <w:color w:val="auto"/>
                    </w:rPr>
                  </w:pPr>
                  <w:r>
                    <w:rPr>
                      <w:rFonts w:hint="eastAsia"/>
                      <w:color w:val="auto"/>
                    </w:rPr>
                    <w:t>200</w:t>
                  </w:r>
                </w:p>
              </w:tc>
              <w:tc>
                <w:tcPr>
                  <w:tcW w:w="416" w:type="pct"/>
                  <w:tcBorders>
                    <w:tl2br w:val="nil"/>
                    <w:tr2bl w:val="nil"/>
                  </w:tcBorders>
                  <w:noWrap/>
                  <w:vAlign w:val="center"/>
                </w:tcPr>
                <w:p w14:paraId="34C73D0E">
                  <w:pPr>
                    <w:pStyle w:val="57"/>
                    <w:rPr>
                      <w:color w:val="auto"/>
                    </w:rPr>
                  </w:pPr>
                  <w:r>
                    <w:rPr>
                      <w:rFonts w:hint="eastAsia"/>
                      <w:color w:val="auto"/>
                    </w:rPr>
                    <w:t>万件</w:t>
                  </w:r>
                </w:p>
              </w:tc>
              <w:tc>
                <w:tcPr>
                  <w:tcW w:w="683" w:type="pct"/>
                  <w:tcBorders>
                    <w:tl2br w:val="nil"/>
                    <w:tr2bl w:val="nil"/>
                  </w:tcBorders>
                  <w:noWrap/>
                  <w:vAlign w:val="center"/>
                </w:tcPr>
                <w:p w14:paraId="360C61C5">
                  <w:pPr>
                    <w:pStyle w:val="57"/>
                    <w:rPr>
                      <w:rFonts w:hint="eastAsia"/>
                      <w:color w:val="auto"/>
                    </w:rPr>
                  </w:pPr>
                  <w:r>
                    <w:rPr>
                      <w:rFonts w:hint="eastAsia"/>
                      <w:color w:val="auto"/>
                    </w:rPr>
                    <w:t>原料仓库</w:t>
                  </w:r>
                </w:p>
              </w:tc>
              <w:tc>
                <w:tcPr>
                  <w:tcW w:w="443" w:type="pct"/>
                  <w:tcBorders>
                    <w:tl2br w:val="nil"/>
                    <w:tr2bl w:val="nil"/>
                  </w:tcBorders>
                  <w:noWrap/>
                  <w:vAlign w:val="center"/>
                </w:tcPr>
                <w:p w14:paraId="5E485630">
                  <w:pPr>
                    <w:pStyle w:val="57"/>
                    <w:rPr>
                      <w:rFonts w:hint="eastAsia"/>
                      <w:color w:val="auto"/>
                    </w:rPr>
                  </w:pPr>
                  <w:r>
                    <w:rPr>
                      <w:rFonts w:hint="eastAsia"/>
                      <w:color w:val="auto"/>
                    </w:rPr>
                    <w:t>固体</w:t>
                  </w:r>
                </w:p>
              </w:tc>
              <w:tc>
                <w:tcPr>
                  <w:tcW w:w="704" w:type="pct"/>
                  <w:tcBorders>
                    <w:tl2br w:val="nil"/>
                    <w:tr2bl w:val="nil"/>
                  </w:tcBorders>
                  <w:noWrap/>
                  <w:vAlign w:val="center"/>
                </w:tcPr>
                <w:p w14:paraId="343E8511">
                  <w:pPr>
                    <w:pStyle w:val="57"/>
                    <w:rPr>
                      <w:rFonts w:hint="eastAsia"/>
                      <w:color w:val="auto"/>
                    </w:rPr>
                  </w:pPr>
                </w:p>
              </w:tc>
            </w:tr>
            <w:tr w14:paraId="3F99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7" w:type="pct"/>
                  <w:tcBorders>
                    <w:tl2br w:val="nil"/>
                    <w:tr2bl w:val="nil"/>
                  </w:tcBorders>
                  <w:vAlign w:val="center"/>
                </w:tcPr>
                <w:p w14:paraId="7EA4C22A">
                  <w:pPr>
                    <w:pStyle w:val="57"/>
                    <w:rPr>
                      <w:color w:val="auto"/>
                    </w:rPr>
                  </w:pPr>
                  <w:r>
                    <w:rPr>
                      <w:rFonts w:hint="eastAsia"/>
                      <w:color w:val="auto"/>
                    </w:rPr>
                    <w:t>8</w:t>
                  </w:r>
                </w:p>
              </w:tc>
              <w:tc>
                <w:tcPr>
                  <w:tcW w:w="1031" w:type="pct"/>
                  <w:tcBorders>
                    <w:tl2br w:val="nil"/>
                    <w:tr2bl w:val="nil"/>
                  </w:tcBorders>
                  <w:vAlign w:val="center"/>
                </w:tcPr>
                <w:p w14:paraId="2DC33E6A">
                  <w:pPr>
                    <w:pStyle w:val="57"/>
                    <w:rPr>
                      <w:color w:val="auto"/>
                    </w:rPr>
                  </w:pPr>
                  <w:r>
                    <w:rPr>
                      <w:rFonts w:hint="eastAsia"/>
                      <w:color w:val="auto"/>
                    </w:rPr>
                    <w:t>转印膜</w:t>
                  </w:r>
                </w:p>
              </w:tc>
              <w:tc>
                <w:tcPr>
                  <w:tcW w:w="988" w:type="dxa"/>
                  <w:tcBorders>
                    <w:tl2br w:val="nil"/>
                    <w:tr2bl w:val="nil"/>
                  </w:tcBorders>
                  <w:vAlign w:val="center"/>
                </w:tcPr>
                <w:p w14:paraId="62AA1A76">
                  <w:pPr>
                    <w:pStyle w:val="57"/>
                    <w:rPr>
                      <w:rFonts w:hint="default" w:eastAsia="宋体"/>
                      <w:color w:val="auto"/>
                      <w:lang w:val="en-US" w:eastAsia="zh-CN"/>
                    </w:rPr>
                  </w:pPr>
                  <w:r>
                    <w:rPr>
                      <w:rFonts w:hint="eastAsia"/>
                      <w:color w:val="auto"/>
                      <w:lang w:val="en-US" w:eastAsia="zh-CN"/>
                    </w:rPr>
                    <w:t>0.5</w:t>
                  </w:r>
                </w:p>
              </w:tc>
              <w:tc>
                <w:tcPr>
                  <w:tcW w:w="1110" w:type="dxa"/>
                  <w:tcBorders>
                    <w:tl2br w:val="nil"/>
                    <w:tr2bl w:val="nil"/>
                  </w:tcBorders>
                  <w:noWrap/>
                  <w:vAlign w:val="center"/>
                </w:tcPr>
                <w:p w14:paraId="633F76F9">
                  <w:pPr>
                    <w:pStyle w:val="57"/>
                    <w:rPr>
                      <w:rFonts w:hint="default" w:eastAsia="宋体"/>
                      <w:color w:val="auto"/>
                      <w:lang w:val="en-US" w:eastAsia="zh-CN"/>
                    </w:rPr>
                  </w:pPr>
                  <w:r>
                    <w:rPr>
                      <w:rFonts w:hint="eastAsia"/>
                      <w:color w:val="auto"/>
                      <w:lang w:val="en-US" w:eastAsia="zh-CN"/>
                    </w:rPr>
                    <w:t>0.1</w:t>
                  </w:r>
                </w:p>
              </w:tc>
              <w:tc>
                <w:tcPr>
                  <w:tcW w:w="714" w:type="dxa"/>
                  <w:tcBorders>
                    <w:tl2br w:val="nil"/>
                    <w:tr2bl w:val="nil"/>
                  </w:tcBorders>
                  <w:noWrap/>
                  <w:vAlign w:val="center"/>
                </w:tcPr>
                <w:p w14:paraId="24E39ABE">
                  <w:pPr>
                    <w:pStyle w:val="57"/>
                    <w:rPr>
                      <w:color w:val="auto"/>
                    </w:rPr>
                  </w:pPr>
                  <w:r>
                    <w:rPr>
                      <w:rFonts w:hint="eastAsia"/>
                      <w:color w:val="auto"/>
                    </w:rPr>
                    <w:t>吨</w:t>
                  </w:r>
                </w:p>
              </w:tc>
              <w:tc>
                <w:tcPr>
                  <w:tcW w:w="1173" w:type="dxa"/>
                  <w:tcBorders>
                    <w:tl2br w:val="nil"/>
                    <w:tr2bl w:val="nil"/>
                  </w:tcBorders>
                  <w:noWrap/>
                  <w:vAlign w:val="center"/>
                </w:tcPr>
                <w:p w14:paraId="4BBF8E4E">
                  <w:pPr>
                    <w:pStyle w:val="57"/>
                    <w:rPr>
                      <w:rFonts w:hint="eastAsia"/>
                      <w:color w:val="auto"/>
                    </w:rPr>
                  </w:pPr>
                  <w:r>
                    <w:rPr>
                      <w:rFonts w:hint="eastAsia"/>
                      <w:color w:val="auto"/>
                    </w:rPr>
                    <w:t>原料仓库</w:t>
                  </w:r>
                </w:p>
              </w:tc>
              <w:tc>
                <w:tcPr>
                  <w:tcW w:w="760" w:type="dxa"/>
                  <w:tcBorders>
                    <w:tl2br w:val="nil"/>
                    <w:tr2bl w:val="nil"/>
                  </w:tcBorders>
                  <w:noWrap/>
                  <w:vAlign w:val="center"/>
                </w:tcPr>
                <w:p w14:paraId="46CA0C71">
                  <w:pPr>
                    <w:pStyle w:val="57"/>
                    <w:rPr>
                      <w:rFonts w:hint="eastAsia"/>
                      <w:color w:val="auto"/>
                    </w:rPr>
                  </w:pPr>
                  <w:r>
                    <w:rPr>
                      <w:rFonts w:hint="eastAsia"/>
                      <w:color w:val="auto"/>
                    </w:rPr>
                    <w:t>固体</w:t>
                  </w:r>
                </w:p>
              </w:tc>
              <w:tc>
                <w:tcPr>
                  <w:tcW w:w="704" w:type="pct"/>
                  <w:tcBorders>
                    <w:tl2br w:val="nil"/>
                    <w:tr2bl w:val="nil"/>
                  </w:tcBorders>
                  <w:noWrap/>
                  <w:vAlign w:val="center"/>
                </w:tcPr>
                <w:p w14:paraId="32A52C9A">
                  <w:pPr>
                    <w:pStyle w:val="57"/>
                    <w:rPr>
                      <w:rFonts w:hint="eastAsia"/>
                      <w:color w:val="auto"/>
                    </w:rPr>
                  </w:pPr>
                </w:p>
              </w:tc>
            </w:tr>
            <w:tr w14:paraId="49CF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8"/>
                  <w:tcBorders>
                    <w:tl2br w:val="nil"/>
                    <w:tr2bl w:val="nil"/>
                  </w:tcBorders>
                  <w:vAlign w:val="center"/>
                </w:tcPr>
                <w:p w14:paraId="285878A6">
                  <w:pPr>
                    <w:pStyle w:val="57"/>
                    <w:rPr>
                      <w:color w:val="auto"/>
                    </w:rPr>
                  </w:pPr>
                  <w:r>
                    <w:rPr>
                      <w:rFonts w:hint="eastAsia"/>
                      <w:b/>
                      <w:bCs w:val="0"/>
                      <w:color w:val="auto"/>
                    </w:rPr>
                    <w:t>鞋服配件生产原料</w:t>
                  </w:r>
                </w:p>
              </w:tc>
            </w:tr>
            <w:tr w14:paraId="1273F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53" w:type="dxa"/>
                  <w:tcBorders>
                    <w:tl2br w:val="nil"/>
                    <w:tr2bl w:val="nil"/>
                  </w:tcBorders>
                  <w:vAlign w:val="center"/>
                </w:tcPr>
                <w:p w14:paraId="3EABF8AB">
                  <w:pPr>
                    <w:pStyle w:val="57"/>
                    <w:rPr>
                      <w:color w:val="auto"/>
                    </w:rPr>
                  </w:pPr>
                  <w:r>
                    <w:rPr>
                      <w:rFonts w:hint="eastAsia"/>
                      <w:color w:val="auto"/>
                    </w:rPr>
                    <w:t>1</w:t>
                  </w:r>
                </w:p>
              </w:tc>
              <w:tc>
                <w:tcPr>
                  <w:tcW w:w="1770" w:type="dxa"/>
                  <w:tcBorders>
                    <w:tl2br w:val="nil"/>
                    <w:tr2bl w:val="nil"/>
                  </w:tcBorders>
                  <w:vAlign w:val="center"/>
                </w:tcPr>
                <w:p w14:paraId="7EED20FA">
                  <w:pPr>
                    <w:pStyle w:val="57"/>
                    <w:rPr>
                      <w:color w:val="auto"/>
                    </w:rPr>
                  </w:pPr>
                  <w:r>
                    <w:rPr>
                      <w:rFonts w:hint="eastAsia"/>
                      <w:color w:val="auto"/>
                    </w:rPr>
                    <w:t>PP粒子（新料）</w:t>
                  </w:r>
                </w:p>
              </w:tc>
              <w:tc>
                <w:tcPr>
                  <w:tcW w:w="988" w:type="dxa"/>
                  <w:tcBorders>
                    <w:tl2br w:val="nil"/>
                    <w:tr2bl w:val="nil"/>
                  </w:tcBorders>
                  <w:vAlign w:val="center"/>
                </w:tcPr>
                <w:p w14:paraId="4129DEE4">
                  <w:pPr>
                    <w:pStyle w:val="57"/>
                    <w:rPr>
                      <w:color w:val="auto"/>
                    </w:rPr>
                  </w:pPr>
                  <w:r>
                    <w:rPr>
                      <w:rFonts w:hint="eastAsia"/>
                      <w:color w:val="auto"/>
                    </w:rPr>
                    <w:t>990</w:t>
                  </w:r>
                </w:p>
              </w:tc>
              <w:tc>
                <w:tcPr>
                  <w:tcW w:w="1110" w:type="dxa"/>
                  <w:tcBorders>
                    <w:tl2br w:val="nil"/>
                    <w:tr2bl w:val="nil"/>
                  </w:tcBorders>
                  <w:noWrap/>
                  <w:vAlign w:val="center"/>
                </w:tcPr>
                <w:p w14:paraId="1F62CECB">
                  <w:pPr>
                    <w:pStyle w:val="57"/>
                    <w:rPr>
                      <w:color w:val="auto"/>
                    </w:rPr>
                  </w:pPr>
                  <w:r>
                    <w:rPr>
                      <w:rFonts w:hint="eastAsia"/>
                      <w:color w:val="auto"/>
                    </w:rPr>
                    <w:t>10</w:t>
                  </w:r>
                </w:p>
              </w:tc>
              <w:tc>
                <w:tcPr>
                  <w:tcW w:w="714" w:type="dxa"/>
                  <w:tcBorders>
                    <w:tl2br w:val="nil"/>
                    <w:tr2bl w:val="nil"/>
                  </w:tcBorders>
                  <w:noWrap/>
                  <w:vAlign w:val="center"/>
                </w:tcPr>
                <w:p w14:paraId="1862AE8E">
                  <w:pPr>
                    <w:pStyle w:val="57"/>
                    <w:rPr>
                      <w:rFonts w:hint="eastAsia"/>
                      <w:color w:val="auto"/>
                    </w:rPr>
                  </w:pPr>
                  <w:r>
                    <w:rPr>
                      <w:rFonts w:hint="eastAsia"/>
                      <w:color w:val="auto"/>
                    </w:rPr>
                    <w:t>吨</w:t>
                  </w:r>
                </w:p>
              </w:tc>
              <w:tc>
                <w:tcPr>
                  <w:tcW w:w="1173" w:type="dxa"/>
                  <w:tcBorders>
                    <w:tl2br w:val="nil"/>
                    <w:tr2bl w:val="nil"/>
                  </w:tcBorders>
                  <w:noWrap/>
                  <w:vAlign w:val="center"/>
                </w:tcPr>
                <w:p w14:paraId="04A08764">
                  <w:pPr>
                    <w:pStyle w:val="57"/>
                    <w:rPr>
                      <w:color w:val="auto"/>
                    </w:rPr>
                  </w:pPr>
                  <w:r>
                    <w:rPr>
                      <w:rFonts w:hint="eastAsia"/>
                      <w:color w:val="auto"/>
                    </w:rPr>
                    <w:t>原料仓库</w:t>
                  </w:r>
                </w:p>
              </w:tc>
              <w:tc>
                <w:tcPr>
                  <w:tcW w:w="760" w:type="dxa"/>
                  <w:tcBorders>
                    <w:tl2br w:val="nil"/>
                    <w:tr2bl w:val="nil"/>
                  </w:tcBorders>
                  <w:noWrap/>
                  <w:vAlign w:val="center"/>
                </w:tcPr>
                <w:p w14:paraId="0B36E770">
                  <w:pPr>
                    <w:pStyle w:val="57"/>
                    <w:rPr>
                      <w:rFonts w:hint="eastAsia"/>
                      <w:color w:val="auto"/>
                    </w:rPr>
                  </w:pPr>
                  <w:r>
                    <w:rPr>
                      <w:rFonts w:hint="eastAsia"/>
                      <w:color w:val="auto"/>
                    </w:rPr>
                    <w:t>固体</w:t>
                  </w:r>
                </w:p>
              </w:tc>
              <w:tc>
                <w:tcPr>
                  <w:tcW w:w="1208" w:type="dxa"/>
                  <w:tcBorders>
                    <w:tl2br w:val="nil"/>
                    <w:tr2bl w:val="nil"/>
                  </w:tcBorders>
                  <w:noWrap/>
                  <w:vAlign w:val="center"/>
                </w:tcPr>
                <w:p w14:paraId="20EF48DF">
                  <w:pPr>
                    <w:pStyle w:val="57"/>
                    <w:rPr>
                      <w:rFonts w:hint="eastAsia"/>
                      <w:color w:val="auto"/>
                    </w:rPr>
                  </w:pPr>
                  <w:r>
                    <w:rPr>
                      <w:color w:val="auto"/>
                    </w:rPr>
                    <w:t>25kg/</w:t>
                  </w:r>
                  <w:r>
                    <w:rPr>
                      <w:rFonts w:hint="eastAsia"/>
                      <w:color w:val="auto"/>
                    </w:rPr>
                    <w:t>袋</w:t>
                  </w:r>
                </w:p>
              </w:tc>
            </w:tr>
            <w:tr w14:paraId="5E3F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53" w:type="dxa"/>
                  <w:tcBorders>
                    <w:tl2br w:val="nil"/>
                    <w:tr2bl w:val="nil"/>
                  </w:tcBorders>
                  <w:vAlign w:val="center"/>
                </w:tcPr>
                <w:p w14:paraId="06A5081B">
                  <w:pPr>
                    <w:pStyle w:val="57"/>
                    <w:rPr>
                      <w:rFonts w:hint="eastAsia"/>
                      <w:color w:val="auto"/>
                    </w:rPr>
                  </w:pPr>
                  <w:r>
                    <w:rPr>
                      <w:rFonts w:hint="eastAsia"/>
                      <w:color w:val="auto"/>
                    </w:rPr>
                    <w:t>2</w:t>
                  </w:r>
                </w:p>
              </w:tc>
              <w:tc>
                <w:tcPr>
                  <w:tcW w:w="1770" w:type="dxa"/>
                  <w:tcBorders>
                    <w:tl2br w:val="nil"/>
                    <w:tr2bl w:val="nil"/>
                  </w:tcBorders>
                  <w:vAlign w:val="center"/>
                </w:tcPr>
                <w:p w14:paraId="5C6C21C8">
                  <w:pPr>
                    <w:pStyle w:val="57"/>
                    <w:rPr>
                      <w:color w:val="auto"/>
                    </w:rPr>
                  </w:pPr>
                  <w:r>
                    <w:rPr>
                      <w:rFonts w:hint="eastAsia"/>
                      <w:color w:val="auto"/>
                    </w:rPr>
                    <w:t>色母</w:t>
                  </w:r>
                </w:p>
              </w:tc>
              <w:tc>
                <w:tcPr>
                  <w:tcW w:w="988" w:type="dxa"/>
                  <w:tcBorders>
                    <w:tl2br w:val="nil"/>
                    <w:tr2bl w:val="nil"/>
                  </w:tcBorders>
                  <w:vAlign w:val="center"/>
                </w:tcPr>
                <w:p w14:paraId="0A3708EC">
                  <w:pPr>
                    <w:pStyle w:val="57"/>
                    <w:rPr>
                      <w:color w:val="auto"/>
                    </w:rPr>
                  </w:pPr>
                  <w:r>
                    <w:rPr>
                      <w:rFonts w:hint="eastAsia"/>
                      <w:color w:val="auto"/>
                    </w:rPr>
                    <w:t>10</w:t>
                  </w:r>
                </w:p>
              </w:tc>
              <w:tc>
                <w:tcPr>
                  <w:tcW w:w="1110" w:type="dxa"/>
                  <w:tcBorders>
                    <w:tl2br w:val="nil"/>
                    <w:tr2bl w:val="nil"/>
                  </w:tcBorders>
                  <w:noWrap/>
                  <w:vAlign w:val="center"/>
                </w:tcPr>
                <w:p w14:paraId="27BC2855">
                  <w:pPr>
                    <w:pStyle w:val="57"/>
                    <w:rPr>
                      <w:rFonts w:hint="eastAsia"/>
                      <w:color w:val="auto"/>
                    </w:rPr>
                  </w:pPr>
                  <w:r>
                    <w:rPr>
                      <w:rFonts w:hint="eastAsia"/>
                      <w:color w:val="auto"/>
                    </w:rPr>
                    <w:t>0.5</w:t>
                  </w:r>
                </w:p>
              </w:tc>
              <w:tc>
                <w:tcPr>
                  <w:tcW w:w="714" w:type="dxa"/>
                  <w:tcBorders>
                    <w:tl2br w:val="nil"/>
                    <w:tr2bl w:val="nil"/>
                  </w:tcBorders>
                  <w:noWrap/>
                  <w:vAlign w:val="center"/>
                </w:tcPr>
                <w:p w14:paraId="3300E0B1">
                  <w:pPr>
                    <w:pStyle w:val="57"/>
                    <w:rPr>
                      <w:rFonts w:hint="eastAsia"/>
                      <w:color w:val="auto"/>
                    </w:rPr>
                  </w:pPr>
                  <w:r>
                    <w:rPr>
                      <w:rFonts w:hint="eastAsia"/>
                      <w:color w:val="auto"/>
                    </w:rPr>
                    <w:t>吨</w:t>
                  </w:r>
                </w:p>
              </w:tc>
              <w:tc>
                <w:tcPr>
                  <w:tcW w:w="1173" w:type="dxa"/>
                  <w:tcBorders>
                    <w:tl2br w:val="nil"/>
                    <w:tr2bl w:val="nil"/>
                  </w:tcBorders>
                  <w:noWrap/>
                  <w:vAlign w:val="center"/>
                </w:tcPr>
                <w:p w14:paraId="07EFDC61">
                  <w:pPr>
                    <w:pStyle w:val="57"/>
                    <w:rPr>
                      <w:rFonts w:hint="eastAsia"/>
                      <w:color w:val="auto"/>
                    </w:rPr>
                  </w:pPr>
                  <w:r>
                    <w:rPr>
                      <w:rFonts w:hint="eastAsia"/>
                      <w:color w:val="auto"/>
                    </w:rPr>
                    <w:t>原料仓库</w:t>
                  </w:r>
                </w:p>
              </w:tc>
              <w:tc>
                <w:tcPr>
                  <w:tcW w:w="760" w:type="dxa"/>
                  <w:tcBorders>
                    <w:tl2br w:val="nil"/>
                    <w:tr2bl w:val="nil"/>
                  </w:tcBorders>
                  <w:noWrap/>
                  <w:vAlign w:val="center"/>
                </w:tcPr>
                <w:p w14:paraId="6358AE9B">
                  <w:pPr>
                    <w:pStyle w:val="57"/>
                    <w:rPr>
                      <w:rFonts w:hint="eastAsia"/>
                      <w:color w:val="auto"/>
                    </w:rPr>
                  </w:pPr>
                  <w:r>
                    <w:rPr>
                      <w:rFonts w:hint="eastAsia"/>
                      <w:color w:val="auto"/>
                    </w:rPr>
                    <w:t>固体</w:t>
                  </w:r>
                </w:p>
              </w:tc>
              <w:tc>
                <w:tcPr>
                  <w:tcW w:w="1208" w:type="dxa"/>
                  <w:tcBorders>
                    <w:tl2br w:val="nil"/>
                    <w:tr2bl w:val="nil"/>
                  </w:tcBorders>
                  <w:noWrap/>
                  <w:vAlign w:val="center"/>
                </w:tcPr>
                <w:p w14:paraId="61827770">
                  <w:pPr>
                    <w:pStyle w:val="57"/>
                    <w:rPr>
                      <w:rFonts w:hint="eastAsia"/>
                      <w:color w:val="auto"/>
                    </w:rPr>
                  </w:pPr>
                  <w:r>
                    <w:rPr>
                      <w:color w:val="auto"/>
                    </w:rPr>
                    <w:t>25kg/</w:t>
                  </w:r>
                  <w:r>
                    <w:rPr>
                      <w:rFonts w:hint="eastAsia"/>
                      <w:color w:val="auto"/>
                    </w:rPr>
                    <w:t>袋</w:t>
                  </w:r>
                </w:p>
              </w:tc>
            </w:tr>
          </w:tbl>
          <w:p w14:paraId="67ECE5E8">
            <w:pPr>
              <w:pStyle w:val="58"/>
              <w:ind w:firstLine="422"/>
              <w:rPr>
                <w:color w:val="auto"/>
              </w:rPr>
            </w:pPr>
            <w:r>
              <w:rPr>
                <w:color w:val="auto"/>
              </w:rPr>
              <w:t>表</w:t>
            </w:r>
            <w:r>
              <w:rPr>
                <w:rFonts w:hint="eastAsia"/>
                <w:color w:val="auto"/>
              </w:rPr>
              <w:t>2-6</w:t>
            </w:r>
            <w:r>
              <w:rPr>
                <w:color w:val="auto"/>
              </w:rPr>
              <w:t>主要原料化学成分一览表</w:t>
            </w:r>
          </w:p>
          <w:tbl>
            <w:tblPr>
              <w:tblStyle w:val="3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6178"/>
              <w:gridCol w:w="1361"/>
            </w:tblGrid>
            <w:tr w14:paraId="76781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tcBorders>
                    <w:tl2br w:val="nil"/>
                    <w:tr2bl w:val="nil"/>
                  </w:tcBorders>
                  <w:vAlign w:val="center"/>
                </w:tcPr>
                <w:p w14:paraId="20BC82D2">
                  <w:pPr>
                    <w:pStyle w:val="57"/>
                    <w:rPr>
                      <w:b/>
                      <w:bCs w:val="0"/>
                      <w:color w:val="auto"/>
                    </w:rPr>
                  </w:pPr>
                  <w:r>
                    <w:rPr>
                      <w:b/>
                      <w:bCs w:val="0"/>
                      <w:color w:val="auto"/>
                    </w:rPr>
                    <w:t>名称</w:t>
                  </w:r>
                </w:p>
              </w:tc>
              <w:tc>
                <w:tcPr>
                  <w:tcW w:w="3602" w:type="pct"/>
                  <w:tcBorders>
                    <w:tl2br w:val="nil"/>
                    <w:tr2bl w:val="nil"/>
                  </w:tcBorders>
                  <w:vAlign w:val="center"/>
                </w:tcPr>
                <w:p w14:paraId="16D9E733">
                  <w:pPr>
                    <w:pStyle w:val="57"/>
                    <w:rPr>
                      <w:b/>
                      <w:bCs w:val="0"/>
                      <w:color w:val="auto"/>
                    </w:rPr>
                  </w:pPr>
                  <w:r>
                    <w:rPr>
                      <w:b/>
                      <w:bCs w:val="0"/>
                      <w:color w:val="auto"/>
                    </w:rPr>
                    <w:t>组成</w:t>
                  </w:r>
                </w:p>
              </w:tc>
              <w:tc>
                <w:tcPr>
                  <w:tcW w:w="794" w:type="pct"/>
                  <w:tcBorders>
                    <w:tl2br w:val="nil"/>
                    <w:tr2bl w:val="nil"/>
                  </w:tcBorders>
                  <w:vAlign w:val="center"/>
                </w:tcPr>
                <w:p w14:paraId="13EB4048">
                  <w:pPr>
                    <w:pStyle w:val="57"/>
                    <w:rPr>
                      <w:rFonts w:hint="eastAsia"/>
                      <w:b/>
                      <w:bCs w:val="0"/>
                      <w:color w:val="auto"/>
                    </w:rPr>
                  </w:pPr>
                  <w:r>
                    <w:rPr>
                      <w:rFonts w:hint="eastAsia"/>
                      <w:b/>
                      <w:bCs w:val="0"/>
                      <w:color w:val="auto"/>
                    </w:rPr>
                    <w:t>占比</w:t>
                  </w:r>
                </w:p>
              </w:tc>
            </w:tr>
            <w:tr w14:paraId="404F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03" w:type="pct"/>
                  <w:vMerge w:val="restart"/>
                  <w:tcBorders>
                    <w:tl2br w:val="nil"/>
                    <w:tr2bl w:val="nil"/>
                  </w:tcBorders>
                  <w:vAlign w:val="center"/>
                </w:tcPr>
                <w:p w14:paraId="2E8410B3">
                  <w:pPr>
                    <w:pStyle w:val="57"/>
                    <w:rPr>
                      <w:color w:val="auto"/>
                    </w:rPr>
                  </w:pPr>
                  <w:r>
                    <w:rPr>
                      <w:rFonts w:hint="eastAsia"/>
                      <w:color w:val="auto"/>
                    </w:rPr>
                    <w:t>水性油墨</w:t>
                  </w:r>
                </w:p>
              </w:tc>
              <w:tc>
                <w:tcPr>
                  <w:tcW w:w="3602" w:type="pct"/>
                  <w:tcBorders>
                    <w:tl2br w:val="nil"/>
                    <w:tr2bl w:val="nil"/>
                  </w:tcBorders>
                  <w:vAlign w:val="center"/>
                </w:tcPr>
                <w:p w14:paraId="49A63068">
                  <w:pPr>
                    <w:pStyle w:val="57"/>
                    <w:rPr>
                      <w:color w:val="auto"/>
                    </w:rPr>
                  </w:pPr>
                  <w:r>
                    <w:rPr>
                      <w:rFonts w:hint="eastAsia"/>
                      <w:color w:val="auto"/>
                    </w:rPr>
                    <w:t>水</w:t>
                  </w:r>
                </w:p>
              </w:tc>
              <w:tc>
                <w:tcPr>
                  <w:tcW w:w="794" w:type="pct"/>
                  <w:tcBorders>
                    <w:tl2br w:val="nil"/>
                    <w:tr2bl w:val="nil"/>
                  </w:tcBorders>
                  <w:vAlign w:val="center"/>
                </w:tcPr>
                <w:p w14:paraId="21C7A403">
                  <w:pPr>
                    <w:pStyle w:val="57"/>
                    <w:rPr>
                      <w:rFonts w:hint="eastAsia"/>
                      <w:color w:val="auto"/>
                    </w:rPr>
                  </w:pPr>
                  <w:r>
                    <w:rPr>
                      <w:rFonts w:hint="eastAsia"/>
                      <w:color w:val="auto"/>
                    </w:rPr>
                    <w:t>40-60%</w:t>
                  </w:r>
                </w:p>
              </w:tc>
            </w:tr>
            <w:tr w14:paraId="09A64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4BD10697">
                  <w:pPr>
                    <w:pStyle w:val="57"/>
                    <w:rPr>
                      <w:color w:val="auto"/>
                    </w:rPr>
                  </w:pPr>
                </w:p>
              </w:tc>
              <w:tc>
                <w:tcPr>
                  <w:tcW w:w="3602" w:type="pct"/>
                  <w:tcBorders>
                    <w:tl2br w:val="nil"/>
                    <w:tr2bl w:val="nil"/>
                  </w:tcBorders>
                  <w:vAlign w:val="center"/>
                </w:tcPr>
                <w:p w14:paraId="1BAC936D">
                  <w:pPr>
                    <w:pStyle w:val="57"/>
                    <w:rPr>
                      <w:rFonts w:hint="eastAsia"/>
                      <w:color w:val="auto"/>
                    </w:rPr>
                  </w:pPr>
                  <w:r>
                    <w:rPr>
                      <w:rFonts w:hint="eastAsia"/>
                      <w:color w:val="auto"/>
                    </w:rPr>
                    <w:t>水性聚氨酯树脂</w:t>
                  </w:r>
                </w:p>
              </w:tc>
              <w:tc>
                <w:tcPr>
                  <w:tcW w:w="794" w:type="pct"/>
                  <w:tcBorders>
                    <w:tl2br w:val="nil"/>
                    <w:tr2bl w:val="nil"/>
                  </w:tcBorders>
                  <w:vAlign w:val="center"/>
                </w:tcPr>
                <w:p w14:paraId="44383407">
                  <w:pPr>
                    <w:pStyle w:val="57"/>
                    <w:rPr>
                      <w:rFonts w:hint="eastAsia"/>
                      <w:color w:val="auto"/>
                    </w:rPr>
                  </w:pPr>
                  <w:r>
                    <w:rPr>
                      <w:rFonts w:hint="eastAsia"/>
                      <w:color w:val="auto"/>
                    </w:rPr>
                    <w:t>30-45%</w:t>
                  </w:r>
                </w:p>
              </w:tc>
            </w:tr>
            <w:tr w14:paraId="6B81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6953E1CC">
                  <w:pPr>
                    <w:pStyle w:val="57"/>
                    <w:rPr>
                      <w:color w:val="auto"/>
                    </w:rPr>
                  </w:pPr>
                </w:p>
              </w:tc>
              <w:tc>
                <w:tcPr>
                  <w:tcW w:w="3602" w:type="pct"/>
                  <w:tcBorders>
                    <w:tl2br w:val="nil"/>
                    <w:tr2bl w:val="nil"/>
                  </w:tcBorders>
                  <w:vAlign w:val="center"/>
                </w:tcPr>
                <w:p w14:paraId="3D1DA287">
                  <w:pPr>
                    <w:pStyle w:val="57"/>
                    <w:rPr>
                      <w:color w:val="auto"/>
                    </w:rPr>
                  </w:pPr>
                  <w:r>
                    <w:rPr>
                      <w:rFonts w:hint="eastAsia"/>
                      <w:color w:val="auto"/>
                    </w:rPr>
                    <w:t>色粉</w:t>
                  </w:r>
                </w:p>
              </w:tc>
              <w:tc>
                <w:tcPr>
                  <w:tcW w:w="794" w:type="pct"/>
                  <w:tcBorders>
                    <w:tl2br w:val="nil"/>
                    <w:tr2bl w:val="nil"/>
                  </w:tcBorders>
                  <w:vAlign w:val="center"/>
                </w:tcPr>
                <w:p w14:paraId="01A2DB94">
                  <w:pPr>
                    <w:pStyle w:val="57"/>
                    <w:rPr>
                      <w:rFonts w:hint="eastAsia"/>
                      <w:color w:val="auto"/>
                    </w:rPr>
                  </w:pPr>
                  <w:r>
                    <w:rPr>
                      <w:rFonts w:hint="eastAsia"/>
                      <w:color w:val="auto"/>
                    </w:rPr>
                    <w:t>0-20%</w:t>
                  </w:r>
                </w:p>
              </w:tc>
            </w:tr>
            <w:tr w14:paraId="2B00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67985615">
                  <w:pPr>
                    <w:pStyle w:val="57"/>
                    <w:rPr>
                      <w:color w:val="auto"/>
                    </w:rPr>
                  </w:pPr>
                </w:p>
              </w:tc>
              <w:tc>
                <w:tcPr>
                  <w:tcW w:w="3602" w:type="pct"/>
                  <w:tcBorders>
                    <w:tl2br w:val="nil"/>
                    <w:tr2bl w:val="nil"/>
                  </w:tcBorders>
                  <w:vAlign w:val="center"/>
                </w:tcPr>
                <w:p w14:paraId="162EE46D">
                  <w:pPr>
                    <w:pStyle w:val="57"/>
                    <w:rPr>
                      <w:color w:val="auto"/>
                    </w:rPr>
                  </w:pPr>
                  <w:r>
                    <w:rPr>
                      <w:rFonts w:hint="eastAsia"/>
                      <w:color w:val="auto"/>
                    </w:rPr>
                    <w:t>助剂</w:t>
                  </w:r>
                </w:p>
              </w:tc>
              <w:tc>
                <w:tcPr>
                  <w:tcW w:w="794" w:type="pct"/>
                  <w:tcBorders>
                    <w:tl2br w:val="nil"/>
                    <w:tr2bl w:val="nil"/>
                  </w:tcBorders>
                  <w:vAlign w:val="center"/>
                </w:tcPr>
                <w:p w14:paraId="163DCB12">
                  <w:pPr>
                    <w:pStyle w:val="57"/>
                    <w:rPr>
                      <w:rFonts w:hint="eastAsia"/>
                      <w:color w:val="auto"/>
                    </w:rPr>
                  </w:pPr>
                  <w:r>
                    <w:rPr>
                      <w:rFonts w:hint="eastAsia"/>
                      <w:color w:val="auto"/>
                    </w:rPr>
                    <w:t>3-4%</w:t>
                  </w:r>
                </w:p>
              </w:tc>
            </w:tr>
            <w:tr w14:paraId="6558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restart"/>
                  <w:tcBorders>
                    <w:tl2br w:val="nil"/>
                    <w:tr2bl w:val="nil"/>
                  </w:tcBorders>
                  <w:vAlign w:val="center"/>
                </w:tcPr>
                <w:p w14:paraId="65276751">
                  <w:pPr>
                    <w:pStyle w:val="57"/>
                    <w:rPr>
                      <w:color w:val="auto"/>
                    </w:rPr>
                  </w:pPr>
                  <w:r>
                    <w:rPr>
                      <w:color w:val="auto"/>
                    </w:rPr>
                    <w:t>水性墨水</w:t>
                  </w:r>
                </w:p>
              </w:tc>
              <w:tc>
                <w:tcPr>
                  <w:tcW w:w="3602" w:type="pct"/>
                  <w:tcBorders>
                    <w:tl2br w:val="nil"/>
                    <w:tr2bl w:val="nil"/>
                  </w:tcBorders>
                  <w:vAlign w:val="center"/>
                </w:tcPr>
                <w:p w14:paraId="392E8D12">
                  <w:pPr>
                    <w:pStyle w:val="57"/>
                    <w:rPr>
                      <w:color w:val="auto"/>
                    </w:rPr>
                  </w:pPr>
                  <w:r>
                    <w:rPr>
                      <w:rFonts w:hint="eastAsia"/>
                      <w:color w:val="auto"/>
                    </w:rPr>
                    <w:t>水</w:t>
                  </w:r>
                </w:p>
              </w:tc>
              <w:tc>
                <w:tcPr>
                  <w:tcW w:w="794" w:type="pct"/>
                  <w:tcBorders>
                    <w:tl2br w:val="nil"/>
                    <w:tr2bl w:val="nil"/>
                  </w:tcBorders>
                  <w:vAlign w:val="center"/>
                </w:tcPr>
                <w:p w14:paraId="19025570">
                  <w:pPr>
                    <w:pStyle w:val="57"/>
                    <w:rPr>
                      <w:color w:val="auto"/>
                    </w:rPr>
                  </w:pPr>
                  <w:r>
                    <w:rPr>
                      <w:rFonts w:hint="eastAsia"/>
                      <w:color w:val="auto"/>
                    </w:rPr>
                    <w:t>80%</w:t>
                  </w:r>
                </w:p>
              </w:tc>
            </w:tr>
            <w:tr w14:paraId="14C0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5955057E">
                  <w:pPr>
                    <w:pStyle w:val="57"/>
                    <w:rPr>
                      <w:color w:val="auto"/>
                    </w:rPr>
                  </w:pPr>
                </w:p>
              </w:tc>
              <w:tc>
                <w:tcPr>
                  <w:tcW w:w="3602" w:type="pct"/>
                  <w:tcBorders>
                    <w:tl2br w:val="nil"/>
                    <w:tr2bl w:val="nil"/>
                  </w:tcBorders>
                  <w:vAlign w:val="center"/>
                </w:tcPr>
                <w:p w14:paraId="6796AACD">
                  <w:pPr>
                    <w:pStyle w:val="57"/>
                    <w:rPr>
                      <w:color w:val="auto"/>
                    </w:rPr>
                  </w:pPr>
                  <w:r>
                    <w:rPr>
                      <w:rFonts w:hint="eastAsia"/>
                      <w:color w:val="auto"/>
                    </w:rPr>
                    <w:t>甘油</w:t>
                  </w:r>
                </w:p>
              </w:tc>
              <w:tc>
                <w:tcPr>
                  <w:tcW w:w="794" w:type="pct"/>
                  <w:tcBorders>
                    <w:tl2br w:val="nil"/>
                    <w:tr2bl w:val="nil"/>
                  </w:tcBorders>
                  <w:vAlign w:val="center"/>
                </w:tcPr>
                <w:p w14:paraId="082A7386">
                  <w:pPr>
                    <w:pStyle w:val="57"/>
                    <w:rPr>
                      <w:color w:val="auto"/>
                    </w:rPr>
                  </w:pPr>
                  <w:r>
                    <w:rPr>
                      <w:rFonts w:hint="eastAsia"/>
                      <w:color w:val="auto"/>
                    </w:rPr>
                    <w:t>10-20%</w:t>
                  </w:r>
                </w:p>
              </w:tc>
            </w:tr>
            <w:tr w14:paraId="389AB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4D840011">
                  <w:pPr>
                    <w:pStyle w:val="57"/>
                    <w:rPr>
                      <w:color w:val="auto"/>
                    </w:rPr>
                  </w:pPr>
                </w:p>
              </w:tc>
              <w:tc>
                <w:tcPr>
                  <w:tcW w:w="3602" w:type="pct"/>
                  <w:tcBorders>
                    <w:tl2br w:val="nil"/>
                    <w:tr2bl w:val="nil"/>
                  </w:tcBorders>
                  <w:vAlign w:val="center"/>
                </w:tcPr>
                <w:p w14:paraId="386AA013">
                  <w:pPr>
                    <w:pStyle w:val="57"/>
                    <w:rPr>
                      <w:color w:val="auto"/>
                    </w:rPr>
                  </w:pPr>
                  <w:r>
                    <w:rPr>
                      <w:rFonts w:hint="eastAsia"/>
                      <w:color w:val="auto"/>
                    </w:rPr>
                    <w:t>颜料</w:t>
                  </w:r>
                </w:p>
              </w:tc>
              <w:tc>
                <w:tcPr>
                  <w:tcW w:w="794" w:type="pct"/>
                  <w:tcBorders>
                    <w:tl2br w:val="nil"/>
                    <w:tr2bl w:val="nil"/>
                  </w:tcBorders>
                  <w:vAlign w:val="center"/>
                </w:tcPr>
                <w:p w14:paraId="38F312BE">
                  <w:pPr>
                    <w:pStyle w:val="57"/>
                    <w:rPr>
                      <w:color w:val="auto"/>
                    </w:rPr>
                  </w:pPr>
                  <w:r>
                    <w:rPr>
                      <w:rFonts w:hint="eastAsia"/>
                      <w:color w:val="auto"/>
                    </w:rPr>
                    <w:t>0-5%</w:t>
                  </w:r>
                </w:p>
              </w:tc>
            </w:tr>
            <w:tr w14:paraId="5618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restart"/>
                  <w:tcBorders>
                    <w:tl2br w:val="nil"/>
                    <w:tr2bl w:val="nil"/>
                  </w:tcBorders>
                  <w:vAlign w:val="center"/>
                </w:tcPr>
                <w:p w14:paraId="452EEBB0">
                  <w:pPr>
                    <w:pStyle w:val="57"/>
                    <w:rPr>
                      <w:color w:val="auto"/>
                    </w:rPr>
                  </w:pPr>
                  <w:r>
                    <w:rPr>
                      <w:rFonts w:hint="eastAsia"/>
                      <w:color w:val="auto"/>
                    </w:rPr>
                    <w:t>油性墨水</w:t>
                  </w:r>
                </w:p>
              </w:tc>
              <w:tc>
                <w:tcPr>
                  <w:tcW w:w="3602" w:type="pct"/>
                  <w:tcBorders>
                    <w:tl2br w:val="nil"/>
                    <w:tr2bl w:val="nil"/>
                  </w:tcBorders>
                  <w:vAlign w:val="center"/>
                </w:tcPr>
                <w:p w14:paraId="0D051054">
                  <w:pPr>
                    <w:pStyle w:val="57"/>
                    <w:rPr>
                      <w:color w:val="auto"/>
                    </w:rPr>
                  </w:pPr>
                  <w:r>
                    <w:rPr>
                      <w:rFonts w:hint="eastAsia"/>
                      <w:color w:val="auto"/>
                    </w:rPr>
                    <w:t>低聚物</w:t>
                  </w:r>
                </w:p>
              </w:tc>
              <w:tc>
                <w:tcPr>
                  <w:tcW w:w="794" w:type="pct"/>
                  <w:tcBorders>
                    <w:tl2br w:val="nil"/>
                    <w:tr2bl w:val="nil"/>
                  </w:tcBorders>
                  <w:vAlign w:val="center"/>
                </w:tcPr>
                <w:p w14:paraId="53F3A515">
                  <w:pPr>
                    <w:pStyle w:val="57"/>
                    <w:rPr>
                      <w:color w:val="auto"/>
                    </w:rPr>
                  </w:pPr>
                  <w:r>
                    <w:rPr>
                      <w:rFonts w:hint="eastAsia"/>
                      <w:color w:val="auto"/>
                    </w:rPr>
                    <w:t>35-45%</w:t>
                  </w:r>
                </w:p>
              </w:tc>
            </w:tr>
            <w:tr w14:paraId="774F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0FAD21CD">
                  <w:pPr>
                    <w:pStyle w:val="57"/>
                    <w:rPr>
                      <w:color w:val="auto"/>
                    </w:rPr>
                  </w:pPr>
                </w:p>
              </w:tc>
              <w:tc>
                <w:tcPr>
                  <w:tcW w:w="3602" w:type="pct"/>
                  <w:tcBorders>
                    <w:tl2br w:val="nil"/>
                    <w:tr2bl w:val="nil"/>
                  </w:tcBorders>
                  <w:vAlign w:val="center"/>
                </w:tcPr>
                <w:p w14:paraId="3ACB4E5B">
                  <w:pPr>
                    <w:pStyle w:val="57"/>
                    <w:rPr>
                      <w:color w:val="auto"/>
                    </w:rPr>
                  </w:pPr>
                  <w:r>
                    <w:rPr>
                      <w:rFonts w:hint="eastAsia"/>
                      <w:color w:val="auto"/>
                    </w:rPr>
                    <w:t>甘油</w:t>
                  </w:r>
                </w:p>
              </w:tc>
              <w:tc>
                <w:tcPr>
                  <w:tcW w:w="794" w:type="pct"/>
                  <w:tcBorders>
                    <w:tl2br w:val="nil"/>
                    <w:tr2bl w:val="nil"/>
                  </w:tcBorders>
                  <w:vAlign w:val="center"/>
                </w:tcPr>
                <w:p w14:paraId="45FAA47C">
                  <w:pPr>
                    <w:pStyle w:val="57"/>
                    <w:rPr>
                      <w:color w:val="auto"/>
                    </w:rPr>
                  </w:pPr>
                  <w:r>
                    <w:rPr>
                      <w:rFonts w:hint="eastAsia"/>
                      <w:color w:val="auto"/>
                    </w:rPr>
                    <w:t>18%</w:t>
                  </w:r>
                </w:p>
              </w:tc>
            </w:tr>
            <w:tr w14:paraId="4723D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5FFB9869">
                  <w:pPr>
                    <w:pStyle w:val="57"/>
                    <w:rPr>
                      <w:color w:val="auto"/>
                    </w:rPr>
                  </w:pPr>
                </w:p>
              </w:tc>
              <w:tc>
                <w:tcPr>
                  <w:tcW w:w="3602" w:type="pct"/>
                  <w:tcBorders>
                    <w:tl2br w:val="nil"/>
                    <w:tr2bl w:val="nil"/>
                  </w:tcBorders>
                  <w:vAlign w:val="center"/>
                </w:tcPr>
                <w:p w14:paraId="3F626DA0">
                  <w:pPr>
                    <w:pStyle w:val="57"/>
                    <w:rPr>
                      <w:color w:val="auto"/>
                    </w:rPr>
                  </w:pPr>
                  <w:r>
                    <w:rPr>
                      <w:rFonts w:hint="eastAsia"/>
                      <w:color w:val="auto"/>
                    </w:rPr>
                    <w:t>乙醇</w:t>
                  </w:r>
                </w:p>
              </w:tc>
              <w:tc>
                <w:tcPr>
                  <w:tcW w:w="794" w:type="pct"/>
                  <w:tcBorders>
                    <w:tl2br w:val="nil"/>
                    <w:tr2bl w:val="nil"/>
                  </w:tcBorders>
                  <w:vAlign w:val="center"/>
                </w:tcPr>
                <w:p w14:paraId="46AF277F">
                  <w:pPr>
                    <w:pStyle w:val="57"/>
                    <w:rPr>
                      <w:color w:val="auto"/>
                    </w:rPr>
                  </w:pPr>
                  <w:r>
                    <w:rPr>
                      <w:rFonts w:hint="eastAsia"/>
                      <w:color w:val="auto"/>
                    </w:rPr>
                    <w:t>6-18%</w:t>
                  </w:r>
                </w:p>
              </w:tc>
            </w:tr>
            <w:tr w14:paraId="1609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4182F21E">
                  <w:pPr>
                    <w:pStyle w:val="57"/>
                    <w:rPr>
                      <w:color w:val="auto"/>
                    </w:rPr>
                  </w:pPr>
                </w:p>
              </w:tc>
              <w:tc>
                <w:tcPr>
                  <w:tcW w:w="3602" w:type="pct"/>
                  <w:tcBorders>
                    <w:tl2br w:val="nil"/>
                    <w:tr2bl w:val="nil"/>
                  </w:tcBorders>
                  <w:vAlign w:val="center"/>
                </w:tcPr>
                <w:p w14:paraId="145A4E65">
                  <w:pPr>
                    <w:pStyle w:val="57"/>
                    <w:rPr>
                      <w:rFonts w:hint="eastAsia"/>
                      <w:color w:val="auto"/>
                    </w:rPr>
                  </w:pPr>
                  <w:r>
                    <w:rPr>
                      <w:rFonts w:hint="eastAsia"/>
                      <w:color w:val="auto"/>
                    </w:rPr>
                    <w:t>甲氧基丙醇</w:t>
                  </w:r>
                </w:p>
              </w:tc>
              <w:tc>
                <w:tcPr>
                  <w:tcW w:w="794" w:type="pct"/>
                  <w:tcBorders>
                    <w:tl2br w:val="nil"/>
                    <w:tr2bl w:val="nil"/>
                  </w:tcBorders>
                  <w:vAlign w:val="center"/>
                </w:tcPr>
                <w:p w14:paraId="56062882">
                  <w:pPr>
                    <w:pStyle w:val="57"/>
                    <w:rPr>
                      <w:rFonts w:hint="eastAsia"/>
                      <w:color w:val="auto"/>
                    </w:rPr>
                  </w:pPr>
                  <w:r>
                    <w:rPr>
                      <w:rFonts w:hint="eastAsia"/>
                      <w:color w:val="auto"/>
                    </w:rPr>
                    <w:t>14.0%</w:t>
                  </w:r>
                </w:p>
              </w:tc>
            </w:tr>
            <w:tr w14:paraId="6CAAC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24510EC1">
                  <w:pPr>
                    <w:pStyle w:val="57"/>
                    <w:rPr>
                      <w:color w:val="auto"/>
                    </w:rPr>
                  </w:pPr>
                </w:p>
              </w:tc>
              <w:tc>
                <w:tcPr>
                  <w:tcW w:w="3602" w:type="pct"/>
                  <w:tcBorders>
                    <w:tl2br w:val="nil"/>
                    <w:tr2bl w:val="nil"/>
                  </w:tcBorders>
                  <w:vAlign w:val="center"/>
                </w:tcPr>
                <w:p w14:paraId="20BA8495">
                  <w:pPr>
                    <w:pStyle w:val="57"/>
                    <w:rPr>
                      <w:rFonts w:hint="eastAsia"/>
                      <w:color w:val="auto"/>
                    </w:rPr>
                  </w:pPr>
                  <w:r>
                    <w:rPr>
                      <w:rFonts w:hint="eastAsia"/>
                      <w:color w:val="auto"/>
                    </w:rPr>
                    <w:t>溶剂黑</w:t>
                  </w:r>
                </w:p>
              </w:tc>
              <w:tc>
                <w:tcPr>
                  <w:tcW w:w="794" w:type="pct"/>
                  <w:tcBorders>
                    <w:tl2br w:val="nil"/>
                    <w:tr2bl w:val="nil"/>
                  </w:tcBorders>
                  <w:vAlign w:val="center"/>
                </w:tcPr>
                <w:p w14:paraId="2C72C915">
                  <w:pPr>
                    <w:pStyle w:val="57"/>
                    <w:rPr>
                      <w:color w:val="auto"/>
                    </w:rPr>
                  </w:pPr>
                  <w:r>
                    <w:rPr>
                      <w:rFonts w:hint="eastAsia"/>
                      <w:color w:val="auto"/>
                    </w:rPr>
                    <w:t>7-9%</w:t>
                  </w:r>
                </w:p>
              </w:tc>
            </w:tr>
            <w:tr w14:paraId="255A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03" w:type="pct"/>
                  <w:vMerge w:val="continue"/>
                  <w:tcBorders>
                    <w:tl2br w:val="nil"/>
                    <w:tr2bl w:val="nil"/>
                  </w:tcBorders>
                  <w:vAlign w:val="center"/>
                </w:tcPr>
                <w:p w14:paraId="34D5C0C2">
                  <w:pPr>
                    <w:pStyle w:val="57"/>
                    <w:rPr>
                      <w:color w:val="auto"/>
                    </w:rPr>
                  </w:pPr>
                </w:p>
              </w:tc>
              <w:tc>
                <w:tcPr>
                  <w:tcW w:w="3602" w:type="pct"/>
                  <w:tcBorders>
                    <w:tl2br w:val="nil"/>
                    <w:tr2bl w:val="nil"/>
                  </w:tcBorders>
                  <w:vAlign w:val="center"/>
                </w:tcPr>
                <w:p w14:paraId="6ABEC218">
                  <w:pPr>
                    <w:pStyle w:val="57"/>
                    <w:rPr>
                      <w:color w:val="auto"/>
                    </w:rPr>
                  </w:pPr>
                  <w:r>
                    <w:rPr>
                      <w:rFonts w:hint="eastAsia"/>
                      <w:color w:val="auto"/>
                    </w:rPr>
                    <w:t>丙烷-1，2-二醇</w:t>
                  </w:r>
                </w:p>
              </w:tc>
              <w:tc>
                <w:tcPr>
                  <w:tcW w:w="794" w:type="pct"/>
                  <w:tcBorders>
                    <w:tl2br w:val="nil"/>
                    <w:tr2bl w:val="nil"/>
                  </w:tcBorders>
                  <w:vAlign w:val="center"/>
                </w:tcPr>
                <w:p w14:paraId="2A532C90">
                  <w:pPr>
                    <w:pStyle w:val="57"/>
                    <w:rPr>
                      <w:color w:val="auto"/>
                    </w:rPr>
                  </w:pPr>
                  <w:r>
                    <w:rPr>
                      <w:rFonts w:hint="eastAsia"/>
                      <w:color w:val="auto"/>
                    </w:rPr>
                    <w:t>8%</w:t>
                  </w:r>
                </w:p>
              </w:tc>
            </w:tr>
          </w:tbl>
          <w:p w14:paraId="61CC9325">
            <w:pPr>
              <w:pStyle w:val="17"/>
              <w:ind w:firstLine="482"/>
              <w:rPr>
                <w:b/>
                <w:bCs/>
                <w:color w:val="auto"/>
              </w:rPr>
            </w:pPr>
            <w:r>
              <w:rPr>
                <w:rFonts w:hint="eastAsia"/>
                <w:b/>
                <w:bCs/>
                <w:color w:val="auto"/>
              </w:rPr>
              <w:t>水性油墨VOCs原料挥发性有机化合物含量符合性分析</w:t>
            </w:r>
          </w:p>
          <w:p w14:paraId="4F4B8FFD">
            <w:pPr>
              <w:pStyle w:val="17"/>
              <w:wordWrap w:val="0"/>
              <w:ind w:firstLine="480"/>
              <w:rPr>
                <w:rFonts w:hint="eastAsia"/>
                <w:color w:val="auto"/>
              </w:rPr>
            </w:pPr>
            <w:r>
              <w:rPr>
                <w:rFonts w:hint="eastAsia"/>
                <w:color w:val="auto"/>
              </w:rPr>
              <w:t>根据水性油墨挥发性MSDS成分报告可知，本项目使用的水性油墨挥发性有机物含量为4%，满足《油墨中可挥发性有机化合物(VOCs)含量的限值》（GB38507-2020）中水性油墨、柔印油墨、吸收性承印物挥发性有机化合物(VOCs)含量的限值（≤5%）。</w:t>
            </w:r>
          </w:p>
          <w:p w14:paraId="659732EA">
            <w:pPr>
              <w:pStyle w:val="58"/>
              <w:ind w:firstLine="422"/>
              <w:rPr>
                <w:color w:val="auto"/>
              </w:rPr>
            </w:pPr>
            <w:r>
              <w:rPr>
                <w:color w:val="auto"/>
              </w:rPr>
              <w:t>表2-</w:t>
            </w:r>
            <w:r>
              <w:rPr>
                <w:rFonts w:hint="eastAsia"/>
                <w:color w:val="auto"/>
                <w:lang w:val="en-US" w:eastAsia="zh-CN"/>
              </w:rPr>
              <w:t>7</w:t>
            </w:r>
            <w:r>
              <w:rPr>
                <w:color w:val="auto"/>
              </w:rPr>
              <w:t>主要原辅材料理化性质一览表</w:t>
            </w:r>
          </w:p>
          <w:tbl>
            <w:tblPr>
              <w:tblStyle w:val="3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738"/>
            </w:tblGrid>
            <w:tr w14:paraId="3D02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87" w:type="pct"/>
                  <w:tcBorders>
                    <w:tl2br w:val="nil"/>
                    <w:tr2bl w:val="nil"/>
                  </w:tcBorders>
                  <w:vAlign w:val="center"/>
                </w:tcPr>
                <w:p w14:paraId="052A1CB4">
                  <w:pPr>
                    <w:pStyle w:val="57"/>
                    <w:rPr>
                      <w:color w:val="auto"/>
                    </w:rPr>
                  </w:pPr>
                  <w:r>
                    <w:rPr>
                      <w:color w:val="auto"/>
                    </w:rPr>
                    <w:t>名称</w:t>
                  </w:r>
                </w:p>
              </w:tc>
              <w:tc>
                <w:tcPr>
                  <w:tcW w:w="4512" w:type="pct"/>
                  <w:tcBorders>
                    <w:tl2br w:val="nil"/>
                    <w:tr2bl w:val="nil"/>
                  </w:tcBorders>
                  <w:vAlign w:val="center"/>
                </w:tcPr>
                <w:p w14:paraId="61D9C70C">
                  <w:pPr>
                    <w:pStyle w:val="57"/>
                    <w:rPr>
                      <w:color w:val="auto"/>
                    </w:rPr>
                  </w:pPr>
                  <w:r>
                    <w:rPr>
                      <w:color w:val="auto"/>
                    </w:rPr>
                    <w:t>理化特性</w:t>
                  </w:r>
                </w:p>
              </w:tc>
            </w:tr>
            <w:tr w14:paraId="0EDC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487" w:type="pct"/>
                  <w:tcBorders>
                    <w:tl2br w:val="nil"/>
                    <w:tr2bl w:val="nil"/>
                  </w:tcBorders>
                  <w:vAlign w:val="center"/>
                </w:tcPr>
                <w:p w14:paraId="78A9EDAA">
                  <w:pPr>
                    <w:pStyle w:val="57"/>
                    <w:rPr>
                      <w:rFonts w:hint="eastAsia"/>
                      <w:color w:val="auto"/>
                    </w:rPr>
                  </w:pPr>
                  <w:r>
                    <w:rPr>
                      <w:rFonts w:hint="eastAsia"/>
                      <w:color w:val="auto"/>
                    </w:rPr>
                    <w:t>甘油</w:t>
                  </w:r>
                </w:p>
              </w:tc>
              <w:tc>
                <w:tcPr>
                  <w:tcW w:w="4512" w:type="pct"/>
                  <w:tcBorders>
                    <w:tl2br w:val="nil"/>
                    <w:tr2bl w:val="nil"/>
                  </w:tcBorders>
                  <w:vAlign w:val="center"/>
                </w:tcPr>
                <w:p w14:paraId="7DF3CB2F">
                  <w:pPr>
                    <w:pStyle w:val="57"/>
                    <w:rPr>
                      <w:color w:val="auto"/>
                    </w:rPr>
                  </w:pPr>
                  <w:r>
                    <w:rPr>
                      <w:color w:val="auto"/>
                    </w:rPr>
                    <w:t>丙三醇，又名甘油，是一种有机化合物，化学式为C</w:t>
                  </w:r>
                  <w:r>
                    <w:rPr>
                      <w:color w:val="auto"/>
                      <w:vertAlign w:val="subscript"/>
                    </w:rPr>
                    <w:t>3</w:t>
                  </w:r>
                  <w:r>
                    <w:rPr>
                      <w:color w:val="auto"/>
                    </w:rPr>
                    <w:t>H</w:t>
                  </w:r>
                  <w:r>
                    <w:rPr>
                      <w:color w:val="auto"/>
                      <w:vertAlign w:val="subscript"/>
                    </w:rPr>
                    <w:t>8</w:t>
                  </w:r>
                  <w:r>
                    <w:rPr>
                      <w:color w:val="auto"/>
                    </w:rPr>
                    <w:t>O</w:t>
                  </w:r>
                  <w:r>
                    <w:rPr>
                      <w:color w:val="auto"/>
                      <w:vertAlign w:val="subscript"/>
                    </w:rPr>
                    <w:t>3</w:t>
                  </w:r>
                  <w:r>
                    <w:rPr>
                      <w:color w:val="auto"/>
                    </w:rPr>
                    <w:t>，是一种简单的多元醇化合物。它是一种无色无臭有甜味的黏性液体，无毒。化学式C</w:t>
                  </w:r>
                  <w:r>
                    <w:rPr>
                      <w:color w:val="auto"/>
                      <w:vertAlign w:val="subscript"/>
                    </w:rPr>
                    <w:t>3</w:t>
                  </w:r>
                  <w:r>
                    <w:rPr>
                      <w:color w:val="auto"/>
                    </w:rPr>
                    <w:t>H</w:t>
                  </w:r>
                  <w:r>
                    <w:rPr>
                      <w:color w:val="auto"/>
                      <w:vertAlign w:val="subscript"/>
                    </w:rPr>
                    <w:t>8</w:t>
                  </w:r>
                  <w:r>
                    <w:rPr>
                      <w:color w:val="auto"/>
                    </w:rPr>
                    <w:t>O</w:t>
                  </w:r>
                  <w:r>
                    <w:rPr>
                      <w:color w:val="auto"/>
                      <w:vertAlign w:val="subscript"/>
                    </w:rPr>
                    <w:t>3</w:t>
                  </w:r>
                  <w:r>
                    <w:rPr>
                      <w:rFonts w:hint="eastAsia"/>
                      <w:color w:val="auto"/>
                    </w:rPr>
                    <w:t>；</w:t>
                  </w:r>
                  <w:r>
                    <w:rPr>
                      <w:color w:val="auto"/>
                    </w:rPr>
                    <w:t>分子量92.094</w:t>
                  </w:r>
                  <w:r>
                    <w:rPr>
                      <w:rFonts w:hint="eastAsia"/>
                      <w:color w:val="auto"/>
                    </w:rPr>
                    <w:t>；</w:t>
                  </w:r>
                  <w:r>
                    <w:rPr>
                      <w:color w:val="auto"/>
                    </w:rPr>
                    <w:t>CAS登录号56-81-5</w:t>
                  </w:r>
                  <w:r>
                    <w:rPr>
                      <w:rFonts w:hint="eastAsia"/>
                      <w:color w:val="auto"/>
                    </w:rPr>
                    <w:t>；</w:t>
                  </w:r>
                  <w:r>
                    <w:rPr>
                      <w:color w:val="auto"/>
                    </w:rPr>
                    <w:t>EINECS登录号200-289-5</w:t>
                  </w:r>
                  <w:r>
                    <w:rPr>
                      <w:rFonts w:hint="eastAsia"/>
                      <w:color w:val="auto"/>
                    </w:rPr>
                    <w:t>；</w:t>
                  </w:r>
                  <w:r>
                    <w:rPr>
                      <w:color w:val="auto"/>
                    </w:rPr>
                    <w:t>熔 点17.4℃</w:t>
                  </w:r>
                </w:p>
              </w:tc>
            </w:tr>
            <w:tr w14:paraId="2647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87" w:type="pct"/>
                  <w:tcBorders>
                    <w:tl2br w:val="nil"/>
                    <w:tr2bl w:val="nil"/>
                  </w:tcBorders>
                  <w:vAlign w:val="center"/>
                </w:tcPr>
                <w:p w14:paraId="3E6791F7">
                  <w:pPr>
                    <w:pStyle w:val="57"/>
                    <w:rPr>
                      <w:rFonts w:hint="eastAsia"/>
                      <w:color w:val="auto"/>
                    </w:rPr>
                  </w:pPr>
                  <w:r>
                    <w:rPr>
                      <w:rFonts w:hint="eastAsia"/>
                      <w:color w:val="auto"/>
                    </w:rPr>
                    <w:t>乙醇</w:t>
                  </w:r>
                </w:p>
              </w:tc>
              <w:tc>
                <w:tcPr>
                  <w:tcW w:w="4512" w:type="pct"/>
                  <w:tcBorders>
                    <w:tl2br w:val="nil"/>
                    <w:tr2bl w:val="nil"/>
                  </w:tcBorders>
                  <w:vAlign w:val="center"/>
                </w:tcPr>
                <w:p w14:paraId="4B36B813">
                  <w:pPr>
                    <w:pStyle w:val="57"/>
                    <w:rPr>
                      <w:color w:val="auto"/>
                    </w:rPr>
                  </w:pPr>
                  <w:r>
                    <w:rPr>
                      <w:color w:val="auto"/>
                    </w:rPr>
                    <w:t>乙醇(EthylAlcohol)，俗称酒精、火酒，是醇类化合物的一种，化学式为C</w:t>
                  </w:r>
                  <w:r>
                    <w:rPr>
                      <w:color w:val="auto"/>
                      <w:vertAlign w:val="subscript"/>
                    </w:rPr>
                    <w:t>2</w:t>
                  </w:r>
                  <w:r>
                    <w:rPr>
                      <w:color w:val="auto"/>
                    </w:rPr>
                    <w:t>H</w:t>
                  </w:r>
                  <w:r>
                    <w:rPr>
                      <w:color w:val="auto"/>
                      <w:vertAlign w:val="subscript"/>
                    </w:rPr>
                    <w:t>6</w:t>
                  </w:r>
                  <w:r>
                    <w:rPr>
                      <w:color w:val="auto"/>
                    </w:rPr>
                    <w:t>O，结构简式为CH</w:t>
                  </w:r>
                  <w:r>
                    <w:rPr>
                      <w:color w:val="auto"/>
                      <w:vertAlign w:val="subscript"/>
                    </w:rPr>
                    <w:t>3</w:t>
                  </w:r>
                  <w:r>
                    <w:rPr>
                      <w:color w:val="auto"/>
                    </w:rPr>
                    <w:t>CH</w:t>
                  </w:r>
                  <w:r>
                    <w:rPr>
                      <w:color w:val="auto"/>
                      <w:vertAlign w:val="subscript"/>
                    </w:rPr>
                    <w:t>2</w:t>
                  </w:r>
                  <w:r>
                    <w:rPr>
                      <w:color w:val="auto"/>
                    </w:rPr>
                    <w:t>OH或C</w:t>
                  </w:r>
                  <w:r>
                    <w:rPr>
                      <w:color w:val="auto"/>
                      <w:vertAlign w:val="subscript"/>
                    </w:rPr>
                    <w:t>2</w:t>
                  </w:r>
                  <w:r>
                    <w:rPr>
                      <w:color w:val="auto"/>
                    </w:rPr>
                    <w:t>H</w:t>
                  </w:r>
                  <w:r>
                    <w:rPr>
                      <w:color w:val="auto"/>
                      <w:vertAlign w:val="subscript"/>
                    </w:rPr>
                    <w:t>5</w:t>
                  </w:r>
                  <w:r>
                    <w:rPr>
                      <w:color w:val="auto"/>
                    </w:rPr>
                    <w:t>OH。分子量46.07(g/mol)</w:t>
                  </w:r>
                  <w:r>
                    <w:rPr>
                      <w:rFonts w:hint="eastAsia"/>
                      <w:color w:val="auto"/>
                    </w:rPr>
                    <w:t>；</w:t>
                  </w:r>
                  <w:r>
                    <w:rPr>
                      <w:color w:val="auto"/>
                    </w:rPr>
                    <w:t>CAS登录号64-17-5</w:t>
                  </w:r>
                  <w:r>
                    <w:rPr>
                      <w:rFonts w:hint="eastAsia"/>
                      <w:color w:val="auto"/>
                    </w:rPr>
                    <w:t>；</w:t>
                  </w:r>
                  <w:r>
                    <w:rPr>
                      <w:color w:val="auto"/>
                    </w:rPr>
                    <w:t>熔点-114.1℃ （常压）</w:t>
                  </w:r>
                  <w:r>
                    <w:rPr>
                      <w:rFonts w:hint="eastAsia"/>
                      <w:color w:val="auto"/>
                    </w:rPr>
                    <w:t>；</w:t>
                  </w:r>
                  <w:r>
                    <w:rPr>
                      <w:color w:val="auto"/>
                    </w:rPr>
                    <w:t>沸点</w:t>
                  </w:r>
                  <w:r>
                    <w:rPr>
                      <w:rFonts w:hint="eastAsia"/>
                      <w:color w:val="auto"/>
                    </w:rPr>
                    <w:t>=</w:t>
                  </w:r>
                  <w:r>
                    <w:rPr>
                      <w:color w:val="auto"/>
                    </w:rPr>
                    <w:t>78.3℃ （常压）</w:t>
                  </w:r>
                  <w:r>
                    <w:rPr>
                      <w:rFonts w:hint="eastAsia"/>
                      <w:color w:val="auto"/>
                    </w:rPr>
                    <w:t>；</w:t>
                  </w:r>
                  <w:r>
                    <w:rPr>
                      <w:color w:val="auto"/>
                    </w:rPr>
                    <w:t>密度0.7893g/cm³ （20℃）</w:t>
                  </w:r>
                  <w:r>
                    <w:rPr>
                      <w:rFonts w:hint="eastAsia"/>
                      <w:color w:val="auto"/>
                    </w:rPr>
                    <w:t>；</w:t>
                  </w:r>
                  <w:r>
                    <w:rPr>
                      <w:color w:val="auto"/>
                    </w:rPr>
                    <w:t>外观无色透明液体，有芳香气味</w:t>
                  </w:r>
                  <w:r>
                    <w:rPr>
                      <w:rFonts w:hint="eastAsia"/>
                      <w:color w:val="auto"/>
                    </w:rPr>
                    <w:t>；</w:t>
                  </w:r>
                  <w:r>
                    <w:rPr>
                      <w:color w:val="auto"/>
                    </w:rPr>
                    <w:t>闪点</w:t>
                  </w:r>
                  <w:r>
                    <w:rPr>
                      <w:rFonts w:hint="eastAsia"/>
                      <w:color w:val="auto"/>
                    </w:rPr>
                    <w:t>；</w:t>
                  </w:r>
                  <w:r>
                    <w:rPr>
                      <w:color w:val="auto"/>
                    </w:rPr>
                    <w:t>14.0℃ （闭杯)；21.1(开杯）</w:t>
                  </w:r>
                </w:p>
              </w:tc>
            </w:tr>
            <w:tr w14:paraId="793E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87" w:type="pct"/>
                  <w:tcBorders>
                    <w:tl2br w:val="nil"/>
                    <w:tr2bl w:val="nil"/>
                  </w:tcBorders>
                  <w:vAlign w:val="center"/>
                </w:tcPr>
                <w:p w14:paraId="741A9B68">
                  <w:pPr>
                    <w:pStyle w:val="57"/>
                    <w:rPr>
                      <w:color w:val="auto"/>
                    </w:rPr>
                  </w:pPr>
                  <w:r>
                    <w:rPr>
                      <w:color w:val="auto"/>
                    </w:rPr>
                    <w:t>甲氧基丙醇</w:t>
                  </w:r>
                </w:p>
              </w:tc>
              <w:tc>
                <w:tcPr>
                  <w:tcW w:w="4512" w:type="pct"/>
                  <w:tcBorders>
                    <w:tl2br w:val="nil"/>
                    <w:tr2bl w:val="nil"/>
                  </w:tcBorders>
                  <w:vAlign w:val="center"/>
                </w:tcPr>
                <w:p w14:paraId="5286D9BC">
                  <w:pPr>
                    <w:pStyle w:val="57"/>
                    <w:rPr>
                      <w:rFonts w:hint="eastAsia"/>
                      <w:color w:val="auto"/>
                    </w:rPr>
                  </w:pPr>
                  <w:r>
                    <w:rPr>
                      <w:color w:val="auto"/>
                    </w:rPr>
                    <w:t>3-甲氧基-L-丙醇，外文名3-Methoxy-1-propanol，分子式C</w:t>
                  </w:r>
                  <w:r>
                    <w:rPr>
                      <w:color w:val="auto"/>
                      <w:vertAlign w:val="subscript"/>
                    </w:rPr>
                    <w:t>4</w:t>
                  </w:r>
                  <w:r>
                    <w:rPr>
                      <w:color w:val="auto"/>
                    </w:rPr>
                    <w:t>H</w:t>
                  </w:r>
                  <w:r>
                    <w:rPr>
                      <w:color w:val="auto"/>
                      <w:vertAlign w:val="subscript"/>
                    </w:rPr>
                    <w:t>10</w:t>
                  </w:r>
                  <w:r>
                    <w:rPr>
                      <w:color w:val="auto"/>
                    </w:rPr>
                    <w:t>O</w:t>
                  </w:r>
                  <w:r>
                    <w:rPr>
                      <w:color w:val="auto"/>
                      <w:vertAlign w:val="subscript"/>
                    </w:rPr>
                    <w:t>2</w:t>
                  </w:r>
                  <w:r>
                    <w:rPr>
                      <w:color w:val="auto"/>
                    </w:rPr>
                    <w:t>。分子量90.12</w:t>
                  </w:r>
                  <w:r>
                    <w:rPr>
                      <w:rFonts w:hint="eastAsia"/>
                      <w:color w:val="auto"/>
                    </w:rPr>
                    <w:t>；</w:t>
                  </w:r>
                  <w:r>
                    <w:rPr>
                      <w:color w:val="auto"/>
                    </w:rPr>
                    <w:t>CAS登录号1320-67-8</w:t>
                  </w:r>
                  <w:r>
                    <w:rPr>
                      <w:rFonts w:hint="eastAsia"/>
                      <w:color w:val="auto"/>
                    </w:rPr>
                    <w:t>；</w:t>
                  </w:r>
                  <w:r>
                    <w:rPr>
                      <w:color w:val="auto"/>
                    </w:rPr>
                    <w:t>EINECS登录号215-306-1</w:t>
                  </w:r>
                  <w:r>
                    <w:rPr>
                      <w:rFonts w:hint="eastAsia"/>
                      <w:color w:val="auto"/>
                    </w:rPr>
                    <w:t>；</w:t>
                  </w:r>
                  <w:r>
                    <w:rPr>
                      <w:color w:val="auto"/>
                    </w:rPr>
                    <w:t>外观与性状：无色液体</w:t>
                  </w:r>
                  <w:r>
                    <w:rPr>
                      <w:rFonts w:hint="eastAsia"/>
                      <w:color w:val="auto"/>
                    </w:rPr>
                    <w:t>；</w:t>
                  </w:r>
                  <w:r>
                    <w:rPr>
                      <w:color w:val="auto"/>
                    </w:rPr>
                    <w:t>密度：0.942g/mLat20°C(lit.)</w:t>
                  </w:r>
                  <w:r>
                    <w:rPr>
                      <w:rFonts w:hint="eastAsia"/>
                      <w:color w:val="auto"/>
                    </w:rPr>
                    <w:t>；</w:t>
                  </w:r>
                  <w:r>
                    <w:rPr>
                      <w:color w:val="auto"/>
                    </w:rPr>
                    <w:t>熔点：-96.7ºC</w:t>
                  </w:r>
                  <w:r>
                    <w:rPr>
                      <w:rFonts w:hint="eastAsia"/>
                      <w:color w:val="auto"/>
                    </w:rPr>
                    <w:t>；</w:t>
                  </w:r>
                  <w:r>
                    <w:rPr>
                      <w:color w:val="auto"/>
                    </w:rPr>
                    <w:t>沸点：150-152°C闪点：38°C</w:t>
                  </w:r>
                  <w:r>
                    <w:rPr>
                      <w:rFonts w:hint="eastAsia"/>
                      <w:color w:val="auto"/>
                    </w:rPr>
                    <w:t>；</w:t>
                  </w:r>
                  <w:r>
                    <w:rPr>
                      <w:color w:val="auto"/>
                    </w:rPr>
                    <w:t>折射率：n20/D1.413</w:t>
                  </w:r>
                  <w:r>
                    <w:rPr>
                      <w:rFonts w:hint="eastAsia"/>
                      <w:color w:val="auto"/>
                    </w:rPr>
                    <w:t>；</w:t>
                  </w:r>
                  <w:r>
                    <w:rPr>
                      <w:color w:val="auto"/>
                    </w:rPr>
                    <w:t>蒸汽压：0.952mmHgat25°C</w:t>
                  </w:r>
                </w:p>
              </w:tc>
            </w:tr>
            <w:tr w14:paraId="4C3D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487" w:type="pct"/>
                  <w:tcBorders>
                    <w:tl2br w:val="nil"/>
                    <w:tr2bl w:val="nil"/>
                  </w:tcBorders>
                  <w:vAlign w:val="center"/>
                </w:tcPr>
                <w:p w14:paraId="2822DE40">
                  <w:pPr>
                    <w:pStyle w:val="57"/>
                    <w:rPr>
                      <w:color w:val="auto"/>
                    </w:rPr>
                  </w:pPr>
                  <w:r>
                    <w:rPr>
                      <w:color w:val="auto"/>
                    </w:rPr>
                    <w:t>丙烷-1，2-二醇</w:t>
                  </w:r>
                </w:p>
              </w:tc>
              <w:tc>
                <w:tcPr>
                  <w:tcW w:w="4512" w:type="pct"/>
                  <w:tcBorders>
                    <w:tl2br w:val="nil"/>
                    <w:tr2bl w:val="nil"/>
                  </w:tcBorders>
                  <w:vAlign w:val="center"/>
                </w:tcPr>
                <w:p w14:paraId="43AE2147">
                  <w:pPr>
                    <w:pStyle w:val="57"/>
                    <w:rPr>
                      <w:color w:val="auto"/>
                    </w:rPr>
                  </w:pPr>
                  <w:r>
                    <w:rPr>
                      <w:color w:val="auto"/>
                    </w:rPr>
                    <w:t>线性分子式:CH</w:t>
                  </w:r>
                  <w:r>
                    <w:rPr>
                      <w:color w:val="auto"/>
                      <w:vertAlign w:val="subscript"/>
                    </w:rPr>
                    <w:t>3</w:t>
                  </w:r>
                  <w:r>
                    <w:rPr>
                      <w:color w:val="auto"/>
                    </w:rPr>
                    <w:t>CH(OH)CH</w:t>
                  </w:r>
                  <w:r>
                    <w:rPr>
                      <w:color w:val="auto"/>
                      <w:vertAlign w:val="subscript"/>
                    </w:rPr>
                    <w:t>2</w:t>
                  </w:r>
                  <w:r>
                    <w:rPr>
                      <w:color w:val="auto"/>
                    </w:rPr>
                    <w:t>OH</w:t>
                  </w:r>
                  <w:r>
                    <w:rPr>
                      <w:rFonts w:hint="eastAsia"/>
                      <w:color w:val="auto"/>
                    </w:rPr>
                    <w:t>；</w:t>
                  </w:r>
                  <w:r>
                    <w:rPr>
                      <w:color w:val="auto"/>
                    </w:rPr>
                    <w:t>CAS号:</w:t>
                  </w:r>
                  <w:r>
                    <w:rPr>
                      <w:color w:val="auto"/>
                    </w:rPr>
                    <w:fldChar w:fldCharType="begin"/>
                  </w:r>
                  <w:r>
                    <w:rPr>
                      <w:color w:val="auto"/>
                    </w:rPr>
                    <w:instrText xml:space="preserve"> HYPERLINK "https://www.sigmaaldrich.cn/CN/zh/search/57-55-6?focus=products&amp;page=1&amp;perpage=30&amp;sort=relevance&amp;term=57-55-6&amp;type=cas_number" </w:instrText>
                  </w:r>
                  <w:r>
                    <w:rPr>
                      <w:color w:val="auto"/>
                    </w:rPr>
                    <w:fldChar w:fldCharType="separate"/>
                  </w:r>
                  <w:r>
                    <w:rPr>
                      <w:color w:val="auto"/>
                    </w:rPr>
                    <w:t>57-55-6</w:t>
                  </w:r>
                  <w:r>
                    <w:rPr>
                      <w:color w:val="auto"/>
                    </w:rPr>
                    <w:fldChar w:fldCharType="end"/>
                  </w:r>
                  <w:r>
                    <w:rPr>
                      <w:rFonts w:hint="eastAsia"/>
                      <w:color w:val="auto"/>
                    </w:rPr>
                    <w:t>；</w:t>
                  </w:r>
                  <w:r>
                    <w:rPr>
                      <w:color w:val="auto"/>
                    </w:rPr>
                    <w:t>分子量:76.09</w:t>
                  </w:r>
                  <w:r>
                    <w:rPr>
                      <w:rFonts w:hint="eastAsia"/>
                      <w:color w:val="auto"/>
                    </w:rPr>
                    <w:t>；密度1.036g/mLat25°C(lit.)；蒸汽压0.08mmHg(20°C)</w:t>
                  </w:r>
                </w:p>
              </w:tc>
            </w:tr>
          </w:tbl>
          <w:p w14:paraId="4FAE019C">
            <w:pPr>
              <w:ind w:firstLine="480"/>
              <w:rPr>
                <w:color w:val="auto"/>
              </w:rPr>
            </w:pPr>
            <w:r>
              <w:rPr>
                <w:color w:val="auto"/>
              </w:rPr>
              <w:t>（4）主要生产设施及设施参数</w:t>
            </w:r>
          </w:p>
          <w:p w14:paraId="5FF48F44">
            <w:pPr>
              <w:ind w:firstLine="480"/>
              <w:rPr>
                <w:color w:val="auto"/>
              </w:rPr>
            </w:pPr>
            <w:r>
              <w:rPr>
                <w:color w:val="auto"/>
              </w:rPr>
              <w:t>本项目主要生产设施及设施参数见表2-</w:t>
            </w:r>
            <w:r>
              <w:rPr>
                <w:rFonts w:hint="eastAsia"/>
                <w:color w:val="auto"/>
                <w:lang w:val="en-US" w:eastAsia="zh-CN"/>
              </w:rPr>
              <w:t>8</w:t>
            </w:r>
            <w:r>
              <w:rPr>
                <w:color w:val="auto"/>
              </w:rPr>
              <w:t>。</w:t>
            </w:r>
          </w:p>
          <w:p w14:paraId="01D393CF">
            <w:pPr>
              <w:pStyle w:val="58"/>
              <w:ind w:firstLine="422"/>
              <w:rPr>
                <w:color w:val="auto"/>
              </w:rPr>
            </w:pPr>
            <w:r>
              <w:rPr>
                <w:color w:val="auto"/>
              </w:rPr>
              <w:t>表2-</w:t>
            </w:r>
            <w:r>
              <w:rPr>
                <w:rFonts w:hint="eastAsia"/>
                <w:color w:val="auto"/>
                <w:lang w:val="en-US" w:eastAsia="zh-CN"/>
              </w:rPr>
              <w:t>8</w:t>
            </w:r>
            <w:r>
              <w:rPr>
                <w:color w:val="auto"/>
              </w:rPr>
              <w:t>主要生产设备一览表</w:t>
            </w:r>
          </w:p>
          <w:tbl>
            <w:tblPr>
              <w:tblStyle w:val="37"/>
              <w:tblW w:w="8583" w:type="dxa"/>
              <w:tblInd w:w="0" w:type="dxa"/>
              <w:tblLayout w:type="fixed"/>
              <w:tblCellMar>
                <w:top w:w="0" w:type="dxa"/>
                <w:left w:w="0" w:type="dxa"/>
                <w:bottom w:w="0" w:type="dxa"/>
                <w:right w:w="0" w:type="dxa"/>
              </w:tblCellMar>
            </w:tblPr>
            <w:tblGrid>
              <w:gridCol w:w="1813"/>
              <w:gridCol w:w="3050"/>
              <w:gridCol w:w="2141"/>
              <w:gridCol w:w="1579"/>
            </w:tblGrid>
            <w:tr w14:paraId="13E2A1B6">
              <w:tblPrEx>
                <w:tblCellMar>
                  <w:top w:w="0" w:type="dxa"/>
                  <w:left w:w="0" w:type="dxa"/>
                  <w:bottom w:w="0" w:type="dxa"/>
                  <w:right w:w="0" w:type="dxa"/>
                </w:tblCellMar>
              </w:tblPrEx>
              <w:trPr>
                <w:trHeight w:val="23" w:hRule="atLeast"/>
                <w:tblHeader/>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21C7E">
                  <w:pPr>
                    <w:pStyle w:val="57"/>
                    <w:rPr>
                      <w:b/>
                      <w:bCs w:val="0"/>
                      <w:color w:val="auto"/>
                    </w:rPr>
                  </w:pPr>
                  <w:r>
                    <w:rPr>
                      <w:b/>
                      <w:bCs w:val="0"/>
                      <w:color w:val="auto"/>
                    </w:rPr>
                    <w:t>序号</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7ED3C">
                  <w:pPr>
                    <w:pStyle w:val="57"/>
                    <w:rPr>
                      <w:b/>
                      <w:bCs w:val="0"/>
                      <w:color w:val="auto"/>
                    </w:rPr>
                  </w:pPr>
                  <w:r>
                    <w:rPr>
                      <w:b/>
                      <w:bCs w:val="0"/>
                      <w:color w:val="auto"/>
                    </w:rPr>
                    <w:t>名称</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5BD74">
                  <w:pPr>
                    <w:pStyle w:val="57"/>
                    <w:rPr>
                      <w:b/>
                      <w:bCs w:val="0"/>
                      <w:color w:val="auto"/>
                    </w:rPr>
                  </w:pPr>
                  <w:r>
                    <w:rPr>
                      <w:b/>
                      <w:bCs w:val="0"/>
                      <w:color w:val="auto"/>
                    </w:rPr>
                    <w:t>数量</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9D64C">
                  <w:pPr>
                    <w:pStyle w:val="57"/>
                    <w:rPr>
                      <w:b/>
                      <w:bCs w:val="0"/>
                      <w:color w:val="auto"/>
                    </w:rPr>
                  </w:pPr>
                  <w:r>
                    <w:rPr>
                      <w:b/>
                      <w:bCs w:val="0"/>
                      <w:color w:val="auto"/>
                    </w:rPr>
                    <w:t>单位</w:t>
                  </w:r>
                </w:p>
              </w:tc>
            </w:tr>
            <w:tr w14:paraId="7860E717">
              <w:tblPrEx>
                <w:tblCellMar>
                  <w:top w:w="0" w:type="dxa"/>
                  <w:left w:w="0" w:type="dxa"/>
                  <w:bottom w:w="0" w:type="dxa"/>
                  <w:right w:w="0" w:type="dxa"/>
                </w:tblCellMar>
              </w:tblPrEx>
              <w:trPr>
                <w:trHeight w:val="90"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5678D">
                  <w:pPr>
                    <w:pStyle w:val="57"/>
                    <w:rPr>
                      <w:color w:val="auto"/>
                    </w:rPr>
                  </w:pPr>
                  <w:r>
                    <w:rPr>
                      <w:rFonts w:hint="eastAsia"/>
                      <w:color w:val="auto"/>
                    </w:rPr>
                    <w:t>1</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C11CC">
                  <w:pPr>
                    <w:pStyle w:val="57"/>
                    <w:rPr>
                      <w:color w:val="auto"/>
                    </w:rPr>
                  </w:pPr>
                  <w:r>
                    <w:rPr>
                      <w:rFonts w:hint="eastAsia"/>
                      <w:color w:val="auto"/>
                    </w:rPr>
                    <w:t>混色机</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BBCC0">
                  <w:pPr>
                    <w:pStyle w:val="57"/>
                    <w:rPr>
                      <w:color w:val="auto"/>
                    </w:rPr>
                  </w:pPr>
                  <w:r>
                    <w:rPr>
                      <w:rFonts w:hint="eastAsia"/>
                      <w:color w:val="auto"/>
                    </w:rPr>
                    <w:t>8</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C8FA7">
                  <w:pPr>
                    <w:pStyle w:val="57"/>
                    <w:rPr>
                      <w:rFonts w:hint="eastAsia"/>
                      <w:color w:val="auto"/>
                    </w:rPr>
                  </w:pPr>
                  <w:r>
                    <w:rPr>
                      <w:rFonts w:hint="eastAsia"/>
                      <w:color w:val="auto"/>
                    </w:rPr>
                    <w:t>台</w:t>
                  </w:r>
                </w:p>
              </w:tc>
            </w:tr>
            <w:tr w14:paraId="004E1F6D">
              <w:tblPrEx>
                <w:tblCellMar>
                  <w:top w:w="0" w:type="dxa"/>
                  <w:left w:w="0" w:type="dxa"/>
                  <w:bottom w:w="0" w:type="dxa"/>
                  <w:right w:w="0" w:type="dxa"/>
                </w:tblCellMar>
              </w:tblPrEx>
              <w:trPr>
                <w:trHeight w:val="23"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AB54B">
                  <w:pPr>
                    <w:pStyle w:val="57"/>
                    <w:rPr>
                      <w:color w:val="auto"/>
                    </w:rPr>
                  </w:pPr>
                  <w:r>
                    <w:rPr>
                      <w:rFonts w:hint="eastAsia"/>
                      <w:color w:val="auto"/>
                    </w:rPr>
                    <w:t>2</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2ED9E">
                  <w:pPr>
                    <w:pStyle w:val="57"/>
                    <w:rPr>
                      <w:color w:val="auto"/>
                    </w:rPr>
                  </w:pPr>
                  <w:r>
                    <w:rPr>
                      <w:rFonts w:hint="eastAsia"/>
                      <w:color w:val="auto"/>
                    </w:rPr>
                    <w:t>注塑机</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71AFF">
                  <w:pPr>
                    <w:pStyle w:val="57"/>
                    <w:rPr>
                      <w:color w:val="auto"/>
                    </w:rPr>
                  </w:pPr>
                  <w:r>
                    <w:rPr>
                      <w:rFonts w:hint="eastAsia"/>
                      <w:color w:val="auto"/>
                    </w:rPr>
                    <w:t>15</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22572">
                  <w:pPr>
                    <w:pStyle w:val="57"/>
                    <w:rPr>
                      <w:rFonts w:hint="eastAsia"/>
                      <w:color w:val="auto"/>
                    </w:rPr>
                  </w:pPr>
                  <w:r>
                    <w:rPr>
                      <w:rFonts w:hint="eastAsia"/>
                      <w:color w:val="auto"/>
                    </w:rPr>
                    <w:t>台</w:t>
                  </w:r>
                </w:p>
              </w:tc>
            </w:tr>
            <w:tr w14:paraId="5CEDE137">
              <w:tblPrEx>
                <w:tblCellMar>
                  <w:top w:w="0" w:type="dxa"/>
                  <w:left w:w="0" w:type="dxa"/>
                  <w:bottom w:w="0" w:type="dxa"/>
                  <w:right w:w="0" w:type="dxa"/>
                </w:tblCellMar>
              </w:tblPrEx>
              <w:trPr>
                <w:trHeight w:val="23"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713CE">
                  <w:pPr>
                    <w:pStyle w:val="57"/>
                    <w:rPr>
                      <w:color w:val="auto"/>
                    </w:rPr>
                  </w:pPr>
                  <w:r>
                    <w:rPr>
                      <w:rFonts w:hint="eastAsia"/>
                      <w:color w:val="auto"/>
                    </w:rPr>
                    <w:t>3</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622FF">
                  <w:pPr>
                    <w:pStyle w:val="57"/>
                    <w:rPr>
                      <w:color w:val="auto"/>
                    </w:rPr>
                  </w:pPr>
                  <w:r>
                    <w:rPr>
                      <w:rFonts w:hint="eastAsia"/>
                      <w:color w:val="auto"/>
                    </w:rPr>
                    <w:t>组装生产线</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BCF5">
                  <w:pPr>
                    <w:pStyle w:val="57"/>
                    <w:rPr>
                      <w:color w:val="auto"/>
                    </w:rPr>
                  </w:pPr>
                  <w:r>
                    <w:rPr>
                      <w:rFonts w:hint="eastAsia"/>
                      <w:color w:val="auto"/>
                    </w:rPr>
                    <w:t>20</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30CDD">
                  <w:pPr>
                    <w:pStyle w:val="57"/>
                    <w:rPr>
                      <w:rFonts w:hint="eastAsia"/>
                      <w:color w:val="auto"/>
                    </w:rPr>
                  </w:pPr>
                  <w:r>
                    <w:rPr>
                      <w:rFonts w:hint="eastAsia"/>
                      <w:color w:val="auto"/>
                    </w:rPr>
                    <w:t>条</w:t>
                  </w:r>
                </w:p>
              </w:tc>
            </w:tr>
            <w:tr w14:paraId="44EDDA22">
              <w:tblPrEx>
                <w:tblCellMar>
                  <w:top w:w="0" w:type="dxa"/>
                  <w:left w:w="0" w:type="dxa"/>
                  <w:bottom w:w="0" w:type="dxa"/>
                  <w:right w:w="0" w:type="dxa"/>
                </w:tblCellMar>
              </w:tblPrEx>
              <w:trPr>
                <w:trHeight w:val="23"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F85F4">
                  <w:pPr>
                    <w:pStyle w:val="57"/>
                    <w:rPr>
                      <w:color w:val="auto"/>
                    </w:rPr>
                  </w:pPr>
                  <w:r>
                    <w:rPr>
                      <w:rFonts w:hint="eastAsia"/>
                      <w:color w:val="auto"/>
                    </w:rPr>
                    <w:t>4</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EEE8F">
                  <w:pPr>
                    <w:pStyle w:val="57"/>
                    <w:rPr>
                      <w:color w:val="auto"/>
                    </w:rPr>
                  </w:pPr>
                  <w:r>
                    <w:rPr>
                      <w:rFonts w:hint="eastAsia"/>
                      <w:color w:val="auto"/>
                    </w:rPr>
                    <w:t>丝网印刷机</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8750B">
                  <w:pPr>
                    <w:pStyle w:val="57"/>
                    <w:rPr>
                      <w:color w:val="auto"/>
                    </w:rPr>
                  </w:pPr>
                  <w:r>
                    <w:rPr>
                      <w:rFonts w:hint="eastAsia"/>
                      <w:color w:val="auto"/>
                    </w:rPr>
                    <w:t>4</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51B8A">
                  <w:pPr>
                    <w:pStyle w:val="57"/>
                    <w:rPr>
                      <w:color w:val="auto"/>
                    </w:rPr>
                  </w:pPr>
                  <w:r>
                    <w:rPr>
                      <w:rFonts w:hint="eastAsia"/>
                      <w:color w:val="auto"/>
                    </w:rPr>
                    <w:t>台</w:t>
                  </w:r>
                </w:p>
              </w:tc>
            </w:tr>
            <w:tr w14:paraId="0AE04082">
              <w:tblPrEx>
                <w:tblCellMar>
                  <w:top w:w="0" w:type="dxa"/>
                  <w:left w:w="0" w:type="dxa"/>
                  <w:bottom w:w="0" w:type="dxa"/>
                  <w:right w:w="0" w:type="dxa"/>
                </w:tblCellMar>
              </w:tblPrEx>
              <w:trPr>
                <w:trHeight w:val="23"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5D0EB">
                  <w:pPr>
                    <w:pStyle w:val="57"/>
                    <w:rPr>
                      <w:color w:val="auto"/>
                    </w:rPr>
                  </w:pPr>
                  <w:r>
                    <w:rPr>
                      <w:rFonts w:hint="eastAsia"/>
                      <w:color w:val="auto"/>
                    </w:rPr>
                    <w:t>5</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0BA3">
                  <w:pPr>
                    <w:pStyle w:val="57"/>
                    <w:rPr>
                      <w:color w:val="auto"/>
                    </w:rPr>
                  </w:pPr>
                  <w:r>
                    <w:rPr>
                      <w:rFonts w:hint="eastAsia"/>
                      <w:color w:val="auto"/>
                    </w:rPr>
                    <w:t>热转印机</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A721F">
                  <w:pPr>
                    <w:pStyle w:val="57"/>
                    <w:rPr>
                      <w:color w:val="auto"/>
                    </w:rPr>
                  </w:pPr>
                  <w:r>
                    <w:rPr>
                      <w:rFonts w:hint="eastAsia"/>
                      <w:color w:val="auto"/>
                    </w:rPr>
                    <w:t>4</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D6C9A">
                  <w:pPr>
                    <w:pStyle w:val="57"/>
                    <w:rPr>
                      <w:rFonts w:hint="eastAsia"/>
                      <w:color w:val="auto"/>
                    </w:rPr>
                  </w:pPr>
                  <w:r>
                    <w:rPr>
                      <w:rFonts w:hint="eastAsia"/>
                      <w:color w:val="auto"/>
                    </w:rPr>
                    <w:t>台</w:t>
                  </w:r>
                </w:p>
              </w:tc>
            </w:tr>
            <w:tr w14:paraId="7402EDC1">
              <w:trPr>
                <w:trHeight w:val="23" w:hRule="atLeast"/>
              </w:trPr>
              <w:tc>
                <w:tcPr>
                  <w:tcW w:w="10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EF242">
                  <w:pPr>
                    <w:pStyle w:val="57"/>
                    <w:rPr>
                      <w:color w:val="auto"/>
                    </w:rPr>
                  </w:pPr>
                  <w:r>
                    <w:rPr>
                      <w:rFonts w:hint="eastAsia"/>
                      <w:color w:val="auto"/>
                    </w:rPr>
                    <w:t>6</w:t>
                  </w:r>
                </w:p>
              </w:tc>
              <w:tc>
                <w:tcPr>
                  <w:tcW w:w="17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42932">
                  <w:pPr>
                    <w:pStyle w:val="57"/>
                    <w:rPr>
                      <w:color w:val="auto"/>
                    </w:rPr>
                  </w:pPr>
                  <w:r>
                    <w:rPr>
                      <w:rFonts w:hint="eastAsia"/>
                      <w:color w:val="auto"/>
                    </w:rPr>
                    <w:t>破碎机</w:t>
                  </w:r>
                </w:p>
              </w:tc>
              <w:tc>
                <w:tcPr>
                  <w:tcW w:w="12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9B15D">
                  <w:pPr>
                    <w:pStyle w:val="57"/>
                    <w:rPr>
                      <w:color w:val="auto"/>
                    </w:rPr>
                  </w:pPr>
                  <w:r>
                    <w:rPr>
                      <w:rFonts w:hint="eastAsia"/>
                      <w:color w:val="auto"/>
                    </w:rPr>
                    <w:t>1</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B9207">
                  <w:pPr>
                    <w:pStyle w:val="57"/>
                    <w:rPr>
                      <w:rFonts w:hint="eastAsia"/>
                      <w:color w:val="auto"/>
                    </w:rPr>
                  </w:pPr>
                  <w:r>
                    <w:rPr>
                      <w:rFonts w:hint="eastAsia"/>
                      <w:color w:val="auto"/>
                    </w:rPr>
                    <w:t>台</w:t>
                  </w:r>
                </w:p>
              </w:tc>
            </w:tr>
          </w:tbl>
          <w:p w14:paraId="03DE51DD">
            <w:pPr>
              <w:ind w:firstLine="482"/>
              <w:rPr>
                <w:b/>
                <w:bCs/>
                <w:color w:val="auto"/>
              </w:rPr>
            </w:pPr>
            <w:r>
              <w:rPr>
                <w:b/>
                <w:bCs/>
                <w:color w:val="auto"/>
              </w:rPr>
              <w:t>4、公用工程</w:t>
            </w:r>
          </w:p>
          <w:p w14:paraId="41A0CDA9">
            <w:pPr>
              <w:ind w:firstLine="482"/>
              <w:rPr>
                <w:b/>
                <w:bCs/>
                <w:color w:val="auto"/>
              </w:rPr>
            </w:pPr>
            <w:r>
              <w:rPr>
                <w:b/>
                <w:bCs/>
                <w:color w:val="auto"/>
              </w:rPr>
              <w:t>（1）给排水</w:t>
            </w:r>
          </w:p>
          <w:p w14:paraId="7F9E8140">
            <w:pPr>
              <w:ind w:firstLine="482"/>
              <w:rPr>
                <w:b/>
                <w:bCs/>
                <w:color w:val="auto"/>
              </w:rPr>
            </w:pPr>
            <w:r>
              <w:rPr>
                <w:b/>
                <w:bCs/>
                <w:color w:val="auto"/>
              </w:rPr>
              <w:t>1）给水</w:t>
            </w:r>
          </w:p>
          <w:p w14:paraId="515C51D1">
            <w:pPr>
              <w:ind w:firstLine="480"/>
              <w:rPr>
                <w:color w:val="auto"/>
              </w:rPr>
            </w:pPr>
            <w:r>
              <w:rPr>
                <w:rFonts w:hint="eastAsia"/>
                <w:color w:val="auto"/>
              </w:rPr>
              <w:t>本项目印刷机使用布料擦拭进行清洁，无设备清洁用水</w:t>
            </w:r>
            <w:r>
              <w:rPr>
                <w:color w:val="auto"/>
              </w:rPr>
              <w:t>。</w:t>
            </w:r>
            <w:r>
              <w:rPr>
                <w:rFonts w:hint="eastAsia"/>
                <w:color w:val="auto"/>
              </w:rPr>
              <w:t>本</w:t>
            </w:r>
            <w:r>
              <w:rPr>
                <w:color w:val="auto"/>
              </w:rPr>
              <w:t>项目</w:t>
            </w:r>
            <w:r>
              <w:rPr>
                <w:rFonts w:hint="eastAsia"/>
                <w:color w:val="auto"/>
              </w:rPr>
              <w:t>用水</w:t>
            </w:r>
            <w:r>
              <w:rPr>
                <w:color w:val="auto"/>
              </w:rPr>
              <w:t>主要</w:t>
            </w:r>
            <w:r>
              <w:rPr>
                <w:rFonts w:hint="eastAsia"/>
                <w:color w:val="auto"/>
              </w:rPr>
              <w:t>为</w:t>
            </w:r>
            <w:r>
              <w:rPr>
                <w:color w:val="auto"/>
              </w:rPr>
              <w:t>生活用水、</w:t>
            </w:r>
            <w:r>
              <w:rPr>
                <w:rFonts w:hint="eastAsia"/>
                <w:color w:val="auto"/>
              </w:rPr>
              <w:t>循环</w:t>
            </w:r>
            <w:r>
              <w:rPr>
                <w:color w:val="auto"/>
              </w:rPr>
              <w:t>冷却</w:t>
            </w:r>
            <w:r>
              <w:rPr>
                <w:rFonts w:hint="eastAsia"/>
                <w:color w:val="auto"/>
              </w:rPr>
              <w:t>补充</w:t>
            </w:r>
            <w:r>
              <w:rPr>
                <w:color w:val="auto"/>
              </w:rPr>
              <w:t>用水</w:t>
            </w:r>
            <w:r>
              <w:rPr>
                <w:rFonts w:hint="eastAsia"/>
                <w:color w:val="auto"/>
              </w:rPr>
              <w:t>。</w:t>
            </w:r>
          </w:p>
          <w:p w14:paraId="72B7BA66">
            <w:pPr>
              <w:ind w:firstLine="482"/>
              <w:rPr>
                <w:color w:val="auto"/>
              </w:rPr>
            </w:pPr>
            <w:r>
              <w:rPr>
                <w:b/>
                <w:bCs/>
                <w:color w:val="auto"/>
              </w:rPr>
              <w:t>①生活用水：</w:t>
            </w:r>
            <w:r>
              <w:rPr>
                <w:color w:val="auto"/>
              </w:rPr>
              <w:t>本项目员工</w:t>
            </w:r>
            <w:r>
              <w:rPr>
                <w:rFonts w:hint="eastAsia"/>
                <w:color w:val="auto"/>
              </w:rPr>
              <w:t>40</w:t>
            </w:r>
            <w:r>
              <w:rPr>
                <w:color w:val="auto"/>
              </w:rPr>
              <w:t>人，根据《宿州市城市行业用水定额》（DB 3413/T 0001- 2020），城镇居民生活120L/人·d，职工生活用水量为</w:t>
            </w:r>
            <w:r>
              <w:rPr>
                <w:rFonts w:hint="eastAsia"/>
                <w:color w:val="auto"/>
              </w:rPr>
              <w:t>4.8</w:t>
            </w:r>
            <w:r>
              <w:rPr>
                <w:color w:val="auto"/>
              </w:rPr>
              <w:t>m³/d（</w:t>
            </w:r>
            <w:r>
              <w:rPr>
                <w:rFonts w:hint="eastAsia"/>
                <w:color w:val="auto"/>
              </w:rPr>
              <w:t>1440</w:t>
            </w:r>
            <w:r>
              <w:rPr>
                <w:color w:val="auto"/>
              </w:rPr>
              <w:t>m³/a）。</w:t>
            </w:r>
          </w:p>
          <w:p w14:paraId="4B2B44DE">
            <w:pPr>
              <w:ind w:firstLine="482"/>
              <w:rPr>
                <w:color w:val="auto"/>
              </w:rPr>
            </w:pPr>
            <w:r>
              <w:rPr>
                <w:rFonts w:hint="eastAsia"/>
                <w:b/>
                <w:bCs/>
                <w:color w:val="auto"/>
              </w:rPr>
              <w:t>②循环</w:t>
            </w:r>
            <w:r>
              <w:rPr>
                <w:b/>
                <w:bCs/>
                <w:color w:val="auto"/>
              </w:rPr>
              <w:t>冷却</w:t>
            </w:r>
            <w:r>
              <w:rPr>
                <w:rFonts w:hint="eastAsia"/>
                <w:b/>
                <w:bCs/>
                <w:color w:val="auto"/>
              </w:rPr>
              <w:t>补充</w:t>
            </w:r>
            <w:r>
              <w:rPr>
                <w:b/>
                <w:bCs/>
                <w:color w:val="auto"/>
              </w:rPr>
              <w:t>用水</w:t>
            </w:r>
            <w:r>
              <w:rPr>
                <w:color w:val="auto"/>
              </w:rPr>
              <w:t>：</w:t>
            </w:r>
            <w:r>
              <w:rPr>
                <w:rFonts w:hint="eastAsia"/>
                <w:color w:val="auto"/>
              </w:rPr>
              <w:t>本项目注塑机</w:t>
            </w:r>
            <w:r>
              <w:rPr>
                <w:rFonts w:hint="eastAsia"/>
                <w:color w:val="auto"/>
                <w:kern w:val="0"/>
              </w:rPr>
              <w:t>通入冷却水间接冷却。冷却水</w:t>
            </w:r>
            <w:r>
              <w:rPr>
                <w:color w:val="auto"/>
                <w:kern w:val="0"/>
              </w:rPr>
              <w:t>循环使用，定期补充使用过程中蒸发的部分冷却水，不外排。</w:t>
            </w:r>
            <w:r>
              <w:rPr>
                <w:rFonts w:hint="eastAsia"/>
                <w:color w:val="auto"/>
                <w:kern w:val="0"/>
              </w:rPr>
              <w:t>本项目</w:t>
            </w:r>
            <w:r>
              <w:rPr>
                <w:color w:val="auto"/>
                <w:kern w:val="0"/>
              </w:rPr>
              <w:t>循环水量为</w:t>
            </w:r>
            <w:r>
              <w:rPr>
                <w:rFonts w:hint="eastAsia"/>
                <w:color w:val="auto"/>
                <w:kern w:val="0"/>
              </w:rPr>
              <w:t>5m</w:t>
            </w:r>
            <w:r>
              <w:rPr>
                <w:rFonts w:hint="eastAsia"/>
                <w:color w:val="auto"/>
                <w:kern w:val="0"/>
                <w:vertAlign w:val="superscript"/>
              </w:rPr>
              <w:t>3</w:t>
            </w:r>
            <w:r>
              <w:rPr>
                <w:color w:val="auto"/>
                <w:kern w:val="0"/>
              </w:rPr>
              <w:t>/h（</w:t>
            </w:r>
            <w:r>
              <w:rPr>
                <w:rFonts w:hint="eastAsia"/>
                <w:color w:val="auto"/>
                <w:kern w:val="0"/>
              </w:rPr>
              <w:t>50m</w:t>
            </w:r>
            <w:r>
              <w:rPr>
                <w:rFonts w:hint="eastAsia"/>
                <w:color w:val="auto"/>
                <w:kern w:val="0"/>
                <w:vertAlign w:val="superscript"/>
              </w:rPr>
              <w:t>3</w:t>
            </w:r>
            <w:r>
              <w:rPr>
                <w:rFonts w:hint="eastAsia"/>
                <w:color w:val="auto"/>
                <w:kern w:val="0"/>
              </w:rPr>
              <w:t>/d</w:t>
            </w:r>
            <w:r>
              <w:rPr>
                <w:color w:val="auto"/>
                <w:kern w:val="0"/>
              </w:rPr>
              <w:t>），年工作</w:t>
            </w:r>
            <w:r>
              <w:rPr>
                <w:rFonts w:hint="eastAsia"/>
                <w:color w:val="auto"/>
                <w:kern w:val="0"/>
              </w:rPr>
              <w:t>3000</w:t>
            </w:r>
            <w:r>
              <w:rPr>
                <w:color w:val="auto"/>
                <w:kern w:val="0"/>
              </w:rPr>
              <w:t>h，则总循环水量为</w:t>
            </w:r>
            <w:r>
              <w:rPr>
                <w:rFonts w:hint="eastAsia"/>
                <w:color w:val="auto"/>
                <w:kern w:val="0"/>
              </w:rPr>
              <w:t>15000m</w:t>
            </w:r>
            <w:r>
              <w:rPr>
                <w:rFonts w:hint="eastAsia"/>
                <w:color w:val="auto"/>
                <w:kern w:val="0"/>
                <w:vertAlign w:val="superscript"/>
              </w:rPr>
              <w:t>3</w:t>
            </w:r>
            <w:r>
              <w:rPr>
                <w:rFonts w:hint="eastAsia"/>
                <w:color w:val="auto"/>
                <w:kern w:val="0"/>
              </w:rPr>
              <w:t>/a</w:t>
            </w:r>
            <w:r>
              <w:rPr>
                <w:color w:val="auto"/>
                <w:kern w:val="0"/>
              </w:rPr>
              <w:t>，根据《工业循环冷却水处理设计规范》（GB50050-2017），循环冷却水系统蒸发水量占循环水量的2%</w:t>
            </w:r>
            <w:r>
              <w:rPr>
                <w:rFonts w:hint="eastAsia"/>
                <w:color w:val="auto"/>
                <w:kern w:val="0"/>
              </w:rPr>
              <w:t>，</w:t>
            </w:r>
            <w:r>
              <w:rPr>
                <w:color w:val="auto"/>
                <w:kern w:val="0"/>
              </w:rPr>
              <w:t>为</w:t>
            </w:r>
            <w:r>
              <w:rPr>
                <w:rFonts w:hint="eastAsia"/>
                <w:color w:val="auto"/>
                <w:kern w:val="0"/>
              </w:rPr>
              <w:t>（1m</w:t>
            </w:r>
            <w:r>
              <w:rPr>
                <w:rFonts w:hint="eastAsia"/>
                <w:color w:val="auto"/>
                <w:kern w:val="0"/>
                <w:vertAlign w:val="superscript"/>
              </w:rPr>
              <w:t>3</w:t>
            </w:r>
            <w:r>
              <w:rPr>
                <w:rFonts w:hint="eastAsia"/>
                <w:color w:val="auto"/>
                <w:kern w:val="0"/>
              </w:rPr>
              <w:t>/d）300m</w:t>
            </w:r>
            <w:r>
              <w:rPr>
                <w:rFonts w:hint="eastAsia"/>
                <w:color w:val="auto"/>
                <w:kern w:val="0"/>
                <w:vertAlign w:val="superscript"/>
              </w:rPr>
              <w:t>3</w:t>
            </w:r>
            <w:r>
              <w:rPr>
                <w:rFonts w:hint="eastAsia"/>
                <w:color w:val="auto"/>
                <w:kern w:val="0"/>
              </w:rPr>
              <w:t>/a，</w:t>
            </w:r>
            <w:r>
              <w:rPr>
                <w:color w:val="auto"/>
              </w:rPr>
              <w:t>冷却</w:t>
            </w:r>
            <w:r>
              <w:rPr>
                <w:rFonts w:hint="eastAsia"/>
                <w:color w:val="auto"/>
              </w:rPr>
              <w:t>用</w:t>
            </w:r>
            <w:r>
              <w:rPr>
                <w:color w:val="auto"/>
              </w:rPr>
              <w:t>水循环使用，</w:t>
            </w:r>
            <w:r>
              <w:rPr>
                <w:rFonts w:hint="eastAsia"/>
                <w:color w:val="auto"/>
              </w:rPr>
              <w:t>定期添加损耗量，</w:t>
            </w:r>
            <w:r>
              <w:rPr>
                <w:color w:val="auto"/>
              </w:rPr>
              <w:t>不外排。</w:t>
            </w:r>
          </w:p>
          <w:p w14:paraId="11679293">
            <w:pPr>
              <w:ind w:firstLine="482"/>
              <w:rPr>
                <w:b/>
                <w:bCs/>
                <w:color w:val="auto"/>
              </w:rPr>
            </w:pPr>
            <w:r>
              <w:rPr>
                <w:b/>
                <w:bCs/>
                <w:color w:val="auto"/>
              </w:rPr>
              <w:t>2）排水</w:t>
            </w:r>
          </w:p>
          <w:p w14:paraId="07D73063">
            <w:pPr>
              <w:ind w:firstLine="480"/>
              <w:rPr>
                <w:rFonts w:hint="eastAsia"/>
                <w:color w:val="auto"/>
              </w:rPr>
            </w:pPr>
            <w:r>
              <w:rPr>
                <w:color w:val="auto"/>
              </w:rPr>
              <w:t>项目区排水采取雨、污分流制，雨水通过雨水管网，进入市政雨水管网；本项目废水主要为生活污水</w:t>
            </w:r>
            <w:r>
              <w:rPr>
                <w:rFonts w:hint="eastAsia"/>
                <w:color w:val="auto"/>
              </w:rPr>
              <w:t>。</w:t>
            </w:r>
          </w:p>
          <w:p w14:paraId="6A8C92DB">
            <w:pPr>
              <w:ind w:firstLine="482"/>
              <w:rPr>
                <w:color w:val="auto"/>
              </w:rPr>
            </w:pPr>
            <w:r>
              <w:rPr>
                <w:b/>
                <w:bCs/>
                <w:color w:val="auto"/>
              </w:rPr>
              <w:t>生活污水</w:t>
            </w:r>
            <w:r>
              <w:rPr>
                <w:color w:val="auto"/>
              </w:rPr>
              <w:t>：职工的生活用水按照产污系数</w:t>
            </w:r>
            <w:r>
              <w:rPr>
                <w:rFonts w:hint="eastAsia"/>
                <w:color w:val="auto"/>
              </w:rPr>
              <w:t>80%</w:t>
            </w:r>
            <w:r>
              <w:rPr>
                <w:color w:val="auto"/>
              </w:rPr>
              <w:t>计，则生活污水产生量为</w:t>
            </w:r>
            <w:r>
              <w:rPr>
                <w:rFonts w:hint="eastAsia"/>
                <w:color w:val="auto"/>
              </w:rPr>
              <w:t>3.84m</w:t>
            </w:r>
            <w:r>
              <w:rPr>
                <w:rFonts w:hint="eastAsia"/>
                <w:color w:val="auto"/>
                <w:vertAlign w:val="superscript"/>
              </w:rPr>
              <w:t>3</w:t>
            </w:r>
            <w:r>
              <w:rPr>
                <w:color w:val="auto"/>
              </w:rPr>
              <w:t>/d（</w:t>
            </w:r>
            <w:r>
              <w:rPr>
                <w:rFonts w:hint="eastAsia"/>
                <w:color w:val="auto"/>
              </w:rPr>
              <w:t>1152m</w:t>
            </w:r>
            <w:r>
              <w:rPr>
                <w:rFonts w:hint="eastAsia"/>
                <w:color w:val="auto"/>
                <w:vertAlign w:val="superscript"/>
              </w:rPr>
              <w:t>3</w:t>
            </w:r>
            <w:r>
              <w:rPr>
                <w:color w:val="auto"/>
              </w:rPr>
              <w:t>/a）。</w:t>
            </w:r>
          </w:p>
          <w:p w14:paraId="2CB52599">
            <w:pPr>
              <w:ind w:firstLine="0" w:firstLineChars="0"/>
              <w:jc w:val="center"/>
              <w:rPr>
                <w:color w:val="auto"/>
              </w:rPr>
            </w:pPr>
            <w:r>
              <w:rPr>
                <w:color w:val="auto"/>
              </w:rPr>
              <w:object>
                <v:shape id="_x0000_i1025" o:spt="75" type="#_x0000_t75" style="height:256.1pt;width:347.75pt;" o:ole="t" filled="f" o:preferrelative="t" stroked="f" coordsize="21600,21600">
                  <v:path/>
                  <v:fill on="f" focussize="0,0"/>
                  <v:stroke on="f" joinstyle="miter"/>
                  <v:imagedata r:id="rId17" o:title=""/>
                  <o:lock v:ext="edit" aspectratio="f"/>
                  <w10:wrap type="none"/>
                  <w10:anchorlock/>
                </v:shape>
                <o:OLEObject Type="Embed" ProgID="Visio.Drawing.11" ShapeID="_x0000_i1025" DrawAspect="Content" ObjectID="_1468075725" r:id="rId16">
                  <o:LockedField>false</o:LockedField>
                </o:OLEObject>
              </w:object>
            </w:r>
          </w:p>
          <w:p w14:paraId="041BD58C">
            <w:pPr>
              <w:pStyle w:val="58"/>
              <w:ind w:firstLine="422"/>
              <w:rPr>
                <w:color w:val="auto"/>
              </w:rPr>
            </w:pPr>
            <w:r>
              <w:rPr>
                <w:color w:val="auto"/>
              </w:rPr>
              <w:t>图2-1本项目水平衡图（单位：m³/d）</w:t>
            </w:r>
          </w:p>
          <w:p w14:paraId="44213A4A">
            <w:pPr>
              <w:ind w:firstLine="482"/>
              <w:rPr>
                <w:b/>
                <w:bCs/>
                <w:color w:val="auto"/>
              </w:rPr>
            </w:pPr>
          </w:p>
          <w:p w14:paraId="20838C93">
            <w:pPr>
              <w:ind w:firstLine="482"/>
              <w:rPr>
                <w:b/>
                <w:bCs/>
                <w:color w:val="auto"/>
              </w:rPr>
            </w:pPr>
            <w:r>
              <w:rPr>
                <w:b/>
                <w:bCs/>
                <w:color w:val="auto"/>
              </w:rPr>
              <w:t>③能源</w:t>
            </w:r>
          </w:p>
          <w:p w14:paraId="47E79668">
            <w:pPr>
              <w:ind w:firstLine="480"/>
              <w:rPr>
                <w:color w:val="auto"/>
              </w:rPr>
            </w:pPr>
            <w:r>
              <w:rPr>
                <w:color w:val="auto"/>
              </w:rPr>
              <w:t>本项目用电由市政电网供给，用电量约为</w:t>
            </w:r>
            <w:r>
              <w:rPr>
                <w:rFonts w:hint="eastAsia"/>
                <w:color w:val="auto"/>
              </w:rPr>
              <w:t>30万千瓦</w:t>
            </w:r>
            <w:r>
              <w:rPr>
                <w:color w:val="auto"/>
              </w:rPr>
              <w:t>时/年。</w:t>
            </w:r>
          </w:p>
          <w:p w14:paraId="7592EBF3">
            <w:pPr>
              <w:ind w:firstLine="482"/>
              <w:rPr>
                <w:b/>
                <w:bCs/>
                <w:color w:val="auto"/>
              </w:rPr>
            </w:pPr>
            <w:r>
              <w:rPr>
                <w:b/>
                <w:bCs/>
                <w:color w:val="auto"/>
              </w:rPr>
              <w:t>5、劳动定员及工作制度</w:t>
            </w:r>
          </w:p>
          <w:p w14:paraId="70663017">
            <w:pPr>
              <w:ind w:firstLine="480"/>
              <w:rPr>
                <w:color w:val="auto"/>
              </w:rPr>
            </w:pPr>
            <w:r>
              <w:rPr>
                <w:color w:val="auto"/>
              </w:rPr>
              <w:t>本项目劳动定</w:t>
            </w:r>
            <w:r>
              <w:rPr>
                <w:rFonts w:hint="eastAsia"/>
                <w:color w:val="auto"/>
              </w:rPr>
              <w:t>40</w:t>
            </w:r>
            <w:r>
              <w:rPr>
                <w:color w:val="auto"/>
              </w:rPr>
              <w:t>人，</w:t>
            </w:r>
            <w:r>
              <w:rPr>
                <w:rFonts w:hint="eastAsia"/>
                <w:color w:val="auto"/>
              </w:rPr>
              <w:t>1</w:t>
            </w:r>
            <w:r>
              <w:rPr>
                <w:color w:val="auto"/>
              </w:rPr>
              <w:t>班制，每班</w:t>
            </w:r>
            <w:r>
              <w:rPr>
                <w:rFonts w:hint="eastAsia"/>
                <w:color w:val="auto"/>
              </w:rPr>
              <w:t>10</w:t>
            </w:r>
            <w:r>
              <w:rPr>
                <w:color w:val="auto"/>
              </w:rPr>
              <w:t>小时，年最大工作时间为</w:t>
            </w:r>
            <w:r>
              <w:rPr>
                <w:rFonts w:hint="eastAsia"/>
                <w:color w:val="auto"/>
              </w:rPr>
              <w:t>300</w:t>
            </w:r>
            <w:r>
              <w:rPr>
                <w:color w:val="auto"/>
              </w:rPr>
              <w:t>天。</w:t>
            </w:r>
          </w:p>
          <w:p w14:paraId="5374A3B4">
            <w:pPr>
              <w:ind w:firstLine="482"/>
              <w:jc w:val="left"/>
              <w:textAlignment w:val="baseline"/>
              <w:rPr>
                <w:b/>
                <w:bCs/>
                <w:color w:val="auto"/>
                <w:kern w:val="0"/>
              </w:rPr>
            </w:pPr>
            <w:r>
              <w:rPr>
                <w:b/>
                <w:bCs/>
                <w:color w:val="auto"/>
                <w:kern w:val="0"/>
              </w:rPr>
              <w:t>6、项目四至情况及平面布置图</w:t>
            </w:r>
          </w:p>
          <w:p w14:paraId="36460F51">
            <w:pPr>
              <w:ind w:firstLine="488"/>
              <w:textAlignment w:val="baseline"/>
              <w:rPr>
                <w:color w:val="auto"/>
              </w:rPr>
            </w:pPr>
            <w:r>
              <w:rPr>
                <w:color w:val="auto"/>
                <w:spacing w:val="2"/>
              </w:rPr>
              <w:t>本项目位于</w:t>
            </w:r>
            <w:r>
              <w:rPr>
                <w:rFonts w:hint="eastAsia"/>
                <w:color w:val="auto"/>
                <w:spacing w:val="2"/>
              </w:rPr>
              <w:t>安徽省</w:t>
            </w:r>
            <w:r>
              <w:rPr>
                <w:rFonts w:hint="eastAsia"/>
                <w:color w:val="auto"/>
                <w:spacing w:val="2"/>
                <w:lang w:eastAsia="zh-CN"/>
              </w:rPr>
              <w:t>宿州市经济开发区陈河路与鞋</w:t>
            </w:r>
            <w:r>
              <w:rPr>
                <w:rFonts w:hint="eastAsia"/>
                <w:color w:val="auto"/>
                <w:spacing w:val="2"/>
              </w:rPr>
              <w:t>城八路交叉口东南角安徽顺鑫鞋业有限公司厂区内，安徽顺鑫鞋业有限公司东侧为大陈沟、南侧为空地、</w:t>
            </w:r>
            <w:r>
              <w:rPr>
                <w:color w:val="auto"/>
                <w:spacing w:val="2"/>
              </w:rPr>
              <w:t>西侧</w:t>
            </w:r>
            <w:r>
              <w:rPr>
                <w:rFonts w:hint="eastAsia"/>
                <w:color w:val="auto"/>
                <w:spacing w:val="2"/>
              </w:rPr>
              <w:t>为陈河路、</w:t>
            </w:r>
            <w:r>
              <w:rPr>
                <w:color w:val="auto"/>
                <w:spacing w:val="2"/>
              </w:rPr>
              <w:t>北侧为</w:t>
            </w:r>
            <w:r>
              <w:rPr>
                <w:rFonts w:hint="eastAsia"/>
                <w:color w:val="auto"/>
                <w:spacing w:val="2"/>
              </w:rPr>
              <w:t>鞋城八路</w:t>
            </w:r>
            <w:r>
              <w:rPr>
                <w:color w:val="auto"/>
                <w:spacing w:val="2"/>
              </w:rPr>
              <w:t>，</w:t>
            </w:r>
            <w:r>
              <w:rPr>
                <w:rFonts w:hint="eastAsia"/>
                <w:color w:val="auto"/>
                <w:spacing w:val="2"/>
              </w:rPr>
              <w:t>最近敏感点位于厂区东北侧319m处洪学庄，</w:t>
            </w:r>
            <w:r>
              <w:rPr>
                <w:color w:val="auto"/>
              </w:rPr>
              <w:t>具体见附图3。</w:t>
            </w:r>
          </w:p>
          <w:p w14:paraId="2DBF0678">
            <w:pPr>
              <w:ind w:firstLine="488"/>
              <w:textAlignment w:val="baseline"/>
              <w:rPr>
                <w:rFonts w:hint="eastAsia"/>
                <w:color w:val="auto"/>
                <w:spacing w:val="2"/>
              </w:rPr>
            </w:pPr>
            <w:r>
              <w:rPr>
                <w:rFonts w:hint="eastAsia"/>
                <w:color w:val="auto"/>
                <w:spacing w:val="2"/>
              </w:rPr>
              <w:t>本项目位于安徽顺鑫鞋业有限公司西侧厂房内1、2层，</w:t>
            </w:r>
            <w:r>
              <w:rPr>
                <w:rFonts w:hint="eastAsia"/>
                <w:color w:val="auto"/>
              </w:rPr>
              <w:t>本项目设置1套“二级活性炭”处理</w:t>
            </w:r>
            <w:r>
              <w:rPr>
                <w:rFonts w:hint="eastAsia"/>
                <w:color w:val="auto"/>
                <w:spacing w:val="2"/>
              </w:rPr>
              <w:t>设施，位于生产厂房东侧。</w:t>
            </w:r>
          </w:p>
          <w:p w14:paraId="6B71C612">
            <w:pPr>
              <w:ind w:firstLine="488"/>
              <w:textAlignment w:val="baseline"/>
              <w:rPr>
                <w:rFonts w:hint="eastAsia"/>
                <w:color w:val="auto"/>
                <w:spacing w:val="2"/>
              </w:rPr>
            </w:pPr>
            <w:r>
              <w:rPr>
                <w:rFonts w:hint="eastAsia"/>
                <w:color w:val="auto"/>
                <w:spacing w:val="2"/>
              </w:rPr>
              <w:t>生产设备均布设于各生产厂房内部，危废暂存间、一般固废暂存间设置于厂房2层南侧。本项目具体平面布置见附图3。</w:t>
            </w:r>
          </w:p>
          <w:p w14:paraId="5D895B13">
            <w:pPr>
              <w:pStyle w:val="19"/>
              <w:ind w:firstLine="368"/>
              <w:rPr>
                <w:rFonts w:hint="eastAsia"/>
                <w:color w:val="auto"/>
                <w:spacing w:val="2"/>
              </w:rPr>
            </w:pPr>
          </w:p>
          <w:p w14:paraId="044ACF0B">
            <w:pPr>
              <w:pStyle w:val="20"/>
              <w:ind w:firstLine="488"/>
              <w:rPr>
                <w:rFonts w:hint="eastAsia" w:ascii="Times New Roman" w:hAnsi="Times New Roman" w:eastAsia="宋体" w:cs="Times New Roman"/>
                <w:color w:val="auto"/>
                <w:spacing w:val="2"/>
              </w:rPr>
            </w:pPr>
          </w:p>
          <w:p w14:paraId="0172A24F">
            <w:pPr>
              <w:pStyle w:val="54"/>
              <w:ind w:firstLine="488"/>
              <w:rPr>
                <w:rFonts w:hint="eastAsia" w:eastAsia="宋体"/>
                <w:color w:val="auto"/>
                <w:spacing w:val="2"/>
              </w:rPr>
            </w:pPr>
          </w:p>
          <w:p w14:paraId="2D7F78B6">
            <w:pPr>
              <w:pStyle w:val="54"/>
              <w:ind w:firstLine="0" w:firstLineChars="0"/>
              <w:rPr>
                <w:rFonts w:eastAsia="宋体"/>
                <w:color w:val="auto"/>
                <w:spacing w:val="2"/>
              </w:rPr>
            </w:pPr>
          </w:p>
        </w:tc>
      </w:tr>
      <w:tr w14:paraId="4BE65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18" w:hRule="atLeast"/>
          <w:jc w:val="center"/>
        </w:trPr>
        <w:tc>
          <w:tcPr>
            <w:tcW w:w="429" w:type="pct"/>
            <w:vAlign w:val="center"/>
          </w:tcPr>
          <w:p w14:paraId="2FDA1165">
            <w:pPr>
              <w:pStyle w:val="34"/>
              <w:adjustRightInd w:val="0"/>
              <w:snapToGrid w:val="0"/>
              <w:spacing w:before="0" w:beforeAutospacing="0" w:after="0" w:afterAutospacing="0"/>
              <w:ind w:firstLine="0" w:firstLineChars="0"/>
              <w:jc w:val="center"/>
              <w:rPr>
                <w:rFonts w:ascii="Times New Roman" w:hAnsi="Times New Roman"/>
                <w:color w:val="auto"/>
                <w:szCs w:val="24"/>
              </w:rPr>
            </w:pPr>
            <w:r>
              <w:rPr>
                <w:rFonts w:ascii="Times New Roman" w:hAnsi="Times New Roman"/>
                <w:b/>
                <w:bCs/>
                <w:color w:val="auto"/>
                <w:szCs w:val="24"/>
              </w:rPr>
              <w:t>工艺流程和产排污环节</w:t>
            </w:r>
          </w:p>
        </w:tc>
        <w:tc>
          <w:tcPr>
            <w:tcW w:w="4570" w:type="pct"/>
          </w:tcPr>
          <w:p w14:paraId="51CEBE00">
            <w:pPr>
              <w:numPr>
                <w:ilvl w:val="0"/>
                <w:numId w:val="2"/>
              </w:numPr>
              <w:snapToGrid w:val="0"/>
              <w:ind w:firstLine="0" w:firstLineChars="0"/>
              <w:rPr>
                <w:b/>
                <w:bCs/>
                <w:color w:val="auto"/>
              </w:rPr>
            </w:pPr>
            <w:r>
              <w:rPr>
                <w:b/>
                <w:bCs/>
                <w:color w:val="auto"/>
              </w:rPr>
              <w:t>生产工艺流程</w:t>
            </w:r>
          </w:p>
          <w:p w14:paraId="4DA1C25C">
            <w:pPr>
              <w:ind w:firstLine="482"/>
              <w:rPr>
                <w:b/>
                <w:color w:val="auto"/>
              </w:rPr>
            </w:pPr>
            <w:r>
              <w:rPr>
                <w:rFonts w:hint="eastAsia"/>
                <w:b/>
                <w:bCs/>
                <w:color w:val="auto"/>
                <w:kern w:val="0"/>
              </w:rPr>
              <w:t>（1）文具生产工艺</w:t>
            </w:r>
          </w:p>
          <w:p w14:paraId="2097C10D">
            <w:pPr>
              <w:ind w:firstLine="0" w:firstLineChars="0"/>
              <w:jc w:val="center"/>
              <w:rPr>
                <w:b/>
                <w:color w:val="auto"/>
              </w:rPr>
            </w:pPr>
            <w:r>
              <w:rPr>
                <w:b/>
                <w:color w:val="auto"/>
              </w:rPr>
              <w:object>
                <v:shape id="_x0000_i1026" o:spt="75" type="#_x0000_t75" style="height:445.6pt;width:418.4pt;" o:ole="t" filled="f" o:preferrelative="t" stroked="f" coordsize="21600,21600">
                  <v:path/>
                  <v:fill on="f" focussize="0,0"/>
                  <v:stroke on="f" joinstyle="miter"/>
                  <v:imagedata r:id="rId19" o:title=""/>
                  <o:lock v:ext="edit" aspectratio="f"/>
                  <w10:wrap type="none"/>
                  <w10:anchorlock/>
                </v:shape>
                <o:OLEObject Type="Embed" ProgID="Visio.Drawing.11" ShapeID="_x0000_i1026" DrawAspect="Content" ObjectID="_1468075726" r:id="rId18">
                  <o:LockedField>false</o:LockedField>
                </o:OLEObject>
              </w:object>
            </w:r>
          </w:p>
          <w:p w14:paraId="04BD717C">
            <w:pPr>
              <w:pStyle w:val="58"/>
              <w:spacing w:line="360" w:lineRule="auto"/>
              <w:ind w:firstLine="422"/>
              <w:rPr>
                <w:color w:val="auto"/>
              </w:rPr>
            </w:pPr>
            <w:r>
              <w:rPr>
                <w:rFonts w:hint="eastAsia"/>
                <w:color w:val="auto"/>
              </w:rPr>
              <w:t>图2</w:t>
            </w:r>
            <w:r>
              <w:rPr>
                <w:color w:val="auto"/>
              </w:rPr>
              <w:t>-</w:t>
            </w:r>
            <w:r>
              <w:rPr>
                <w:rFonts w:hint="eastAsia"/>
                <w:color w:val="auto"/>
              </w:rPr>
              <w:t>1文具</w:t>
            </w:r>
            <w:r>
              <w:rPr>
                <w:color w:val="auto"/>
              </w:rPr>
              <w:t>生产工艺流程图及产污环节图</w:t>
            </w:r>
          </w:p>
          <w:p w14:paraId="1CE48BFC">
            <w:pPr>
              <w:widowControl/>
              <w:ind w:firstLine="482"/>
              <w:rPr>
                <w:b/>
                <w:bCs/>
                <w:color w:val="auto"/>
              </w:rPr>
            </w:pPr>
            <w:r>
              <w:rPr>
                <w:rFonts w:hint="eastAsia"/>
                <w:b/>
                <w:bCs/>
                <w:color w:val="auto"/>
              </w:rPr>
              <w:t>工艺流程：</w:t>
            </w:r>
          </w:p>
          <w:p w14:paraId="43276FD5">
            <w:pPr>
              <w:snapToGrid w:val="0"/>
              <w:ind w:firstLine="482"/>
              <w:rPr>
                <w:rFonts w:hint="eastAsia"/>
                <w:b/>
                <w:bCs/>
                <w:color w:val="auto"/>
              </w:rPr>
            </w:pPr>
            <w:r>
              <w:rPr>
                <w:rFonts w:hint="eastAsia" w:ascii="宋体" w:hAnsi="宋体" w:cs="宋体"/>
                <w:b/>
                <w:bCs/>
                <w:color w:val="auto"/>
                <w:kern w:val="0"/>
              </w:rPr>
              <w:t>①</w:t>
            </w:r>
            <w:r>
              <w:rPr>
                <w:rFonts w:hint="eastAsia"/>
                <w:b/>
                <w:bCs/>
                <w:color w:val="auto"/>
              </w:rPr>
              <w:t>投料</w:t>
            </w:r>
          </w:p>
          <w:p w14:paraId="4E184796">
            <w:pPr>
              <w:widowControl/>
              <w:ind w:firstLine="480"/>
              <w:rPr>
                <w:color w:val="auto"/>
                <w:kern w:val="0"/>
              </w:rPr>
            </w:pPr>
            <w:r>
              <w:rPr>
                <w:rFonts w:hint="eastAsia"/>
                <w:color w:val="auto"/>
                <w:kern w:val="0"/>
              </w:rPr>
              <w:t>塑料粒子、色粉通过</w:t>
            </w:r>
            <w:r>
              <w:rPr>
                <w:color w:val="auto"/>
                <w:kern w:val="0"/>
              </w:rPr>
              <w:t>袋装送到</w:t>
            </w:r>
            <w:r>
              <w:rPr>
                <w:rFonts w:hint="eastAsia"/>
                <w:color w:val="auto"/>
                <w:kern w:val="0"/>
              </w:rPr>
              <w:t>投料</w:t>
            </w:r>
            <w:r>
              <w:rPr>
                <w:color w:val="auto"/>
                <w:kern w:val="0"/>
              </w:rPr>
              <w:t>区</w:t>
            </w:r>
            <w:r>
              <w:rPr>
                <w:rFonts w:hint="eastAsia"/>
                <w:color w:val="auto"/>
                <w:kern w:val="0"/>
              </w:rPr>
              <w:t>、食用油通过桶装送到投料区</w:t>
            </w:r>
            <w:r>
              <w:rPr>
                <w:color w:val="auto"/>
                <w:kern w:val="0"/>
              </w:rPr>
              <w:t>，</w:t>
            </w:r>
            <w:r>
              <w:rPr>
                <w:rFonts w:hint="eastAsia"/>
                <w:color w:val="auto"/>
                <w:kern w:val="0"/>
              </w:rPr>
              <w:t>投料顺序为色粉、色母、食用油、塑料粒子，</w:t>
            </w:r>
            <w:r>
              <w:rPr>
                <w:color w:val="auto"/>
                <w:kern w:val="0"/>
              </w:rPr>
              <w:t>塑料粒子人工投入</w:t>
            </w:r>
            <w:r>
              <w:rPr>
                <w:rFonts w:hint="eastAsia"/>
                <w:color w:val="auto"/>
                <w:kern w:val="0"/>
              </w:rPr>
              <w:t>混色机内</w:t>
            </w:r>
            <w:r>
              <w:rPr>
                <w:color w:val="auto"/>
                <w:kern w:val="0"/>
              </w:rPr>
              <w:t>，</w:t>
            </w:r>
            <w:r>
              <w:rPr>
                <w:rFonts w:hint="eastAsia"/>
                <w:color w:val="auto"/>
                <w:kern w:val="0"/>
              </w:rPr>
              <w:t>本项目每次投料色粉使用量较少，色粉投料过程通过人工使用手持铲斗进行投料，投料过程轻拿轻放、平铲平放，</w:t>
            </w:r>
            <w:r>
              <w:rPr>
                <w:rFonts w:hint="eastAsia"/>
                <w:color w:val="auto"/>
                <w:kern w:val="0"/>
              </w:rPr>
              <w:t>几乎无投料粉尘产生</w:t>
            </w:r>
            <w:r>
              <w:rPr>
                <w:rFonts w:hint="eastAsia"/>
                <w:color w:val="auto"/>
                <w:kern w:val="0"/>
              </w:rPr>
              <w:t>；本项目塑料粒子、色母粒为粒径20mm大颗粒，塑料粒子投料过程无投料粉尘产生；食用油通过人工倒入混色机中。</w:t>
            </w:r>
          </w:p>
          <w:p w14:paraId="02571AD6">
            <w:pPr>
              <w:widowControl/>
              <w:ind w:firstLine="482"/>
              <w:rPr>
                <w:rFonts w:hint="eastAsia"/>
                <w:b/>
                <w:bCs/>
                <w:color w:val="auto"/>
                <w:kern w:val="0"/>
              </w:rPr>
            </w:pPr>
          </w:p>
          <w:p w14:paraId="5465FA62">
            <w:pPr>
              <w:widowControl/>
              <w:ind w:firstLine="482"/>
              <w:rPr>
                <w:b/>
                <w:bCs/>
                <w:color w:val="auto"/>
                <w:kern w:val="0"/>
              </w:rPr>
            </w:pPr>
            <w:r>
              <w:rPr>
                <w:rFonts w:hint="eastAsia"/>
                <w:b/>
                <w:bCs/>
                <w:color w:val="auto"/>
                <w:kern w:val="0"/>
              </w:rPr>
              <w:t>②混色</w:t>
            </w:r>
          </w:p>
          <w:p w14:paraId="61F84AFB">
            <w:pPr>
              <w:widowControl/>
              <w:ind w:firstLine="480"/>
              <w:rPr>
                <w:color w:val="auto"/>
              </w:rPr>
            </w:pPr>
            <w:r>
              <w:rPr>
                <w:color w:val="auto"/>
                <w:kern w:val="0"/>
              </w:rPr>
              <w:t>在</w:t>
            </w:r>
            <w:r>
              <w:rPr>
                <w:rFonts w:hint="eastAsia"/>
                <w:color w:val="auto"/>
                <w:kern w:val="0"/>
              </w:rPr>
              <w:t>混色机</w:t>
            </w:r>
            <w:r>
              <w:rPr>
                <w:color w:val="auto"/>
                <w:kern w:val="0"/>
              </w:rPr>
              <w:t>中密闭</w:t>
            </w:r>
            <w:r>
              <w:rPr>
                <w:rFonts w:hint="eastAsia"/>
                <w:color w:val="auto"/>
                <w:kern w:val="0"/>
              </w:rPr>
              <w:t>混色</w:t>
            </w:r>
            <w:r>
              <w:rPr>
                <w:color w:val="auto"/>
                <w:kern w:val="0"/>
              </w:rPr>
              <w:t>15分钟混合均匀</w:t>
            </w:r>
            <w:r>
              <w:rPr>
                <w:rFonts w:hint="eastAsia"/>
                <w:color w:val="auto"/>
                <w:kern w:val="0"/>
              </w:rPr>
              <w:t>，投料先后顺序为色粉、色母、食用油、塑料粒子，色粉在混色机底部于食用油先进行混合，混色机混色速度较慢，色粉经食用油与混色机底部初步混合后，无混色粉尘产生，混色过程无粉尘产生</w:t>
            </w:r>
            <w:r>
              <w:rPr>
                <w:color w:val="auto"/>
                <w:kern w:val="0"/>
              </w:rPr>
              <w:t>。</w:t>
            </w:r>
            <w:r>
              <w:rPr>
                <w:rFonts w:hint="eastAsia"/>
                <w:color w:val="auto"/>
                <w:kern w:val="0"/>
              </w:rPr>
              <w:t>此工序会</w:t>
            </w:r>
            <w:r>
              <w:rPr>
                <w:color w:val="auto"/>
                <w:kern w:val="0"/>
              </w:rPr>
              <w:t>产生噪声N。</w:t>
            </w:r>
          </w:p>
          <w:p w14:paraId="4C7BA37B">
            <w:pPr>
              <w:widowControl/>
              <w:ind w:firstLine="482"/>
              <w:jc w:val="left"/>
              <w:rPr>
                <w:rFonts w:hint="eastAsia" w:ascii="宋体" w:hAnsi="宋体" w:cs="宋体"/>
                <w:b/>
                <w:bCs/>
                <w:color w:val="auto"/>
                <w:kern w:val="0"/>
              </w:rPr>
            </w:pPr>
            <w:r>
              <w:rPr>
                <w:rFonts w:hint="eastAsia" w:ascii="宋体" w:hAnsi="宋体" w:cs="宋体"/>
                <w:b/>
                <w:bCs/>
                <w:color w:val="auto"/>
                <w:kern w:val="0"/>
              </w:rPr>
              <w:t>③注塑</w:t>
            </w:r>
          </w:p>
          <w:p w14:paraId="745A81BF">
            <w:pPr>
              <w:widowControl/>
              <w:ind w:firstLine="480"/>
              <w:rPr>
                <w:color w:val="auto"/>
                <w:kern w:val="0"/>
              </w:rPr>
            </w:pPr>
            <w:r>
              <w:rPr>
                <w:rFonts w:hint="eastAsia"/>
                <w:color w:val="auto"/>
                <w:kern w:val="0"/>
              </w:rPr>
              <w:t>混料后的塑料通过喂料口进入注塑机内电加热设备进行加热到200℃熔化，熔融状态的塑料经料口注塑进入注塑机模具内，注塑分为笔杆注塑。</w:t>
            </w:r>
          </w:p>
          <w:p w14:paraId="54BF7ACD">
            <w:pPr>
              <w:widowControl/>
              <w:ind w:firstLine="480"/>
              <w:rPr>
                <w:color w:val="auto"/>
              </w:rPr>
            </w:pPr>
            <w:r>
              <w:rPr>
                <w:color w:val="auto"/>
                <w:kern w:val="0"/>
              </w:rPr>
              <w:t>P</w:t>
            </w:r>
            <w:r>
              <w:rPr>
                <w:rFonts w:hint="eastAsia"/>
                <w:color w:val="auto"/>
                <w:kern w:val="0"/>
              </w:rPr>
              <w:t>P</w:t>
            </w:r>
            <w:r>
              <w:rPr>
                <w:color w:val="auto"/>
                <w:kern w:val="0"/>
              </w:rPr>
              <w:t>塑料均具有良好的热稳定性（分解温度为</w:t>
            </w:r>
            <w:r>
              <w:rPr>
                <w:rFonts w:hint="eastAsia"/>
                <w:color w:val="auto"/>
                <w:kern w:val="0"/>
              </w:rPr>
              <w:t>350</w:t>
            </w:r>
            <w:r>
              <w:rPr>
                <w:color w:val="auto"/>
                <w:kern w:val="0"/>
              </w:rPr>
              <w:t>℃），加工温度范围很宽，不易分解，由于</w:t>
            </w:r>
            <w:r>
              <w:rPr>
                <w:rFonts w:hint="eastAsia"/>
                <w:color w:val="auto"/>
                <w:kern w:val="0"/>
              </w:rPr>
              <w:t>本项目</w:t>
            </w:r>
            <w:r>
              <w:rPr>
                <w:color w:val="auto"/>
                <w:kern w:val="0"/>
              </w:rPr>
              <w:t>塑化加热温度为2</w:t>
            </w:r>
            <w:r>
              <w:rPr>
                <w:rFonts w:hint="eastAsia"/>
                <w:color w:val="auto"/>
                <w:kern w:val="0"/>
              </w:rPr>
              <w:t>00</w:t>
            </w:r>
            <w:r>
              <w:rPr>
                <w:color w:val="auto"/>
                <w:kern w:val="0"/>
              </w:rPr>
              <w:t>℃左右，低于P</w:t>
            </w:r>
            <w:r>
              <w:rPr>
                <w:rFonts w:hint="eastAsia"/>
                <w:color w:val="auto"/>
                <w:kern w:val="0"/>
              </w:rPr>
              <w:t>P</w:t>
            </w:r>
            <w:r>
              <w:rPr>
                <w:color w:val="auto"/>
                <w:kern w:val="0"/>
              </w:rPr>
              <w:t>塑料的分解温度，但仍会产生少量的有机废气，以非甲烷总烃气体计。</w:t>
            </w:r>
            <w:r>
              <w:rPr>
                <w:rFonts w:hint="eastAsia"/>
                <w:color w:val="auto"/>
                <w:kern w:val="0"/>
              </w:rPr>
              <w:t>此</w:t>
            </w:r>
            <w:r>
              <w:rPr>
                <w:color w:val="auto"/>
                <w:kern w:val="0"/>
              </w:rPr>
              <w:t>工序</w:t>
            </w:r>
            <w:r>
              <w:rPr>
                <w:rFonts w:hint="eastAsia"/>
                <w:color w:val="auto"/>
                <w:kern w:val="0"/>
              </w:rPr>
              <w:t>会产生注塑废气</w:t>
            </w:r>
            <w:r>
              <w:rPr>
                <w:color w:val="auto"/>
                <w:kern w:val="0"/>
              </w:rPr>
              <w:t>G</w:t>
            </w:r>
            <w:r>
              <w:rPr>
                <w:rFonts w:hint="eastAsia"/>
                <w:color w:val="auto"/>
                <w:kern w:val="0"/>
              </w:rPr>
              <w:t>1。</w:t>
            </w:r>
          </w:p>
          <w:p w14:paraId="07EA6F9C">
            <w:pPr>
              <w:pStyle w:val="6"/>
              <w:ind w:left="480" w:leftChars="200" w:firstLineChars="0"/>
              <w:rPr>
                <w:color w:val="auto"/>
              </w:rPr>
            </w:pPr>
            <w:r>
              <w:rPr>
                <w:rFonts w:hint="eastAsia"/>
                <w:color w:val="auto"/>
              </w:rPr>
              <w:t>④冷却</w:t>
            </w:r>
          </w:p>
          <w:p w14:paraId="3F3CA4CF">
            <w:pPr>
              <w:widowControl/>
              <w:ind w:firstLine="480"/>
              <w:rPr>
                <w:color w:val="auto"/>
                <w:kern w:val="0"/>
              </w:rPr>
            </w:pPr>
            <w:r>
              <w:rPr>
                <w:rFonts w:hint="eastAsia"/>
                <w:color w:val="auto"/>
                <w:kern w:val="0"/>
              </w:rPr>
              <w:t>注塑后向模具夹层注入冷却水，使用冷却水间接进行冷却，冷却水循环使用，不外排。</w:t>
            </w:r>
          </w:p>
          <w:p w14:paraId="06F26943">
            <w:pPr>
              <w:widowControl/>
              <w:ind w:firstLine="482"/>
              <w:rPr>
                <w:rFonts w:hint="eastAsia"/>
                <w:b/>
                <w:bCs/>
                <w:color w:val="auto"/>
              </w:rPr>
            </w:pPr>
            <w:r>
              <w:rPr>
                <w:rFonts w:hint="eastAsia"/>
                <w:b/>
                <w:bCs/>
                <w:color w:val="auto"/>
              </w:rPr>
              <w:t>⑤热转印</w:t>
            </w:r>
          </w:p>
          <w:p w14:paraId="171E7EB5">
            <w:pPr>
              <w:widowControl/>
              <w:ind w:firstLine="480"/>
              <w:rPr>
                <w:color w:val="auto"/>
              </w:rPr>
            </w:pPr>
            <w:r>
              <w:rPr>
                <w:rFonts w:hint="eastAsia"/>
                <w:color w:val="auto"/>
              </w:rPr>
              <w:t>本项目笔杆通过热转印膜将商标图案转印到笔杆上，热转印温度为200℃。</w:t>
            </w:r>
            <w:r>
              <w:rPr>
                <w:color w:val="auto"/>
                <w:kern w:val="0"/>
              </w:rPr>
              <w:t>热转印工序是利用热升华原理，在200℃的环境下，将图案从热转印纸上转印到</w:t>
            </w:r>
            <w:r>
              <w:rPr>
                <w:rFonts w:hint="eastAsia"/>
                <w:color w:val="auto"/>
                <w:kern w:val="0"/>
              </w:rPr>
              <w:t>承印物上</w:t>
            </w:r>
            <w:r>
              <w:rPr>
                <w:color w:val="auto"/>
                <w:kern w:val="0"/>
              </w:rPr>
              <w:t>中</w:t>
            </w:r>
            <w:r>
              <w:rPr>
                <w:rFonts w:hint="eastAsia"/>
                <w:color w:val="auto"/>
                <w:kern w:val="0"/>
              </w:rPr>
              <w:t>。</w:t>
            </w:r>
            <w:r>
              <w:rPr>
                <w:rFonts w:hint="eastAsia"/>
                <w:color w:val="auto"/>
              </w:rPr>
              <w:t>转印膜外购，因此无制版、转印膜制作过程。此工序会产生G2热转印废气。</w:t>
            </w:r>
          </w:p>
          <w:p w14:paraId="77D87EBB">
            <w:pPr>
              <w:widowControl/>
              <w:ind w:firstLine="482"/>
              <w:rPr>
                <w:b/>
                <w:bCs/>
                <w:color w:val="auto"/>
              </w:rPr>
            </w:pPr>
            <w:r>
              <w:rPr>
                <w:rFonts w:hint="eastAsia"/>
                <w:b/>
                <w:bCs/>
                <w:color w:val="auto"/>
              </w:rPr>
              <w:t>⑥印刷、烘干</w:t>
            </w:r>
          </w:p>
          <w:p w14:paraId="61D9A55D">
            <w:pPr>
              <w:widowControl/>
              <w:ind w:firstLine="480"/>
              <w:rPr>
                <w:color w:val="auto"/>
              </w:rPr>
            </w:pPr>
            <w:r>
              <w:rPr>
                <w:rFonts w:hint="eastAsia"/>
                <w:color w:val="auto"/>
              </w:rPr>
              <w:t>本项目笔芯通过丝网印刷印上产品商标、图案，丝网印刷后通过印刷自带加热装置进行烘干，丝网印刷外购网版，不制版，印刷使用水性油墨，油墨换色使用布料擦拭，无水洗工序。此工序会产生G3印刷、烘干废气。</w:t>
            </w:r>
          </w:p>
          <w:p w14:paraId="6D737D8E">
            <w:pPr>
              <w:widowControl/>
              <w:ind w:firstLine="482"/>
              <w:rPr>
                <w:b/>
                <w:bCs/>
                <w:color w:val="auto"/>
              </w:rPr>
            </w:pPr>
            <w:r>
              <w:rPr>
                <w:rFonts w:hint="eastAsia"/>
                <w:b/>
                <w:bCs/>
                <w:color w:val="auto"/>
              </w:rPr>
              <w:t>⑦注墨</w:t>
            </w:r>
          </w:p>
          <w:p w14:paraId="4CC85DF7">
            <w:pPr>
              <w:snapToGrid w:val="0"/>
              <w:ind w:firstLine="480"/>
              <w:rPr>
                <w:rFonts w:hint="eastAsia"/>
                <w:color w:val="auto"/>
              </w:rPr>
            </w:pPr>
            <w:r>
              <w:rPr>
                <w:rFonts w:hint="eastAsia"/>
                <w:color w:val="auto"/>
              </w:rPr>
              <w:t>将外购的水性墨水、油性墨水对笔芯进行注墨组装，水性墨水和油性墨水由桶装运输至生产线，使用管道泵送进入设备，注墨设备使用布进行擦拭清洁，不同颜色墨水的换墨操作不需要使用水进行清洗，无清洗废水产生。此工序会产注墨废气G4。</w:t>
            </w:r>
          </w:p>
          <w:p w14:paraId="5B05E0D7">
            <w:pPr>
              <w:widowControl/>
              <w:ind w:firstLine="482"/>
              <w:rPr>
                <w:b/>
                <w:bCs/>
                <w:color w:val="auto"/>
              </w:rPr>
            </w:pPr>
            <w:r>
              <w:rPr>
                <w:rFonts w:hint="eastAsia"/>
                <w:b/>
                <w:bCs/>
                <w:color w:val="auto"/>
              </w:rPr>
              <w:t>⑧组装</w:t>
            </w:r>
          </w:p>
          <w:p w14:paraId="50C95373">
            <w:pPr>
              <w:widowControl/>
              <w:ind w:firstLine="480"/>
              <w:rPr>
                <w:color w:val="auto"/>
              </w:rPr>
            </w:pPr>
            <w:r>
              <w:rPr>
                <w:rFonts w:hint="eastAsia"/>
                <w:color w:val="auto"/>
              </w:rPr>
              <w:t>人工将笔杆、笔芯、笔帽进行组装。</w:t>
            </w:r>
          </w:p>
          <w:p w14:paraId="1917FA40">
            <w:pPr>
              <w:widowControl/>
              <w:ind w:firstLine="482"/>
              <w:rPr>
                <w:b/>
                <w:bCs/>
                <w:color w:val="auto"/>
              </w:rPr>
            </w:pPr>
            <w:r>
              <w:rPr>
                <w:rFonts w:hint="eastAsia"/>
                <w:b/>
                <w:bCs/>
                <w:color w:val="auto"/>
              </w:rPr>
              <w:t>⑨检验</w:t>
            </w:r>
          </w:p>
          <w:p w14:paraId="25EA2560">
            <w:pPr>
              <w:ind w:firstLine="480"/>
              <w:rPr>
                <w:bCs/>
                <w:color w:val="auto"/>
              </w:rPr>
            </w:pPr>
            <w:r>
              <w:rPr>
                <w:rFonts w:hint="eastAsia"/>
                <w:bCs/>
                <w:color w:val="auto"/>
              </w:rPr>
              <w:t>通过人工对笔进行检验，检验其书写和组装情况。</w:t>
            </w:r>
          </w:p>
          <w:p w14:paraId="41B9E316">
            <w:pPr>
              <w:widowControl/>
              <w:ind w:firstLine="482"/>
              <w:rPr>
                <w:b/>
                <w:bCs/>
                <w:color w:val="auto"/>
              </w:rPr>
            </w:pPr>
            <w:r>
              <w:rPr>
                <w:rFonts w:hint="eastAsia"/>
                <w:b/>
                <w:bCs/>
                <w:color w:val="auto"/>
              </w:rPr>
              <w:t>⑩破碎</w:t>
            </w:r>
          </w:p>
          <w:p w14:paraId="7B752DC1">
            <w:pPr>
              <w:widowControl/>
              <w:ind w:firstLine="480"/>
              <w:rPr>
                <w:color w:val="auto"/>
                <w:kern w:val="0"/>
              </w:rPr>
            </w:pPr>
            <w:r>
              <w:rPr>
                <w:rFonts w:hint="eastAsia"/>
                <w:color w:val="auto"/>
                <w:kern w:val="0"/>
              </w:rPr>
              <w:t>将不合格产品投入粉碎机内进行破碎，破碎成约5mm大小片状，破碎后进行投料回用生产。此工序会</w:t>
            </w:r>
            <w:r>
              <w:rPr>
                <w:color w:val="auto"/>
                <w:kern w:val="0"/>
              </w:rPr>
              <w:t>产生噪声N。</w:t>
            </w:r>
          </w:p>
          <w:p w14:paraId="340A4E8A">
            <w:pPr>
              <w:widowControl/>
              <w:ind w:firstLine="482"/>
              <w:rPr>
                <w:b/>
                <w:bCs/>
                <w:color w:val="auto"/>
              </w:rPr>
            </w:pPr>
            <w:r>
              <w:rPr>
                <w:rFonts w:hint="eastAsia"/>
                <w:b/>
                <w:bCs/>
                <w:color w:val="auto"/>
              </w:rPr>
              <w:t>⑪</w:t>
            </w:r>
            <w:r>
              <w:rPr>
                <w:b/>
                <w:bCs/>
                <w:color w:val="auto"/>
              </w:rPr>
              <w:t>包装</w:t>
            </w:r>
          </w:p>
          <w:p w14:paraId="7B9B0709">
            <w:pPr>
              <w:ind w:firstLine="480"/>
              <w:rPr>
                <w:b/>
                <w:color w:val="auto"/>
              </w:rPr>
            </w:pPr>
            <w:r>
              <w:rPr>
                <w:color w:val="auto"/>
              </w:rPr>
              <w:t>按照包装要求规范，对成品进行包装。</w:t>
            </w:r>
          </w:p>
          <w:p w14:paraId="08B01AB1">
            <w:pPr>
              <w:ind w:firstLine="482"/>
              <w:rPr>
                <w:b/>
                <w:color w:val="auto"/>
              </w:rPr>
            </w:pPr>
            <w:r>
              <w:rPr>
                <w:rFonts w:hint="eastAsia"/>
                <w:b/>
                <w:color w:val="auto"/>
              </w:rPr>
              <w:t>（2）鞋服装饰配件生产工艺</w:t>
            </w:r>
          </w:p>
          <w:p w14:paraId="61637D7F">
            <w:pPr>
              <w:ind w:firstLine="0" w:firstLineChars="0"/>
              <w:jc w:val="center"/>
              <w:rPr>
                <w:b/>
                <w:color w:val="auto"/>
              </w:rPr>
            </w:pPr>
            <w:r>
              <w:rPr>
                <w:b/>
                <w:color w:val="auto"/>
              </w:rPr>
              <w:object>
                <v:shape id="_x0000_i1027" o:spt="75" type="#_x0000_t75" style="height:370.2pt;width:316.55pt;" o:ole="t" filled="f" o:preferrelative="t" stroked="f" coordsize="21600,21600">
                  <v:path/>
                  <v:fill on="f" focussize="0,0"/>
                  <v:stroke on="f" joinstyle="miter"/>
                  <v:imagedata r:id="rId21" o:title=""/>
                  <o:lock v:ext="edit" aspectratio="f"/>
                  <w10:wrap type="none"/>
                  <w10:anchorlock/>
                </v:shape>
                <o:OLEObject Type="Embed" ProgID="Visio.Drawing.11" ShapeID="_x0000_i1027" DrawAspect="Content" ObjectID="_1468075727" r:id="rId20">
                  <o:LockedField>false</o:LockedField>
                </o:OLEObject>
              </w:object>
            </w:r>
          </w:p>
          <w:p w14:paraId="63EE7FEA">
            <w:pPr>
              <w:pStyle w:val="58"/>
              <w:spacing w:line="360" w:lineRule="auto"/>
              <w:ind w:firstLine="422"/>
              <w:rPr>
                <w:color w:val="auto"/>
              </w:rPr>
            </w:pPr>
            <w:r>
              <w:rPr>
                <w:color w:val="auto"/>
              </w:rPr>
              <w:t>图</w:t>
            </w:r>
            <w:r>
              <w:rPr>
                <w:rFonts w:hint="eastAsia"/>
                <w:color w:val="auto"/>
              </w:rPr>
              <w:t>2-2鞋服装饰配件</w:t>
            </w:r>
            <w:r>
              <w:rPr>
                <w:color w:val="auto"/>
              </w:rPr>
              <w:t>生产工艺流程图及产污环节图</w:t>
            </w:r>
          </w:p>
          <w:p w14:paraId="061EEE1A">
            <w:pPr>
              <w:ind w:firstLine="482"/>
              <w:rPr>
                <w:b/>
                <w:color w:val="auto"/>
                <w:szCs w:val="22"/>
              </w:rPr>
            </w:pPr>
            <w:r>
              <w:rPr>
                <w:b/>
                <w:color w:val="auto"/>
                <w:szCs w:val="22"/>
              </w:rPr>
              <w:t>工艺流程：</w:t>
            </w:r>
          </w:p>
          <w:p w14:paraId="23259462">
            <w:pPr>
              <w:widowControl/>
              <w:ind w:firstLine="482"/>
              <w:jc w:val="left"/>
              <w:rPr>
                <w:rFonts w:hint="eastAsia" w:ascii="宋体" w:hAnsi="宋体" w:cs="宋体"/>
                <w:b/>
                <w:bCs/>
                <w:color w:val="auto"/>
                <w:kern w:val="0"/>
              </w:rPr>
            </w:pPr>
            <w:r>
              <w:rPr>
                <w:rFonts w:hint="eastAsia" w:ascii="宋体" w:hAnsi="宋体" w:cs="宋体"/>
                <w:b/>
                <w:bCs/>
                <w:color w:val="auto"/>
                <w:kern w:val="0"/>
              </w:rPr>
              <w:t>①混料</w:t>
            </w:r>
          </w:p>
          <w:p w14:paraId="00D9EB1A">
            <w:pPr>
              <w:widowControl/>
              <w:ind w:firstLine="480"/>
              <w:rPr>
                <w:color w:val="auto"/>
              </w:rPr>
            </w:pPr>
            <w:r>
              <w:rPr>
                <w:rFonts w:hint="eastAsia"/>
                <w:color w:val="auto"/>
                <w:kern w:val="0"/>
              </w:rPr>
              <w:t>塑料粒子、色母粒</w:t>
            </w:r>
            <w:r>
              <w:rPr>
                <w:color w:val="auto"/>
                <w:kern w:val="0"/>
              </w:rPr>
              <w:t>采用袋装送到生产区，人工投入</w:t>
            </w:r>
            <w:r>
              <w:rPr>
                <w:rFonts w:hint="eastAsia"/>
                <w:color w:val="auto"/>
                <w:kern w:val="0"/>
              </w:rPr>
              <w:t>混色机内</w:t>
            </w:r>
            <w:r>
              <w:rPr>
                <w:color w:val="auto"/>
                <w:kern w:val="0"/>
              </w:rPr>
              <w:t>，</w:t>
            </w:r>
            <w:r>
              <w:rPr>
                <w:rFonts w:hint="eastAsia"/>
                <w:color w:val="auto"/>
                <w:kern w:val="0"/>
              </w:rPr>
              <w:t>本项目塑料粒子、色母粒均为粒径20mm大颗粒，</w:t>
            </w:r>
            <w:r>
              <w:rPr>
                <w:color w:val="auto"/>
                <w:kern w:val="0"/>
              </w:rPr>
              <w:t>在</w:t>
            </w:r>
            <w:r>
              <w:rPr>
                <w:rFonts w:hint="eastAsia"/>
                <w:color w:val="auto"/>
                <w:kern w:val="0"/>
              </w:rPr>
              <w:t>混色机</w:t>
            </w:r>
            <w:r>
              <w:rPr>
                <w:color w:val="auto"/>
                <w:kern w:val="0"/>
              </w:rPr>
              <w:t>中密闭</w:t>
            </w:r>
            <w:r>
              <w:rPr>
                <w:rFonts w:hint="eastAsia"/>
                <w:color w:val="auto"/>
                <w:kern w:val="0"/>
              </w:rPr>
              <w:t>混色</w:t>
            </w:r>
            <w:r>
              <w:rPr>
                <w:color w:val="auto"/>
                <w:kern w:val="0"/>
              </w:rPr>
              <w:t>15分钟混合均匀</w:t>
            </w:r>
            <w:r>
              <w:rPr>
                <w:rFonts w:hint="eastAsia"/>
                <w:color w:val="auto"/>
                <w:kern w:val="0"/>
              </w:rPr>
              <w:t>，由于混色塑料粒子、色母粒均为大颗粒，且混色机密闭混色，混料过程无粉尘产生</w:t>
            </w:r>
            <w:r>
              <w:rPr>
                <w:color w:val="auto"/>
                <w:kern w:val="0"/>
              </w:rPr>
              <w:t>。</w:t>
            </w:r>
            <w:r>
              <w:rPr>
                <w:rFonts w:hint="eastAsia"/>
                <w:color w:val="auto"/>
                <w:kern w:val="0"/>
              </w:rPr>
              <w:t>此工序会</w:t>
            </w:r>
            <w:r>
              <w:rPr>
                <w:color w:val="auto"/>
                <w:kern w:val="0"/>
              </w:rPr>
              <w:t>产生噪声N。</w:t>
            </w:r>
          </w:p>
          <w:p w14:paraId="1A1B2D07">
            <w:pPr>
              <w:widowControl/>
              <w:ind w:firstLine="482"/>
              <w:jc w:val="left"/>
              <w:rPr>
                <w:rFonts w:hint="eastAsia" w:ascii="宋体" w:hAnsi="宋体" w:cs="宋体"/>
                <w:b/>
                <w:bCs/>
                <w:color w:val="auto"/>
                <w:kern w:val="0"/>
              </w:rPr>
            </w:pPr>
            <w:r>
              <w:rPr>
                <w:rFonts w:hint="eastAsia" w:ascii="宋体" w:hAnsi="宋体" w:cs="宋体"/>
                <w:b/>
                <w:bCs/>
                <w:color w:val="auto"/>
                <w:kern w:val="0"/>
              </w:rPr>
              <w:t>②注塑</w:t>
            </w:r>
          </w:p>
          <w:p w14:paraId="788E29DE">
            <w:pPr>
              <w:widowControl/>
              <w:ind w:firstLine="480"/>
              <w:rPr>
                <w:color w:val="auto"/>
                <w:kern w:val="0"/>
              </w:rPr>
            </w:pPr>
            <w:r>
              <w:rPr>
                <w:rFonts w:hint="eastAsia"/>
                <w:color w:val="auto"/>
                <w:kern w:val="0"/>
              </w:rPr>
              <w:t>混料后的塑料通过喂料口进入注塑机内电加热设备进行加热到200℃熔化，熔融状态的塑料经料口注塑进入注塑机模具内。</w:t>
            </w:r>
          </w:p>
          <w:p w14:paraId="5B669159">
            <w:pPr>
              <w:widowControl/>
              <w:ind w:firstLine="480"/>
              <w:rPr>
                <w:color w:val="auto"/>
              </w:rPr>
            </w:pPr>
            <w:r>
              <w:rPr>
                <w:color w:val="auto"/>
                <w:kern w:val="0"/>
              </w:rPr>
              <w:t>P</w:t>
            </w:r>
            <w:r>
              <w:rPr>
                <w:rFonts w:hint="eastAsia"/>
                <w:color w:val="auto"/>
                <w:kern w:val="0"/>
              </w:rPr>
              <w:t>P</w:t>
            </w:r>
            <w:r>
              <w:rPr>
                <w:color w:val="auto"/>
                <w:kern w:val="0"/>
              </w:rPr>
              <w:t>塑料均具有良好的热稳定性（分解温度为</w:t>
            </w:r>
            <w:r>
              <w:rPr>
                <w:rFonts w:hint="eastAsia"/>
                <w:color w:val="auto"/>
                <w:kern w:val="0"/>
              </w:rPr>
              <w:t>350</w:t>
            </w:r>
            <w:r>
              <w:rPr>
                <w:color w:val="auto"/>
                <w:kern w:val="0"/>
              </w:rPr>
              <w:t>℃），加工温度范围很宽，不易分解，由于</w:t>
            </w:r>
            <w:r>
              <w:rPr>
                <w:rFonts w:hint="eastAsia"/>
                <w:color w:val="auto"/>
                <w:kern w:val="0"/>
              </w:rPr>
              <w:t>本项目</w:t>
            </w:r>
            <w:r>
              <w:rPr>
                <w:color w:val="auto"/>
                <w:kern w:val="0"/>
              </w:rPr>
              <w:t>塑化加热温度为2</w:t>
            </w:r>
            <w:r>
              <w:rPr>
                <w:rFonts w:hint="eastAsia"/>
                <w:color w:val="auto"/>
                <w:kern w:val="0"/>
              </w:rPr>
              <w:t>00</w:t>
            </w:r>
            <w:r>
              <w:rPr>
                <w:color w:val="auto"/>
                <w:kern w:val="0"/>
              </w:rPr>
              <w:t>℃左右，低于P</w:t>
            </w:r>
            <w:r>
              <w:rPr>
                <w:rFonts w:hint="eastAsia"/>
                <w:color w:val="auto"/>
                <w:kern w:val="0"/>
              </w:rPr>
              <w:t>P</w:t>
            </w:r>
            <w:r>
              <w:rPr>
                <w:color w:val="auto"/>
                <w:kern w:val="0"/>
              </w:rPr>
              <w:t>塑料的分解温度，但仍会产生少量的有机废气，以非甲烷总烃气体计。</w:t>
            </w:r>
            <w:r>
              <w:rPr>
                <w:rFonts w:hint="eastAsia"/>
                <w:color w:val="auto"/>
                <w:kern w:val="0"/>
              </w:rPr>
              <w:t>此</w:t>
            </w:r>
            <w:r>
              <w:rPr>
                <w:color w:val="auto"/>
                <w:kern w:val="0"/>
              </w:rPr>
              <w:t>工序</w:t>
            </w:r>
            <w:r>
              <w:rPr>
                <w:rFonts w:hint="eastAsia"/>
                <w:color w:val="auto"/>
                <w:kern w:val="0"/>
              </w:rPr>
              <w:t>会产生注塑废气</w:t>
            </w:r>
            <w:r>
              <w:rPr>
                <w:color w:val="auto"/>
                <w:kern w:val="0"/>
              </w:rPr>
              <w:t>G</w:t>
            </w:r>
            <w:r>
              <w:rPr>
                <w:rFonts w:hint="eastAsia"/>
                <w:color w:val="auto"/>
                <w:kern w:val="0"/>
              </w:rPr>
              <w:t>1。</w:t>
            </w:r>
          </w:p>
          <w:p w14:paraId="3DAAE2EF">
            <w:pPr>
              <w:pStyle w:val="6"/>
              <w:ind w:left="480" w:leftChars="200" w:firstLineChars="0"/>
              <w:rPr>
                <w:color w:val="auto"/>
              </w:rPr>
            </w:pPr>
            <w:r>
              <w:rPr>
                <w:rFonts w:hint="eastAsia"/>
                <w:color w:val="auto"/>
              </w:rPr>
              <w:t>③冷却</w:t>
            </w:r>
          </w:p>
          <w:p w14:paraId="676ED210">
            <w:pPr>
              <w:widowControl/>
              <w:ind w:firstLine="480"/>
              <w:rPr>
                <w:color w:val="auto"/>
                <w:kern w:val="0"/>
              </w:rPr>
            </w:pPr>
            <w:r>
              <w:rPr>
                <w:rFonts w:hint="eastAsia"/>
                <w:color w:val="auto"/>
                <w:kern w:val="0"/>
              </w:rPr>
              <w:t>注塑后向模具夹层注入冷却水，使用冷却水间接进行冷却，冷却水循环使用，不外排。</w:t>
            </w:r>
          </w:p>
          <w:p w14:paraId="259EADBB">
            <w:pPr>
              <w:ind w:firstLine="482"/>
              <w:rPr>
                <w:b/>
                <w:bCs/>
                <w:color w:val="auto"/>
              </w:rPr>
            </w:pPr>
            <w:r>
              <w:rPr>
                <w:rFonts w:hint="eastAsia"/>
                <w:b/>
                <w:bCs/>
                <w:color w:val="auto"/>
              </w:rPr>
              <w:t>④检验</w:t>
            </w:r>
          </w:p>
          <w:p w14:paraId="6DDDBAD1">
            <w:pPr>
              <w:widowControl/>
              <w:ind w:firstLine="480"/>
              <w:rPr>
                <w:color w:val="auto"/>
                <w:kern w:val="0"/>
              </w:rPr>
            </w:pPr>
            <w:r>
              <w:rPr>
                <w:rFonts w:hint="eastAsia"/>
                <w:color w:val="auto"/>
                <w:kern w:val="0"/>
              </w:rPr>
              <w:t>人工对产品进行检验，分拣出不合格产品。此工序会</w:t>
            </w:r>
            <w:r>
              <w:rPr>
                <w:color w:val="auto"/>
                <w:kern w:val="0"/>
              </w:rPr>
              <w:t>产生噪声N</w:t>
            </w:r>
            <w:r>
              <w:rPr>
                <w:rFonts w:hint="eastAsia"/>
                <w:color w:val="auto"/>
                <w:kern w:val="0"/>
              </w:rPr>
              <w:t>、不合格产品S2</w:t>
            </w:r>
            <w:r>
              <w:rPr>
                <w:color w:val="auto"/>
                <w:kern w:val="0"/>
              </w:rPr>
              <w:t>。</w:t>
            </w:r>
          </w:p>
          <w:p w14:paraId="543C313D">
            <w:pPr>
              <w:widowControl/>
              <w:ind w:firstLine="482"/>
              <w:rPr>
                <w:b/>
                <w:bCs/>
                <w:color w:val="auto"/>
              </w:rPr>
            </w:pPr>
            <w:r>
              <w:rPr>
                <w:rFonts w:hint="eastAsia"/>
                <w:b/>
                <w:bCs/>
                <w:color w:val="auto"/>
              </w:rPr>
              <w:t>⑤破碎</w:t>
            </w:r>
          </w:p>
          <w:p w14:paraId="109F206B">
            <w:pPr>
              <w:widowControl/>
              <w:ind w:firstLine="480"/>
              <w:rPr>
                <w:color w:val="auto"/>
                <w:kern w:val="0"/>
              </w:rPr>
            </w:pPr>
            <w:r>
              <w:rPr>
                <w:rFonts w:hint="eastAsia"/>
                <w:color w:val="auto"/>
                <w:kern w:val="0"/>
              </w:rPr>
              <w:t>将不合格产品投入粉碎机内进行破碎，破碎成约5mm大小片状，破碎后进行投料回用生产。此工序会</w:t>
            </w:r>
            <w:r>
              <w:rPr>
                <w:color w:val="auto"/>
                <w:kern w:val="0"/>
              </w:rPr>
              <w:t>产生噪声N。</w:t>
            </w:r>
          </w:p>
          <w:p w14:paraId="79269A7B">
            <w:pPr>
              <w:ind w:firstLine="482"/>
              <w:rPr>
                <w:b/>
                <w:bCs/>
                <w:color w:val="auto"/>
              </w:rPr>
            </w:pPr>
            <w:r>
              <w:rPr>
                <w:rFonts w:hint="eastAsia"/>
                <w:b/>
                <w:bCs/>
                <w:color w:val="auto"/>
              </w:rPr>
              <w:t>⑥包装</w:t>
            </w:r>
          </w:p>
          <w:p w14:paraId="59C91F1B">
            <w:pPr>
              <w:widowControl/>
              <w:ind w:firstLine="480"/>
              <w:rPr>
                <w:color w:val="auto"/>
                <w:kern w:val="0"/>
              </w:rPr>
            </w:pPr>
            <w:r>
              <w:rPr>
                <w:rFonts w:hint="eastAsia"/>
                <w:color w:val="auto"/>
                <w:kern w:val="0"/>
              </w:rPr>
              <w:t>合格产品包装入库待售。</w:t>
            </w:r>
          </w:p>
          <w:p w14:paraId="3C0C04DA">
            <w:pPr>
              <w:ind w:firstLine="482"/>
              <w:rPr>
                <w:b/>
                <w:bCs/>
                <w:color w:val="auto"/>
              </w:rPr>
            </w:pPr>
            <w:r>
              <w:rPr>
                <w:b/>
                <w:bCs/>
                <w:color w:val="auto"/>
              </w:rPr>
              <w:t>主要产污环节：</w:t>
            </w:r>
          </w:p>
          <w:p w14:paraId="273BF5BF">
            <w:pPr>
              <w:pStyle w:val="58"/>
              <w:ind w:firstLine="422"/>
              <w:rPr>
                <w:color w:val="auto"/>
              </w:rPr>
            </w:pPr>
            <w:r>
              <w:rPr>
                <w:color w:val="auto"/>
              </w:rPr>
              <w:t>表2-</w:t>
            </w:r>
            <w:r>
              <w:rPr>
                <w:rFonts w:hint="eastAsia"/>
                <w:color w:val="auto"/>
              </w:rPr>
              <w:t>9</w:t>
            </w:r>
            <w:r>
              <w:rPr>
                <w:color w:val="auto"/>
              </w:rPr>
              <w:t>产污环节汇总表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150"/>
              <w:gridCol w:w="952"/>
              <w:gridCol w:w="1855"/>
              <w:gridCol w:w="2690"/>
            </w:tblGrid>
            <w:tr w14:paraId="7083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vAlign w:val="center"/>
                </w:tcPr>
                <w:p w14:paraId="10A813F7">
                  <w:pPr>
                    <w:pStyle w:val="57"/>
                    <w:rPr>
                      <w:b/>
                      <w:bCs w:val="0"/>
                      <w:color w:val="auto"/>
                    </w:rPr>
                  </w:pPr>
                  <w:r>
                    <w:rPr>
                      <w:b/>
                      <w:bCs w:val="0"/>
                      <w:color w:val="auto"/>
                    </w:rPr>
                    <w:t>类别</w:t>
                  </w:r>
                </w:p>
              </w:tc>
              <w:tc>
                <w:tcPr>
                  <w:tcW w:w="1253" w:type="pct"/>
                  <w:vAlign w:val="center"/>
                </w:tcPr>
                <w:p w14:paraId="1A6A0ABD">
                  <w:pPr>
                    <w:pStyle w:val="57"/>
                    <w:rPr>
                      <w:b/>
                      <w:bCs w:val="0"/>
                      <w:color w:val="auto"/>
                    </w:rPr>
                  </w:pPr>
                  <w:r>
                    <w:rPr>
                      <w:b/>
                      <w:bCs w:val="0"/>
                      <w:color w:val="auto"/>
                    </w:rPr>
                    <w:t>污染工序</w:t>
                  </w:r>
                </w:p>
              </w:tc>
              <w:tc>
                <w:tcPr>
                  <w:tcW w:w="555" w:type="pct"/>
                  <w:vAlign w:val="center"/>
                </w:tcPr>
                <w:p w14:paraId="0C5A282E">
                  <w:pPr>
                    <w:pStyle w:val="57"/>
                    <w:rPr>
                      <w:b/>
                      <w:bCs w:val="0"/>
                      <w:color w:val="auto"/>
                    </w:rPr>
                  </w:pPr>
                  <w:r>
                    <w:rPr>
                      <w:b/>
                      <w:bCs w:val="0"/>
                      <w:color w:val="auto"/>
                    </w:rPr>
                    <w:t>编号</w:t>
                  </w:r>
                </w:p>
              </w:tc>
              <w:tc>
                <w:tcPr>
                  <w:tcW w:w="1082" w:type="pct"/>
                  <w:vAlign w:val="center"/>
                </w:tcPr>
                <w:p w14:paraId="47703F55">
                  <w:pPr>
                    <w:pStyle w:val="57"/>
                    <w:rPr>
                      <w:b/>
                      <w:bCs w:val="0"/>
                      <w:color w:val="auto"/>
                    </w:rPr>
                  </w:pPr>
                  <w:r>
                    <w:rPr>
                      <w:b/>
                      <w:bCs w:val="0"/>
                      <w:color w:val="auto"/>
                    </w:rPr>
                    <w:t>污染物</w:t>
                  </w:r>
                </w:p>
              </w:tc>
              <w:tc>
                <w:tcPr>
                  <w:tcW w:w="1568" w:type="pct"/>
                  <w:vAlign w:val="center"/>
                </w:tcPr>
                <w:p w14:paraId="203DBF06">
                  <w:pPr>
                    <w:pStyle w:val="57"/>
                    <w:rPr>
                      <w:b/>
                      <w:bCs w:val="0"/>
                      <w:color w:val="auto"/>
                    </w:rPr>
                  </w:pPr>
                  <w:r>
                    <w:rPr>
                      <w:b/>
                      <w:bCs w:val="0"/>
                      <w:color w:val="auto"/>
                    </w:rPr>
                    <w:t>主要污染因子</w:t>
                  </w:r>
                </w:p>
              </w:tc>
            </w:tr>
            <w:tr w14:paraId="0F77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restart"/>
                  <w:tcBorders>
                    <w:top w:val="single" w:color="000000" w:sz="4" w:space="0"/>
                  </w:tcBorders>
                  <w:vAlign w:val="center"/>
                </w:tcPr>
                <w:p w14:paraId="20945E97">
                  <w:pPr>
                    <w:pStyle w:val="57"/>
                    <w:rPr>
                      <w:color w:val="auto"/>
                    </w:rPr>
                  </w:pPr>
                  <w:r>
                    <w:rPr>
                      <w:color w:val="auto"/>
                    </w:rPr>
                    <w:t>废气</w:t>
                  </w:r>
                </w:p>
              </w:tc>
              <w:tc>
                <w:tcPr>
                  <w:tcW w:w="1253" w:type="pct"/>
                  <w:tcBorders>
                    <w:top w:val="single" w:color="000000" w:sz="4" w:space="0"/>
                    <w:bottom w:val="single" w:color="000000" w:sz="4" w:space="0"/>
                  </w:tcBorders>
                  <w:vAlign w:val="center"/>
                </w:tcPr>
                <w:p w14:paraId="30EB6FDB">
                  <w:pPr>
                    <w:pStyle w:val="57"/>
                    <w:rPr>
                      <w:color w:val="auto"/>
                    </w:rPr>
                  </w:pPr>
                  <w:r>
                    <w:rPr>
                      <w:rFonts w:hint="eastAsia"/>
                      <w:color w:val="auto"/>
                    </w:rPr>
                    <w:t>注塑</w:t>
                  </w:r>
                </w:p>
              </w:tc>
              <w:tc>
                <w:tcPr>
                  <w:tcW w:w="555" w:type="pct"/>
                  <w:vAlign w:val="center"/>
                </w:tcPr>
                <w:p w14:paraId="1D5B9E10">
                  <w:pPr>
                    <w:pStyle w:val="57"/>
                    <w:rPr>
                      <w:color w:val="auto"/>
                    </w:rPr>
                  </w:pPr>
                  <w:r>
                    <w:rPr>
                      <w:rFonts w:hint="eastAsia"/>
                      <w:color w:val="auto"/>
                    </w:rPr>
                    <w:t>G1</w:t>
                  </w:r>
                </w:p>
              </w:tc>
              <w:tc>
                <w:tcPr>
                  <w:tcW w:w="1082" w:type="pct"/>
                  <w:vAlign w:val="center"/>
                </w:tcPr>
                <w:p w14:paraId="151A15F6">
                  <w:pPr>
                    <w:pStyle w:val="57"/>
                    <w:rPr>
                      <w:color w:val="auto"/>
                    </w:rPr>
                  </w:pPr>
                  <w:r>
                    <w:rPr>
                      <w:rFonts w:hint="eastAsia"/>
                      <w:color w:val="auto"/>
                    </w:rPr>
                    <w:t>淋膜废气</w:t>
                  </w:r>
                </w:p>
              </w:tc>
              <w:tc>
                <w:tcPr>
                  <w:tcW w:w="1568" w:type="pct"/>
                  <w:vAlign w:val="center"/>
                </w:tcPr>
                <w:p w14:paraId="4E2EFF7D">
                  <w:pPr>
                    <w:pStyle w:val="57"/>
                    <w:rPr>
                      <w:rFonts w:hint="eastAsia" w:eastAsia="宋体"/>
                      <w:color w:val="auto"/>
                      <w:lang w:eastAsia="zh-CN"/>
                    </w:rPr>
                  </w:pPr>
                  <w:r>
                    <w:rPr>
                      <w:color w:val="auto"/>
                    </w:rPr>
                    <w:t>非甲烷总烃</w:t>
                  </w:r>
                </w:p>
              </w:tc>
            </w:tr>
            <w:tr w14:paraId="50A2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777B11D7">
                  <w:pPr>
                    <w:pStyle w:val="57"/>
                    <w:rPr>
                      <w:color w:val="auto"/>
                    </w:rPr>
                  </w:pPr>
                </w:p>
              </w:tc>
              <w:tc>
                <w:tcPr>
                  <w:tcW w:w="1253" w:type="pct"/>
                  <w:tcBorders>
                    <w:top w:val="single" w:color="000000" w:sz="4" w:space="0"/>
                    <w:bottom w:val="single" w:color="000000" w:sz="4" w:space="0"/>
                  </w:tcBorders>
                  <w:vAlign w:val="center"/>
                </w:tcPr>
                <w:p w14:paraId="61E981DE">
                  <w:pPr>
                    <w:pStyle w:val="57"/>
                    <w:rPr>
                      <w:color w:val="auto"/>
                    </w:rPr>
                  </w:pPr>
                  <w:r>
                    <w:rPr>
                      <w:rFonts w:hint="eastAsia"/>
                      <w:color w:val="auto"/>
                    </w:rPr>
                    <w:t>热转印</w:t>
                  </w:r>
                </w:p>
              </w:tc>
              <w:tc>
                <w:tcPr>
                  <w:tcW w:w="555" w:type="pct"/>
                  <w:vAlign w:val="center"/>
                </w:tcPr>
                <w:p w14:paraId="1D25A98E">
                  <w:pPr>
                    <w:pStyle w:val="57"/>
                    <w:rPr>
                      <w:color w:val="auto"/>
                    </w:rPr>
                  </w:pPr>
                  <w:r>
                    <w:rPr>
                      <w:rFonts w:hint="eastAsia"/>
                      <w:color w:val="auto"/>
                    </w:rPr>
                    <w:t>G2</w:t>
                  </w:r>
                </w:p>
              </w:tc>
              <w:tc>
                <w:tcPr>
                  <w:tcW w:w="1082" w:type="pct"/>
                  <w:vAlign w:val="center"/>
                </w:tcPr>
                <w:p w14:paraId="2EEA6550">
                  <w:pPr>
                    <w:pStyle w:val="57"/>
                    <w:rPr>
                      <w:color w:val="auto"/>
                    </w:rPr>
                  </w:pPr>
                  <w:r>
                    <w:rPr>
                      <w:rFonts w:hint="eastAsia"/>
                      <w:color w:val="auto"/>
                    </w:rPr>
                    <w:t>热转印废气</w:t>
                  </w:r>
                </w:p>
              </w:tc>
              <w:tc>
                <w:tcPr>
                  <w:tcW w:w="1568" w:type="pct"/>
                  <w:vAlign w:val="center"/>
                </w:tcPr>
                <w:p w14:paraId="54EA5E97">
                  <w:pPr>
                    <w:pStyle w:val="57"/>
                    <w:rPr>
                      <w:color w:val="auto"/>
                    </w:rPr>
                  </w:pPr>
                  <w:r>
                    <w:rPr>
                      <w:color w:val="auto"/>
                    </w:rPr>
                    <w:t>非甲烷总烃</w:t>
                  </w:r>
                </w:p>
              </w:tc>
            </w:tr>
            <w:tr w14:paraId="4EAA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72F8E862">
                  <w:pPr>
                    <w:pStyle w:val="57"/>
                    <w:rPr>
                      <w:color w:val="auto"/>
                    </w:rPr>
                  </w:pPr>
                </w:p>
              </w:tc>
              <w:tc>
                <w:tcPr>
                  <w:tcW w:w="1253" w:type="pct"/>
                  <w:tcBorders>
                    <w:top w:val="single" w:color="000000" w:sz="4" w:space="0"/>
                    <w:bottom w:val="single" w:color="000000" w:sz="4" w:space="0"/>
                  </w:tcBorders>
                  <w:vAlign w:val="center"/>
                </w:tcPr>
                <w:p w14:paraId="33CB24CF">
                  <w:pPr>
                    <w:pStyle w:val="57"/>
                    <w:rPr>
                      <w:color w:val="auto"/>
                    </w:rPr>
                  </w:pPr>
                  <w:r>
                    <w:rPr>
                      <w:rFonts w:hint="eastAsia"/>
                      <w:color w:val="auto"/>
                    </w:rPr>
                    <w:t>印刷、烘干</w:t>
                  </w:r>
                </w:p>
              </w:tc>
              <w:tc>
                <w:tcPr>
                  <w:tcW w:w="555" w:type="pct"/>
                  <w:vAlign w:val="center"/>
                </w:tcPr>
                <w:p w14:paraId="62337269">
                  <w:pPr>
                    <w:pStyle w:val="57"/>
                    <w:rPr>
                      <w:color w:val="auto"/>
                    </w:rPr>
                  </w:pPr>
                  <w:r>
                    <w:rPr>
                      <w:rFonts w:hint="eastAsia"/>
                      <w:color w:val="auto"/>
                    </w:rPr>
                    <w:t>G3</w:t>
                  </w:r>
                </w:p>
              </w:tc>
              <w:tc>
                <w:tcPr>
                  <w:tcW w:w="1082" w:type="pct"/>
                  <w:vAlign w:val="center"/>
                </w:tcPr>
                <w:p w14:paraId="01FE5529">
                  <w:pPr>
                    <w:pStyle w:val="57"/>
                    <w:rPr>
                      <w:color w:val="auto"/>
                    </w:rPr>
                  </w:pPr>
                  <w:r>
                    <w:rPr>
                      <w:rFonts w:hint="eastAsia"/>
                      <w:color w:val="auto"/>
                    </w:rPr>
                    <w:t>印刷、烘干废气</w:t>
                  </w:r>
                </w:p>
              </w:tc>
              <w:tc>
                <w:tcPr>
                  <w:tcW w:w="1568" w:type="pct"/>
                  <w:vAlign w:val="center"/>
                </w:tcPr>
                <w:p w14:paraId="7E005F73">
                  <w:pPr>
                    <w:pStyle w:val="57"/>
                    <w:rPr>
                      <w:color w:val="auto"/>
                    </w:rPr>
                  </w:pPr>
                  <w:r>
                    <w:rPr>
                      <w:color w:val="auto"/>
                    </w:rPr>
                    <w:t>非甲烷总烃</w:t>
                  </w:r>
                </w:p>
              </w:tc>
            </w:tr>
            <w:tr w14:paraId="6C1A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0" w:type="pct"/>
                  <w:vMerge w:val="continue"/>
                  <w:vAlign w:val="center"/>
                </w:tcPr>
                <w:p w14:paraId="72D7DA02">
                  <w:pPr>
                    <w:pStyle w:val="57"/>
                    <w:rPr>
                      <w:color w:val="auto"/>
                    </w:rPr>
                  </w:pPr>
                </w:p>
              </w:tc>
              <w:tc>
                <w:tcPr>
                  <w:tcW w:w="1253" w:type="pct"/>
                  <w:tcBorders>
                    <w:top w:val="single" w:color="000000" w:sz="4" w:space="0"/>
                    <w:bottom w:val="single" w:color="000000" w:sz="4" w:space="0"/>
                  </w:tcBorders>
                  <w:vAlign w:val="center"/>
                </w:tcPr>
                <w:p w14:paraId="5B7D6D9C">
                  <w:pPr>
                    <w:pStyle w:val="57"/>
                    <w:rPr>
                      <w:color w:val="auto"/>
                    </w:rPr>
                  </w:pPr>
                  <w:r>
                    <w:rPr>
                      <w:rFonts w:hint="eastAsia"/>
                      <w:color w:val="auto"/>
                    </w:rPr>
                    <w:t>注墨</w:t>
                  </w:r>
                </w:p>
              </w:tc>
              <w:tc>
                <w:tcPr>
                  <w:tcW w:w="555" w:type="pct"/>
                  <w:vAlign w:val="center"/>
                </w:tcPr>
                <w:p w14:paraId="2EE6AED4">
                  <w:pPr>
                    <w:pStyle w:val="57"/>
                    <w:rPr>
                      <w:color w:val="auto"/>
                    </w:rPr>
                  </w:pPr>
                  <w:r>
                    <w:rPr>
                      <w:rFonts w:hint="eastAsia"/>
                      <w:color w:val="auto"/>
                    </w:rPr>
                    <w:t>G4</w:t>
                  </w:r>
                </w:p>
              </w:tc>
              <w:tc>
                <w:tcPr>
                  <w:tcW w:w="1082" w:type="pct"/>
                  <w:vAlign w:val="center"/>
                </w:tcPr>
                <w:p w14:paraId="2BF27FD8">
                  <w:pPr>
                    <w:pStyle w:val="57"/>
                    <w:rPr>
                      <w:color w:val="auto"/>
                    </w:rPr>
                  </w:pPr>
                  <w:r>
                    <w:rPr>
                      <w:rFonts w:hint="eastAsia"/>
                      <w:color w:val="auto"/>
                    </w:rPr>
                    <w:t>注墨废气</w:t>
                  </w:r>
                </w:p>
              </w:tc>
              <w:tc>
                <w:tcPr>
                  <w:tcW w:w="1568" w:type="pct"/>
                  <w:vAlign w:val="center"/>
                </w:tcPr>
                <w:p w14:paraId="19E59684">
                  <w:pPr>
                    <w:pStyle w:val="57"/>
                    <w:rPr>
                      <w:color w:val="auto"/>
                    </w:rPr>
                  </w:pPr>
                  <w:r>
                    <w:rPr>
                      <w:color w:val="auto"/>
                    </w:rPr>
                    <w:t>非甲烷总烃</w:t>
                  </w:r>
                </w:p>
              </w:tc>
            </w:tr>
            <w:tr w14:paraId="3785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tcBorders>
                    <w:top w:val="single" w:color="000000" w:sz="4" w:space="0"/>
                  </w:tcBorders>
                  <w:vAlign w:val="center"/>
                </w:tcPr>
                <w:p w14:paraId="00823118">
                  <w:pPr>
                    <w:pStyle w:val="57"/>
                    <w:rPr>
                      <w:rFonts w:hint="eastAsia"/>
                      <w:color w:val="auto"/>
                    </w:rPr>
                  </w:pPr>
                  <w:r>
                    <w:rPr>
                      <w:rFonts w:hint="eastAsia"/>
                      <w:color w:val="auto"/>
                    </w:rPr>
                    <w:t>废水</w:t>
                  </w:r>
                </w:p>
              </w:tc>
              <w:tc>
                <w:tcPr>
                  <w:tcW w:w="1253" w:type="pct"/>
                  <w:tcBorders>
                    <w:top w:val="single" w:color="000000" w:sz="4" w:space="0"/>
                  </w:tcBorders>
                  <w:vAlign w:val="center"/>
                </w:tcPr>
                <w:p w14:paraId="2315629A">
                  <w:pPr>
                    <w:pStyle w:val="57"/>
                    <w:rPr>
                      <w:color w:val="auto"/>
                    </w:rPr>
                  </w:pPr>
                  <w:r>
                    <w:rPr>
                      <w:rFonts w:hint="eastAsia"/>
                      <w:color w:val="auto"/>
                    </w:rPr>
                    <w:t>办公生活</w:t>
                  </w:r>
                </w:p>
              </w:tc>
              <w:tc>
                <w:tcPr>
                  <w:tcW w:w="555" w:type="pct"/>
                  <w:vAlign w:val="center"/>
                </w:tcPr>
                <w:p w14:paraId="526373F4">
                  <w:pPr>
                    <w:pStyle w:val="57"/>
                    <w:rPr>
                      <w:color w:val="auto"/>
                    </w:rPr>
                  </w:pPr>
                  <w:r>
                    <w:rPr>
                      <w:rFonts w:hint="eastAsia"/>
                      <w:color w:val="auto"/>
                    </w:rPr>
                    <w:t>W1</w:t>
                  </w:r>
                </w:p>
              </w:tc>
              <w:tc>
                <w:tcPr>
                  <w:tcW w:w="1082" w:type="pct"/>
                  <w:vAlign w:val="center"/>
                </w:tcPr>
                <w:p w14:paraId="0E3731AB">
                  <w:pPr>
                    <w:pStyle w:val="57"/>
                    <w:rPr>
                      <w:color w:val="auto"/>
                    </w:rPr>
                  </w:pPr>
                  <w:r>
                    <w:rPr>
                      <w:rFonts w:hint="eastAsia"/>
                      <w:color w:val="auto"/>
                    </w:rPr>
                    <w:t>生活垃圾</w:t>
                  </w:r>
                </w:p>
              </w:tc>
              <w:tc>
                <w:tcPr>
                  <w:tcW w:w="1568" w:type="pct"/>
                  <w:vAlign w:val="center"/>
                </w:tcPr>
                <w:p w14:paraId="3F1DCDF5">
                  <w:pPr>
                    <w:pStyle w:val="57"/>
                    <w:rPr>
                      <w:color w:val="auto"/>
                    </w:rPr>
                  </w:pPr>
                  <w:r>
                    <w:rPr>
                      <w:rFonts w:hint="eastAsia"/>
                      <w:color w:val="auto"/>
                    </w:rPr>
                    <w:t>COD、BOD</w:t>
                  </w:r>
                  <w:r>
                    <w:rPr>
                      <w:rFonts w:hint="eastAsia"/>
                      <w:color w:val="auto"/>
                      <w:vertAlign w:val="subscript"/>
                    </w:rPr>
                    <w:t>5</w:t>
                  </w:r>
                  <w:r>
                    <w:rPr>
                      <w:rFonts w:hint="eastAsia"/>
                      <w:color w:val="auto"/>
                    </w:rPr>
                    <w:t>、氨氮、SS</w:t>
                  </w:r>
                </w:p>
              </w:tc>
            </w:tr>
            <w:tr w14:paraId="1DEC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restart"/>
                  <w:vAlign w:val="center"/>
                </w:tcPr>
                <w:p w14:paraId="4B012866">
                  <w:pPr>
                    <w:pStyle w:val="57"/>
                    <w:rPr>
                      <w:rFonts w:hint="eastAsia"/>
                      <w:color w:val="auto"/>
                    </w:rPr>
                  </w:pPr>
                  <w:r>
                    <w:rPr>
                      <w:rFonts w:hint="eastAsia"/>
                      <w:color w:val="auto"/>
                    </w:rPr>
                    <w:t>固废</w:t>
                  </w:r>
                </w:p>
              </w:tc>
              <w:tc>
                <w:tcPr>
                  <w:tcW w:w="1253" w:type="pct"/>
                  <w:vAlign w:val="center"/>
                </w:tcPr>
                <w:p w14:paraId="2EBBFBBC">
                  <w:pPr>
                    <w:pStyle w:val="57"/>
                    <w:rPr>
                      <w:rFonts w:hint="eastAsia"/>
                      <w:color w:val="auto"/>
                    </w:rPr>
                  </w:pPr>
                  <w:r>
                    <w:rPr>
                      <w:rFonts w:hint="eastAsia"/>
                      <w:color w:val="auto"/>
                    </w:rPr>
                    <w:t>投料</w:t>
                  </w:r>
                </w:p>
              </w:tc>
              <w:tc>
                <w:tcPr>
                  <w:tcW w:w="555" w:type="pct"/>
                  <w:vAlign w:val="center"/>
                </w:tcPr>
                <w:p w14:paraId="167D98B2">
                  <w:pPr>
                    <w:pStyle w:val="57"/>
                    <w:rPr>
                      <w:color w:val="auto"/>
                    </w:rPr>
                  </w:pPr>
                  <w:r>
                    <w:rPr>
                      <w:rFonts w:hint="eastAsia"/>
                      <w:color w:val="auto"/>
                    </w:rPr>
                    <w:t>S1</w:t>
                  </w:r>
                </w:p>
              </w:tc>
              <w:tc>
                <w:tcPr>
                  <w:tcW w:w="1082" w:type="pct"/>
                  <w:vAlign w:val="center"/>
                </w:tcPr>
                <w:p w14:paraId="4EFBE20A">
                  <w:pPr>
                    <w:pStyle w:val="57"/>
                    <w:rPr>
                      <w:rFonts w:hint="eastAsia"/>
                      <w:color w:val="auto"/>
                    </w:rPr>
                  </w:pPr>
                  <w:r>
                    <w:rPr>
                      <w:rFonts w:hint="eastAsia"/>
                      <w:color w:val="auto"/>
                    </w:rPr>
                    <w:t>废包装材料</w:t>
                  </w:r>
                </w:p>
              </w:tc>
              <w:tc>
                <w:tcPr>
                  <w:tcW w:w="1568" w:type="pct"/>
                  <w:vAlign w:val="center"/>
                </w:tcPr>
                <w:p w14:paraId="4F22B7CE">
                  <w:pPr>
                    <w:pStyle w:val="57"/>
                    <w:rPr>
                      <w:color w:val="auto"/>
                    </w:rPr>
                  </w:pPr>
                  <w:r>
                    <w:rPr>
                      <w:rFonts w:hint="eastAsia"/>
                      <w:color w:val="auto"/>
                    </w:rPr>
                    <w:t>塑料</w:t>
                  </w:r>
                </w:p>
              </w:tc>
            </w:tr>
            <w:tr w14:paraId="2EC6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5B514150">
                  <w:pPr>
                    <w:pStyle w:val="57"/>
                    <w:rPr>
                      <w:rFonts w:hint="eastAsia"/>
                      <w:color w:val="auto"/>
                    </w:rPr>
                  </w:pPr>
                </w:p>
              </w:tc>
              <w:tc>
                <w:tcPr>
                  <w:tcW w:w="1253" w:type="pct"/>
                  <w:vAlign w:val="center"/>
                </w:tcPr>
                <w:p w14:paraId="0FEEAEB0">
                  <w:pPr>
                    <w:pStyle w:val="57"/>
                    <w:rPr>
                      <w:color w:val="auto"/>
                    </w:rPr>
                  </w:pPr>
                  <w:r>
                    <w:rPr>
                      <w:rFonts w:hint="eastAsia"/>
                      <w:color w:val="auto"/>
                    </w:rPr>
                    <w:t>热转印</w:t>
                  </w:r>
                </w:p>
              </w:tc>
              <w:tc>
                <w:tcPr>
                  <w:tcW w:w="555" w:type="pct"/>
                  <w:vAlign w:val="center"/>
                </w:tcPr>
                <w:p w14:paraId="552A4140">
                  <w:pPr>
                    <w:pStyle w:val="57"/>
                    <w:rPr>
                      <w:color w:val="auto"/>
                    </w:rPr>
                  </w:pPr>
                  <w:r>
                    <w:rPr>
                      <w:rFonts w:hint="eastAsia"/>
                      <w:color w:val="auto"/>
                    </w:rPr>
                    <w:t>S2</w:t>
                  </w:r>
                </w:p>
              </w:tc>
              <w:tc>
                <w:tcPr>
                  <w:tcW w:w="1082" w:type="pct"/>
                  <w:vAlign w:val="center"/>
                </w:tcPr>
                <w:p w14:paraId="15125A8B">
                  <w:pPr>
                    <w:pStyle w:val="57"/>
                    <w:rPr>
                      <w:color w:val="auto"/>
                    </w:rPr>
                  </w:pPr>
                  <w:r>
                    <w:rPr>
                      <w:rFonts w:hint="eastAsia"/>
                      <w:color w:val="auto"/>
                    </w:rPr>
                    <w:t>边角料</w:t>
                  </w:r>
                </w:p>
              </w:tc>
              <w:tc>
                <w:tcPr>
                  <w:tcW w:w="1568" w:type="pct"/>
                  <w:vAlign w:val="center"/>
                </w:tcPr>
                <w:p w14:paraId="1DB33D68">
                  <w:pPr>
                    <w:pStyle w:val="57"/>
                    <w:rPr>
                      <w:rFonts w:hint="eastAsia"/>
                      <w:color w:val="auto"/>
                    </w:rPr>
                  </w:pPr>
                  <w:r>
                    <w:rPr>
                      <w:rFonts w:hint="eastAsia"/>
                      <w:color w:val="auto"/>
                    </w:rPr>
                    <w:t>塑料</w:t>
                  </w:r>
                </w:p>
              </w:tc>
            </w:tr>
            <w:tr w14:paraId="69C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32779DF0">
                  <w:pPr>
                    <w:pStyle w:val="57"/>
                    <w:rPr>
                      <w:color w:val="auto"/>
                    </w:rPr>
                  </w:pPr>
                </w:p>
              </w:tc>
              <w:tc>
                <w:tcPr>
                  <w:tcW w:w="1253" w:type="pct"/>
                  <w:vAlign w:val="center"/>
                </w:tcPr>
                <w:p w14:paraId="7F23736F">
                  <w:pPr>
                    <w:pStyle w:val="57"/>
                    <w:rPr>
                      <w:color w:val="auto"/>
                    </w:rPr>
                  </w:pPr>
                  <w:r>
                    <w:rPr>
                      <w:rFonts w:hint="eastAsia"/>
                      <w:color w:val="auto"/>
                    </w:rPr>
                    <w:t>维修、保养</w:t>
                  </w:r>
                </w:p>
              </w:tc>
              <w:tc>
                <w:tcPr>
                  <w:tcW w:w="555" w:type="pct"/>
                  <w:vAlign w:val="center"/>
                </w:tcPr>
                <w:p w14:paraId="20B5BBB3">
                  <w:pPr>
                    <w:pStyle w:val="57"/>
                    <w:rPr>
                      <w:color w:val="auto"/>
                    </w:rPr>
                  </w:pPr>
                  <w:r>
                    <w:rPr>
                      <w:rFonts w:hint="eastAsia"/>
                      <w:color w:val="auto"/>
                    </w:rPr>
                    <w:t>S3</w:t>
                  </w:r>
                </w:p>
              </w:tc>
              <w:tc>
                <w:tcPr>
                  <w:tcW w:w="1082" w:type="pct"/>
                  <w:vAlign w:val="center"/>
                </w:tcPr>
                <w:p w14:paraId="6717CAE0">
                  <w:pPr>
                    <w:pStyle w:val="57"/>
                    <w:rPr>
                      <w:rFonts w:hint="eastAsia"/>
                      <w:color w:val="auto"/>
                    </w:rPr>
                  </w:pPr>
                  <w:r>
                    <w:rPr>
                      <w:rFonts w:hint="eastAsia"/>
                      <w:color w:val="auto"/>
                    </w:rPr>
                    <w:t>废机油</w:t>
                  </w:r>
                </w:p>
              </w:tc>
              <w:tc>
                <w:tcPr>
                  <w:tcW w:w="1568" w:type="pct"/>
                  <w:vAlign w:val="center"/>
                </w:tcPr>
                <w:p w14:paraId="71E6B754">
                  <w:pPr>
                    <w:pStyle w:val="57"/>
                    <w:rPr>
                      <w:color w:val="auto"/>
                    </w:rPr>
                  </w:pPr>
                  <w:r>
                    <w:rPr>
                      <w:rFonts w:hint="eastAsia"/>
                      <w:color w:val="auto"/>
                    </w:rPr>
                    <w:t>矿物油</w:t>
                  </w:r>
                </w:p>
              </w:tc>
            </w:tr>
            <w:tr w14:paraId="540D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337812EA">
                  <w:pPr>
                    <w:pStyle w:val="57"/>
                    <w:rPr>
                      <w:color w:val="auto"/>
                    </w:rPr>
                  </w:pPr>
                </w:p>
              </w:tc>
              <w:tc>
                <w:tcPr>
                  <w:tcW w:w="1253" w:type="pct"/>
                  <w:vAlign w:val="center"/>
                </w:tcPr>
                <w:p w14:paraId="0ACD6EC9">
                  <w:pPr>
                    <w:pStyle w:val="57"/>
                    <w:rPr>
                      <w:rFonts w:hint="eastAsia"/>
                      <w:color w:val="auto"/>
                    </w:rPr>
                  </w:pPr>
                  <w:r>
                    <w:rPr>
                      <w:rFonts w:hint="eastAsia"/>
                      <w:color w:val="auto"/>
                    </w:rPr>
                    <w:t>废气处理</w:t>
                  </w:r>
                </w:p>
              </w:tc>
              <w:tc>
                <w:tcPr>
                  <w:tcW w:w="555" w:type="pct"/>
                  <w:vAlign w:val="center"/>
                </w:tcPr>
                <w:p w14:paraId="269451F1">
                  <w:pPr>
                    <w:pStyle w:val="57"/>
                    <w:rPr>
                      <w:color w:val="auto"/>
                    </w:rPr>
                  </w:pPr>
                  <w:r>
                    <w:rPr>
                      <w:rFonts w:hint="eastAsia"/>
                      <w:color w:val="auto"/>
                    </w:rPr>
                    <w:t>S4</w:t>
                  </w:r>
                </w:p>
              </w:tc>
              <w:tc>
                <w:tcPr>
                  <w:tcW w:w="1082" w:type="pct"/>
                  <w:vAlign w:val="center"/>
                </w:tcPr>
                <w:p w14:paraId="48AC5825">
                  <w:pPr>
                    <w:pStyle w:val="57"/>
                    <w:rPr>
                      <w:rFonts w:hint="eastAsia"/>
                      <w:color w:val="auto"/>
                    </w:rPr>
                  </w:pPr>
                  <w:r>
                    <w:rPr>
                      <w:rFonts w:hint="eastAsia"/>
                      <w:color w:val="auto"/>
                    </w:rPr>
                    <w:t>废活性炭</w:t>
                  </w:r>
                </w:p>
              </w:tc>
              <w:tc>
                <w:tcPr>
                  <w:tcW w:w="1568" w:type="pct"/>
                  <w:vAlign w:val="center"/>
                </w:tcPr>
                <w:p w14:paraId="3EE801BE">
                  <w:pPr>
                    <w:pStyle w:val="57"/>
                    <w:rPr>
                      <w:color w:val="auto"/>
                    </w:rPr>
                  </w:pPr>
                  <w:r>
                    <w:rPr>
                      <w:rFonts w:hint="eastAsia"/>
                      <w:color w:val="auto"/>
                    </w:rPr>
                    <w:t>有机废气</w:t>
                  </w:r>
                </w:p>
              </w:tc>
            </w:tr>
            <w:tr w14:paraId="14C0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0" w:type="pct"/>
                  <w:vMerge w:val="continue"/>
                  <w:vAlign w:val="center"/>
                </w:tcPr>
                <w:p w14:paraId="51A7F5E5">
                  <w:pPr>
                    <w:pStyle w:val="57"/>
                    <w:rPr>
                      <w:color w:val="auto"/>
                    </w:rPr>
                  </w:pPr>
                </w:p>
              </w:tc>
              <w:tc>
                <w:tcPr>
                  <w:tcW w:w="1253" w:type="pct"/>
                  <w:vAlign w:val="center"/>
                </w:tcPr>
                <w:p w14:paraId="580E408F">
                  <w:pPr>
                    <w:pStyle w:val="57"/>
                    <w:rPr>
                      <w:color w:val="auto"/>
                    </w:rPr>
                  </w:pPr>
                  <w:r>
                    <w:rPr>
                      <w:rFonts w:hint="eastAsia"/>
                      <w:color w:val="auto"/>
                    </w:rPr>
                    <w:t>印刷、注墨</w:t>
                  </w:r>
                </w:p>
              </w:tc>
              <w:tc>
                <w:tcPr>
                  <w:tcW w:w="555" w:type="pct"/>
                  <w:vAlign w:val="center"/>
                </w:tcPr>
                <w:p w14:paraId="1398F2C9">
                  <w:pPr>
                    <w:pStyle w:val="57"/>
                    <w:rPr>
                      <w:color w:val="auto"/>
                    </w:rPr>
                  </w:pPr>
                  <w:r>
                    <w:rPr>
                      <w:rFonts w:hint="eastAsia"/>
                      <w:color w:val="auto"/>
                    </w:rPr>
                    <w:t>S5</w:t>
                  </w:r>
                </w:p>
              </w:tc>
              <w:tc>
                <w:tcPr>
                  <w:tcW w:w="1082" w:type="pct"/>
                  <w:vAlign w:val="center"/>
                </w:tcPr>
                <w:p w14:paraId="70E09B05">
                  <w:pPr>
                    <w:pStyle w:val="57"/>
                    <w:rPr>
                      <w:rFonts w:hint="eastAsia"/>
                      <w:color w:val="auto"/>
                    </w:rPr>
                  </w:pPr>
                  <w:r>
                    <w:rPr>
                      <w:rFonts w:hint="eastAsia"/>
                      <w:color w:val="auto"/>
                    </w:rPr>
                    <w:t>废包装桶</w:t>
                  </w:r>
                </w:p>
              </w:tc>
              <w:tc>
                <w:tcPr>
                  <w:tcW w:w="1568" w:type="pct"/>
                  <w:vAlign w:val="center"/>
                </w:tcPr>
                <w:p w14:paraId="2E4B92E4">
                  <w:pPr>
                    <w:pStyle w:val="57"/>
                    <w:rPr>
                      <w:color w:val="auto"/>
                    </w:rPr>
                  </w:pPr>
                  <w:r>
                    <w:rPr>
                      <w:rFonts w:hint="eastAsia"/>
                      <w:color w:val="auto"/>
                    </w:rPr>
                    <w:t>油墨</w:t>
                  </w:r>
                </w:p>
              </w:tc>
            </w:tr>
          </w:tbl>
          <w:p w14:paraId="042AB1DC">
            <w:pPr>
              <w:ind w:firstLine="0" w:firstLineChars="0"/>
              <w:rPr>
                <w:bCs/>
                <w:color w:val="auto"/>
              </w:rPr>
            </w:pPr>
          </w:p>
          <w:p w14:paraId="76BB8465">
            <w:pPr>
              <w:pStyle w:val="2"/>
              <w:ind w:firstLine="480"/>
              <w:rPr>
                <w:color w:val="auto"/>
              </w:rPr>
            </w:pPr>
          </w:p>
          <w:p w14:paraId="6C813CE7">
            <w:pPr>
              <w:ind w:firstLine="480"/>
              <w:rPr>
                <w:color w:val="auto"/>
              </w:rPr>
            </w:pPr>
          </w:p>
          <w:p w14:paraId="74792D6E">
            <w:pPr>
              <w:ind w:firstLine="0" w:firstLineChars="0"/>
              <w:rPr>
                <w:color w:val="auto"/>
              </w:rPr>
            </w:pPr>
          </w:p>
        </w:tc>
      </w:tr>
      <w:tr w14:paraId="3C429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vAlign w:val="center"/>
          </w:tcPr>
          <w:p w14:paraId="1ECE11FD">
            <w:pPr>
              <w:pStyle w:val="34"/>
              <w:adjustRightInd w:val="0"/>
              <w:snapToGrid w:val="0"/>
              <w:spacing w:before="0" w:beforeAutospacing="0" w:after="0" w:afterAutospacing="0"/>
              <w:ind w:firstLine="0" w:firstLineChars="0"/>
              <w:jc w:val="center"/>
              <w:rPr>
                <w:rFonts w:ascii="Times New Roman" w:hAnsi="Times New Roman"/>
                <w:color w:val="auto"/>
                <w:szCs w:val="24"/>
              </w:rPr>
            </w:pPr>
            <w:r>
              <w:rPr>
                <w:rFonts w:ascii="Times New Roman" w:hAnsi="Times New Roman"/>
                <w:b/>
                <w:color w:val="auto"/>
                <w:kern w:val="2"/>
                <w:szCs w:val="24"/>
              </w:rPr>
              <w:t>与项目有关的原有环境污染问题</w:t>
            </w:r>
          </w:p>
        </w:tc>
        <w:tc>
          <w:tcPr>
            <w:tcW w:w="4570" w:type="pct"/>
            <w:vAlign w:val="center"/>
          </w:tcPr>
          <w:p w14:paraId="7BE8A839">
            <w:pPr>
              <w:ind w:firstLine="480"/>
              <w:rPr>
                <w:color w:val="auto"/>
              </w:rPr>
            </w:pPr>
          </w:p>
          <w:p w14:paraId="18DFEBAC">
            <w:pPr>
              <w:ind w:firstLine="480"/>
              <w:rPr>
                <w:color w:val="auto"/>
              </w:rPr>
            </w:pPr>
          </w:p>
          <w:p w14:paraId="119CAB2A">
            <w:pPr>
              <w:pStyle w:val="19"/>
              <w:ind w:firstLine="360"/>
              <w:rPr>
                <w:color w:val="auto"/>
              </w:rPr>
            </w:pPr>
          </w:p>
          <w:p w14:paraId="3CD6C67E">
            <w:pPr>
              <w:pStyle w:val="20"/>
              <w:ind w:firstLine="480"/>
              <w:rPr>
                <w:color w:val="auto"/>
              </w:rPr>
            </w:pPr>
          </w:p>
          <w:p w14:paraId="519605F7">
            <w:pPr>
              <w:ind w:firstLine="480"/>
              <w:rPr>
                <w:color w:val="auto"/>
              </w:rPr>
            </w:pPr>
          </w:p>
          <w:p w14:paraId="4FBCEB1F">
            <w:pPr>
              <w:pStyle w:val="29"/>
              <w:ind w:firstLine="480"/>
              <w:rPr>
                <w:color w:val="auto"/>
              </w:rPr>
            </w:pPr>
          </w:p>
          <w:p w14:paraId="5B9630B7">
            <w:pPr>
              <w:pStyle w:val="30"/>
              <w:ind w:firstLine="480"/>
              <w:rPr>
                <w:color w:val="auto"/>
              </w:rPr>
            </w:pPr>
          </w:p>
          <w:p w14:paraId="2B386ADB">
            <w:pPr>
              <w:ind w:firstLine="480"/>
              <w:rPr>
                <w:color w:val="auto"/>
              </w:rPr>
            </w:pPr>
          </w:p>
          <w:p w14:paraId="0BEDC45A">
            <w:pPr>
              <w:pStyle w:val="2"/>
              <w:ind w:firstLine="0" w:firstLineChars="0"/>
              <w:rPr>
                <w:color w:val="auto"/>
              </w:rPr>
            </w:pPr>
          </w:p>
          <w:p w14:paraId="5F6267E6">
            <w:pPr>
              <w:pStyle w:val="30"/>
              <w:ind w:firstLine="480"/>
              <w:rPr>
                <w:color w:val="auto"/>
              </w:rPr>
            </w:pPr>
          </w:p>
          <w:p w14:paraId="233F3528">
            <w:pPr>
              <w:ind w:firstLine="480"/>
              <w:rPr>
                <w:color w:val="auto"/>
              </w:rPr>
            </w:pPr>
          </w:p>
          <w:p w14:paraId="10394E8D">
            <w:pPr>
              <w:ind w:firstLine="0" w:firstLineChars="0"/>
              <w:contextualSpacing/>
              <w:jc w:val="both"/>
              <w:rPr>
                <w:color w:val="auto"/>
              </w:rPr>
            </w:pPr>
            <w:r>
              <w:rPr>
                <w:rFonts w:hint="eastAsia"/>
                <w:color w:val="auto"/>
                <w:lang w:val="en-US" w:eastAsia="zh-CN"/>
              </w:rPr>
              <w:t xml:space="preserve">  </w:t>
            </w:r>
            <w:r>
              <w:rPr>
                <w:color w:val="auto"/>
              </w:rPr>
              <w:t>本项</w:t>
            </w:r>
            <w:r>
              <w:rPr>
                <w:color w:val="auto"/>
              </w:rPr>
              <w:t>目</w:t>
            </w:r>
            <w:r>
              <w:rPr>
                <w:rFonts w:hint="eastAsia"/>
                <w:color w:val="auto"/>
              </w:rPr>
              <w:t>为租赁</w:t>
            </w:r>
            <w:r>
              <w:rPr>
                <w:rFonts w:hint="eastAsia"/>
                <w:color w:val="auto"/>
                <w:lang w:val="en-US" w:eastAsia="zh-CN"/>
              </w:rPr>
              <w:t>安徽顺鑫鞋业有限公司2#厂房1层、2层，厂房原用于安徽顺鑫鞋业有限公司仓库使用，目前厂房内设备、原料均已腾空，处于空置状态</w:t>
            </w:r>
            <w:r>
              <w:rPr>
                <w:color w:val="auto"/>
              </w:rPr>
              <w:t>，无</w:t>
            </w:r>
            <w:r>
              <w:rPr>
                <w:color w:val="auto"/>
              </w:rPr>
              <w:t>原有环境问题。</w:t>
            </w:r>
          </w:p>
          <w:p w14:paraId="6DD09BB8">
            <w:pPr>
              <w:ind w:firstLine="0" w:firstLineChars="0"/>
              <w:contextualSpacing/>
              <w:rPr>
                <w:color w:val="auto"/>
              </w:rPr>
            </w:pPr>
          </w:p>
          <w:p w14:paraId="69CF9A53">
            <w:pPr>
              <w:ind w:firstLine="0" w:firstLineChars="0"/>
              <w:rPr>
                <w:color w:val="auto"/>
              </w:rPr>
            </w:pPr>
          </w:p>
          <w:p w14:paraId="7F664864">
            <w:pPr>
              <w:pStyle w:val="19"/>
              <w:ind w:firstLine="360"/>
              <w:rPr>
                <w:color w:val="auto"/>
              </w:rPr>
            </w:pPr>
          </w:p>
          <w:p w14:paraId="2CBFC5BF">
            <w:pPr>
              <w:pStyle w:val="56"/>
              <w:rPr>
                <w:color w:val="auto"/>
              </w:rPr>
            </w:pPr>
          </w:p>
          <w:p w14:paraId="2DBB5D65">
            <w:pPr>
              <w:pStyle w:val="18"/>
              <w:rPr>
                <w:rFonts w:hint="eastAsia"/>
                <w:color w:val="auto"/>
              </w:rPr>
            </w:pPr>
          </w:p>
          <w:p w14:paraId="5196B96A">
            <w:pPr>
              <w:pStyle w:val="18"/>
              <w:rPr>
                <w:rFonts w:hint="eastAsia"/>
                <w:color w:val="auto"/>
              </w:rPr>
            </w:pPr>
          </w:p>
          <w:p w14:paraId="015A79D7">
            <w:pPr>
              <w:pStyle w:val="18"/>
              <w:rPr>
                <w:rFonts w:hint="eastAsia"/>
                <w:color w:val="auto"/>
              </w:rPr>
            </w:pPr>
          </w:p>
          <w:p w14:paraId="205F3046">
            <w:pPr>
              <w:pStyle w:val="18"/>
              <w:rPr>
                <w:rFonts w:hint="eastAsia"/>
                <w:color w:val="auto"/>
              </w:rPr>
            </w:pPr>
          </w:p>
          <w:p w14:paraId="1BEE1B7B">
            <w:pPr>
              <w:pStyle w:val="18"/>
              <w:rPr>
                <w:rFonts w:hint="eastAsia"/>
                <w:color w:val="auto"/>
              </w:rPr>
            </w:pPr>
          </w:p>
          <w:p w14:paraId="7E1E31D2">
            <w:pPr>
              <w:pStyle w:val="18"/>
              <w:rPr>
                <w:rFonts w:hint="eastAsia"/>
                <w:color w:val="auto"/>
              </w:rPr>
            </w:pPr>
          </w:p>
          <w:p w14:paraId="4F5ED2A0">
            <w:pPr>
              <w:pStyle w:val="18"/>
              <w:rPr>
                <w:rFonts w:hint="eastAsia"/>
                <w:color w:val="auto"/>
              </w:rPr>
            </w:pPr>
          </w:p>
          <w:p w14:paraId="2E4880FC">
            <w:pPr>
              <w:pStyle w:val="18"/>
              <w:rPr>
                <w:rFonts w:hint="eastAsia"/>
                <w:color w:val="auto"/>
              </w:rPr>
            </w:pPr>
          </w:p>
          <w:p w14:paraId="61B1AB67">
            <w:pPr>
              <w:pStyle w:val="18"/>
              <w:rPr>
                <w:rFonts w:hint="eastAsia"/>
                <w:color w:val="auto"/>
              </w:rPr>
            </w:pPr>
          </w:p>
          <w:p w14:paraId="00A9BC93">
            <w:pPr>
              <w:pStyle w:val="18"/>
              <w:rPr>
                <w:rFonts w:hint="eastAsia"/>
                <w:color w:val="auto"/>
              </w:rPr>
            </w:pPr>
          </w:p>
          <w:p w14:paraId="7878C8E7">
            <w:pPr>
              <w:pStyle w:val="18"/>
              <w:rPr>
                <w:rFonts w:hint="eastAsia"/>
                <w:color w:val="auto"/>
              </w:rPr>
            </w:pPr>
          </w:p>
          <w:p w14:paraId="1A792B53">
            <w:pPr>
              <w:pStyle w:val="18"/>
              <w:rPr>
                <w:rFonts w:hint="eastAsia"/>
                <w:color w:val="auto"/>
              </w:rPr>
            </w:pPr>
          </w:p>
          <w:p w14:paraId="23784E47">
            <w:pPr>
              <w:ind w:firstLine="480"/>
              <w:rPr>
                <w:rFonts w:hint="eastAsia"/>
                <w:color w:val="auto"/>
              </w:rPr>
            </w:pPr>
          </w:p>
          <w:p w14:paraId="34EECE48">
            <w:pPr>
              <w:pStyle w:val="2"/>
              <w:ind w:firstLine="480"/>
              <w:rPr>
                <w:rFonts w:hint="eastAsia"/>
                <w:color w:val="auto"/>
              </w:rPr>
            </w:pPr>
          </w:p>
          <w:p w14:paraId="33CC0F39">
            <w:pPr>
              <w:ind w:firstLine="480"/>
              <w:rPr>
                <w:rFonts w:hint="eastAsia"/>
                <w:color w:val="auto"/>
              </w:rPr>
            </w:pPr>
          </w:p>
          <w:p w14:paraId="06287E69">
            <w:pPr>
              <w:pStyle w:val="2"/>
              <w:ind w:firstLine="480"/>
              <w:rPr>
                <w:rFonts w:hint="eastAsia"/>
                <w:color w:val="auto"/>
              </w:rPr>
            </w:pPr>
          </w:p>
          <w:p w14:paraId="66FD3E42">
            <w:pPr>
              <w:ind w:firstLine="0" w:firstLineChars="0"/>
              <w:rPr>
                <w:color w:val="auto"/>
              </w:rPr>
            </w:pPr>
          </w:p>
        </w:tc>
      </w:tr>
    </w:tbl>
    <w:p w14:paraId="6BF8154C">
      <w:pPr>
        <w:pStyle w:val="34"/>
        <w:ind w:firstLine="0" w:firstLineChars="0"/>
        <w:jc w:val="both"/>
        <w:rPr>
          <w:rFonts w:ascii="黑体" w:hAnsi="黑体" w:eastAsia="黑体"/>
          <w:snapToGrid w:val="0"/>
          <w:color w:val="auto"/>
          <w:sz w:val="36"/>
          <w:szCs w:val="36"/>
        </w:rPr>
        <w:sectPr>
          <w:footerReference r:id="rId7" w:type="default"/>
          <w:pgSz w:w="11906" w:h="16838"/>
          <w:pgMar w:top="1247" w:right="1247" w:bottom="1247" w:left="1247" w:header="397" w:footer="680" w:gutter="0"/>
          <w:cols w:space="720" w:num="1"/>
          <w:docGrid w:linePitch="312" w:charSpace="0"/>
        </w:sectPr>
      </w:pPr>
    </w:p>
    <w:p w14:paraId="3A95E58D">
      <w:pPr>
        <w:pStyle w:val="34"/>
        <w:ind w:firstLine="600"/>
        <w:jc w:val="center"/>
        <w:outlineLvl w:val="0"/>
        <w:rPr>
          <w:rFonts w:ascii="黑体" w:hAnsi="黑体" w:eastAsia="黑体"/>
          <w:snapToGrid w:val="0"/>
          <w:color w:val="auto"/>
          <w:sz w:val="30"/>
          <w:szCs w:val="30"/>
        </w:rPr>
      </w:pPr>
      <w:bookmarkStart w:id="2" w:name="_Toc70503422"/>
      <w:r>
        <w:rPr>
          <w:rFonts w:hint="eastAsia" w:ascii="黑体" w:hAnsi="黑体" w:eastAsia="黑体"/>
          <w:snapToGrid w:val="0"/>
          <w:color w:val="auto"/>
          <w:sz w:val="30"/>
          <w:szCs w:val="30"/>
        </w:rPr>
        <w:t>三、区域环境质量现状、环境保护目标及评价标准</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856"/>
      </w:tblGrid>
      <w:tr w14:paraId="1400F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82" w:hRule="atLeast"/>
          <w:jc w:val="center"/>
        </w:trPr>
        <w:tc>
          <w:tcPr>
            <w:tcW w:w="401" w:type="pct"/>
            <w:vAlign w:val="center"/>
          </w:tcPr>
          <w:p w14:paraId="205F47EC">
            <w:pPr>
              <w:adjustRightInd w:val="0"/>
              <w:snapToGrid w:val="0"/>
              <w:ind w:firstLine="0" w:firstLineChars="0"/>
              <w:jc w:val="center"/>
              <w:rPr>
                <w:b/>
                <w:bCs/>
                <w:color w:val="auto"/>
                <w:kern w:val="0"/>
              </w:rPr>
            </w:pPr>
            <w:r>
              <w:rPr>
                <w:b/>
                <w:bCs/>
                <w:color w:val="auto"/>
                <w:kern w:val="0"/>
              </w:rPr>
              <w:t>区域</w:t>
            </w:r>
          </w:p>
          <w:p w14:paraId="60D10DB6">
            <w:pPr>
              <w:adjustRightInd w:val="0"/>
              <w:snapToGrid w:val="0"/>
              <w:ind w:firstLine="0" w:firstLineChars="0"/>
              <w:jc w:val="center"/>
              <w:rPr>
                <w:b/>
                <w:bCs/>
                <w:color w:val="auto"/>
                <w:kern w:val="0"/>
              </w:rPr>
            </w:pPr>
            <w:r>
              <w:rPr>
                <w:b/>
                <w:bCs/>
                <w:color w:val="auto"/>
                <w:kern w:val="0"/>
              </w:rPr>
              <w:t>环境</w:t>
            </w:r>
          </w:p>
          <w:p w14:paraId="74A82932">
            <w:pPr>
              <w:adjustRightInd w:val="0"/>
              <w:snapToGrid w:val="0"/>
              <w:ind w:firstLine="0" w:firstLineChars="0"/>
              <w:jc w:val="center"/>
              <w:rPr>
                <w:b/>
                <w:bCs/>
                <w:color w:val="auto"/>
                <w:kern w:val="0"/>
              </w:rPr>
            </w:pPr>
            <w:r>
              <w:rPr>
                <w:b/>
                <w:bCs/>
                <w:color w:val="auto"/>
                <w:kern w:val="0"/>
              </w:rPr>
              <w:t>质量</w:t>
            </w:r>
          </w:p>
          <w:p w14:paraId="561C69F7">
            <w:pPr>
              <w:adjustRightInd w:val="0"/>
              <w:snapToGrid w:val="0"/>
              <w:ind w:firstLine="0" w:firstLineChars="0"/>
              <w:jc w:val="center"/>
              <w:rPr>
                <w:color w:val="auto"/>
                <w:kern w:val="0"/>
              </w:rPr>
            </w:pPr>
            <w:r>
              <w:rPr>
                <w:b/>
                <w:bCs/>
                <w:color w:val="auto"/>
                <w:kern w:val="0"/>
              </w:rPr>
              <w:t>现状</w:t>
            </w:r>
          </w:p>
        </w:tc>
        <w:tc>
          <w:tcPr>
            <w:tcW w:w="4598" w:type="pct"/>
            <w:vAlign w:val="center"/>
          </w:tcPr>
          <w:p w14:paraId="2AA6B786">
            <w:pPr>
              <w:ind w:firstLine="482"/>
              <w:rPr>
                <w:b/>
                <w:bCs/>
                <w:color w:val="auto"/>
              </w:rPr>
            </w:pPr>
            <w:r>
              <w:rPr>
                <w:b/>
                <w:bCs/>
                <w:color w:val="auto"/>
              </w:rPr>
              <w:t>1、大气环境质量现状</w:t>
            </w:r>
          </w:p>
          <w:p w14:paraId="1B138306">
            <w:pPr>
              <w:pStyle w:val="17"/>
              <w:ind w:firstLine="482"/>
              <w:jc w:val="both"/>
              <w:rPr>
                <w:rFonts w:hint="default" w:ascii="Times New Roman" w:hAnsi="Times New Roman" w:cs="Times New Roman"/>
                <w:b/>
                <w:bCs/>
                <w:color w:val="auto"/>
              </w:rPr>
            </w:pPr>
            <w:r>
              <w:rPr>
                <w:rFonts w:hint="default" w:ascii="Times New Roman" w:hAnsi="Times New Roman" w:cs="Times New Roman"/>
                <w:b/>
                <w:bCs/>
                <w:color w:val="auto"/>
              </w:rPr>
              <w:t>（1）项目所在区域空气质量达标区判定</w:t>
            </w:r>
          </w:p>
          <w:p w14:paraId="2B57D52D">
            <w:pPr>
              <w:adjustRightInd w:val="0"/>
              <w:snapToGrid w:val="0"/>
              <w:ind w:firstLine="480"/>
              <w:jc w:val="left"/>
              <w:rPr>
                <w:rFonts w:hint="eastAsia"/>
                <w:color w:val="auto"/>
              </w:rPr>
            </w:pPr>
            <w:r>
              <w:rPr>
                <w:rFonts w:hint="eastAsia"/>
                <w:color w:val="auto"/>
              </w:rPr>
              <w:t>根据发布的宿州市2023年环境质量状况，宿州市2023年SO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、PM</w:t>
            </w:r>
            <w:r>
              <w:rPr>
                <w:rFonts w:hint="eastAsia"/>
                <w:color w:val="auto"/>
                <w:vertAlign w:val="subscript"/>
              </w:rPr>
              <w:t>10</w:t>
            </w:r>
            <w:r>
              <w:rPr>
                <w:rFonts w:hint="eastAsia"/>
                <w:color w:val="auto"/>
              </w:rPr>
              <w:t>、PM</w:t>
            </w:r>
            <w:r>
              <w:rPr>
                <w:rFonts w:hint="eastAsia"/>
                <w:color w:val="auto"/>
                <w:vertAlign w:val="subscript"/>
              </w:rPr>
              <w:t>2.5</w:t>
            </w:r>
            <w:r>
              <w:rPr>
                <w:rFonts w:hint="eastAsia"/>
                <w:color w:val="auto"/>
              </w:rPr>
              <w:t>年均浓度分别为6ug/m³、28ug/m³、75ug/m³、41ug/m³;CO24小时平均第95百分位数为1.1mg/m³,O</w:t>
            </w:r>
            <w:r>
              <w:rPr>
                <w:rFonts w:hint="eastAsia"/>
                <w:color w:val="auto"/>
                <w:vertAlign w:val="subscript"/>
              </w:rPr>
              <w:t>3</w:t>
            </w:r>
            <w:r>
              <w:rPr>
                <w:rFonts w:hint="eastAsia"/>
                <w:color w:val="auto"/>
              </w:rPr>
              <w:t>日最大8小时平均第90百分位数为165ug/m³;超过《环境空气质量标准》（GB3095-2012）中二级标准限值的污染物为O</w:t>
            </w:r>
            <w:r>
              <w:rPr>
                <w:rFonts w:hint="eastAsia"/>
                <w:color w:val="auto"/>
                <w:vertAlign w:val="subscript"/>
              </w:rPr>
              <w:t>3</w:t>
            </w:r>
            <w:r>
              <w:rPr>
                <w:rFonts w:hint="eastAsia"/>
                <w:color w:val="auto"/>
              </w:rPr>
              <w:t>、PM</w:t>
            </w:r>
            <w:r>
              <w:rPr>
                <w:rFonts w:hint="eastAsia"/>
                <w:color w:val="auto"/>
                <w:vertAlign w:val="subscript"/>
              </w:rPr>
              <w:t>10</w:t>
            </w:r>
            <w:r>
              <w:rPr>
                <w:rFonts w:hint="eastAsia"/>
                <w:color w:val="auto"/>
              </w:rPr>
              <w:t>、PM</w:t>
            </w:r>
            <w:r>
              <w:rPr>
                <w:rFonts w:hint="eastAsia"/>
                <w:color w:val="auto"/>
                <w:vertAlign w:val="subscript"/>
              </w:rPr>
              <w:t>2.5</w:t>
            </w:r>
            <w:r>
              <w:rPr>
                <w:rFonts w:hint="eastAsia"/>
                <w:color w:val="auto"/>
              </w:rPr>
              <w:t>。宿州市属于不达标区。</w:t>
            </w:r>
          </w:p>
          <w:p w14:paraId="0F046A33">
            <w:pPr>
              <w:pStyle w:val="58"/>
              <w:ind w:firstLine="422"/>
              <w:rPr>
                <w:color w:val="auto"/>
              </w:rPr>
            </w:pPr>
            <w:r>
              <w:rPr>
                <w:color w:val="auto"/>
              </w:rPr>
              <w:t>表</w:t>
            </w:r>
            <w:r>
              <w:rPr>
                <w:rFonts w:hint="eastAsia"/>
                <w:color w:val="auto"/>
              </w:rPr>
              <w:t>3-1</w:t>
            </w:r>
            <w:r>
              <w:rPr>
                <w:color w:val="auto"/>
              </w:rPr>
              <w:t>区域基本污染物环境质量现状评价表</w:t>
            </w:r>
          </w:p>
          <w:tbl>
            <w:tblPr>
              <w:tblStyle w:val="83"/>
              <w:tblW w:w="853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2339"/>
              <w:gridCol w:w="1351"/>
              <w:gridCol w:w="1319"/>
              <w:gridCol w:w="1283"/>
              <w:gridCol w:w="1252"/>
            </w:tblGrid>
            <w:tr w14:paraId="6CF25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60A936FE">
                  <w:pPr>
                    <w:pStyle w:val="57"/>
                    <w:rPr>
                      <w:rFonts w:ascii="Calibri" w:hAnsi="Calibri"/>
                      <w:b/>
                      <w:bCs w:val="0"/>
                      <w:color w:val="auto"/>
                      <w:lang w:eastAsia="en-US"/>
                    </w:rPr>
                  </w:pPr>
                  <w:r>
                    <w:rPr>
                      <w:rFonts w:ascii="Calibri" w:hAnsi="Calibri"/>
                      <w:b/>
                      <w:bCs w:val="0"/>
                      <w:color w:val="auto"/>
                      <w:lang w:eastAsia="en-US"/>
                    </w:rPr>
                    <w:t>污染物</w:t>
                  </w:r>
                </w:p>
              </w:tc>
              <w:tc>
                <w:tcPr>
                  <w:tcW w:w="2339" w:type="dxa"/>
                  <w:vAlign w:val="center"/>
                </w:tcPr>
                <w:p w14:paraId="603C0C2F">
                  <w:pPr>
                    <w:pStyle w:val="57"/>
                    <w:rPr>
                      <w:rFonts w:ascii="Calibri" w:hAnsi="Calibri"/>
                      <w:b/>
                      <w:bCs w:val="0"/>
                      <w:color w:val="auto"/>
                      <w:lang w:eastAsia="en-US"/>
                    </w:rPr>
                  </w:pPr>
                  <w:r>
                    <w:rPr>
                      <w:rFonts w:ascii="Calibri" w:hAnsi="Calibri"/>
                      <w:b/>
                      <w:bCs w:val="0"/>
                      <w:color w:val="auto"/>
                      <w:lang w:eastAsia="en-US"/>
                    </w:rPr>
                    <w:t>评价标准</w:t>
                  </w:r>
                </w:p>
              </w:tc>
              <w:tc>
                <w:tcPr>
                  <w:tcW w:w="1351" w:type="dxa"/>
                  <w:vAlign w:val="center"/>
                </w:tcPr>
                <w:p w14:paraId="347EE16F">
                  <w:pPr>
                    <w:pStyle w:val="57"/>
                    <w:rPr>
                      <w:rFonts w:ascii="Calibri" w:hAnsi="Calibri"/>
                      <w:b/>
                      <w:bCs w:val="0"/>
                      <w:color w:val="auto"/>
                      <w:lang w:eastAsia="en-US"/>
                    </w:rPr>
                  </w:pPr>
                  <w:r>
                    <w:rPr>
                      <w:rFonts w:ascii="Calibri" w:hAnsi="Calibri"/>
                      <w:b/>
                      <w:bCs w:val="0"/>
                      <w:color w:val="auto"/>
                      <w:lang w:eastAsia="en-US"/>
                    </w:rPr>
                    <w:t>年均浓度(</w:t>
                  </w:r>
                  <w:r>
                    <w:rPr>
                      <w:rFonts w:hint="eastAsia" w:ascii="Calibri" w:hAnsi="Calibri"/>
                      <w:b/>
                      <w:bCs w:val="0"/>
                      <w:color w:val="auto"/>
                      <w:lang w:eastAsia="en-US"/>
                    </w:rPr>
                    <w:t>u</w:t>
                  </w:r>
                  <w:r>
                    <w:rPr>
                      <w:rFonts w:ascii="Calibri" w:hAnsi="Calibri"/>
                      <w:b/>
                      <w:bCs w:val="0"/>
                      <w:color w:val="auto"/>
                      <w:lang w:eastAsia="en-US"/>
                    </w:rPr>
                    <w:t>g/m³)</w:t>
                  </w:r>
                </w:p>
              </w:tc>
              <w:tc>
                <w:tcPr>
                  <w:tcW w:w="1319" w:type="dxa"/>
                  <w:vAlign w:val="center"/>
                </w:tcPr>
                <w:p w14:paraId="45F0FF38">
                  <w:pPr>
                    <w:pStyle w:val="57"/>
                    <w:rPr>
                      <w:rFonts w:ascii="Calibri" w:hAnsi="Calibri"/>
                      <w:b/>
                      <w:bCs w:val="0"/>
                      <w:color w:val="auto"/>
                      <w:lang w:eastAsia="en-US"/>
                    </w:rPr>
                  </w:pPr>
                  <w:r>
                    <w:rPr>
                      <w:rFonts w:ascii="Calibri" w:hAnsi="Calibri"/>
                      <w:b/>
                      <w:bCs w:val="0"/>
                      <w:color w:val="auto"/>
                      <w:lang w:eastAsia="en-US"/>
                    </w:rPr>
                    <w:t>标准值(</w:t>
                  </w:r>
                  <w:r>
                    <w:rPr>
                      <w:rFonts w:hint="eastAsia" w:ascii="Calibri" w:hAnsi="Calibri"/>
                      <w:b/>
                      <w:bCs w:val="0"/>
                      <w:color w:val="auto"/>
                      <w:lang w:eastAsia="en-US"/>
                    </w:rPr>
                    <w:t>u</w:t>
                  </w:r>
                  <w:r>
                    <w:rPr>
                      <w:rFonts w:ascii="Calibri" w:hAnsi="Calibri"/>
                      <w:b/>
                      <w:bCs w:val="0"/>
                      <w:color w:val="auto"/>
                      <w:lang w:eastAsia="en-US"/>
                    </w:rPr>
                    <w:t>g/m³)</w:t>
                  </w:r>
                </w:p>
              </w:tc>
              <w:tc>
                <w:tcPr>
                  <w:tcW w:w="1283" w:type="dxa"/>
                  <w:vAlign w:val="center"/>
                </w:tcPr>
                <w:p w14:paraId="4A04A127">
                  <w:pPr>
                    <w:pStyle w:val="57"/>
                    <w:rPr>
                      <w:rFonts w:ascii="Calibri" w:hAnsi="Calibri"/>
                      <w:b/>
                      <w:bCs w:val="0"/>
                      <w:color w:val="auto"/>
                      <w:lang w:eastAsia="en-US"/>
                    </w:rPr>
                  </w:pPr>
                  <w:r>
                    <w:rPr>
                      <w:rFonts w:ascii="Calibri" w:hAnsi="Calibri"/>
                      <w:b/>
                      <w:bCs w:val="0"/>
                      <w:color w:val="auto"/>
                      <w:lang w:eastAsia="en-US"/>
                    </w:rPr>
                    <w:t>占标率%</w:t>
                  </w:r>
                </w:p>
              </w:tc>
              <w:tc>
                <w:tcPr>
                  <w:tcW w:w="1252" w:type="dxa"/>
                  <w:vAlign w:val="center"/>
                </w:tcPr>
                <w:p w14:paraId="2A64550A">
                  <w:pPr>
                    <w:pStyle w:val="57"/>
                    <w:rPr>
                      <w:rFonts w:ascii="Calibri" w:hAnsi="Calibri"/>
                      <w:b/>
                      <w:bCs w:val="0"/>
                      <w:color w:val="auto"/>
                      <w:lang w:eastAsia="en-US"/>
                    </w:rPr>
                  </w:pPr>
                  <w:r>
                    <w:rPr>
                      <w:rFonts w:ascii="Calibri" w:hAnsi="Calibri"/>
                      <w:b/>
                      <w:bCs w:val="0"/>
                      <w:color w:val="auto"/>
                      <w:lang w:eastAsia="en-US"/>
                    </w:rPr>
                    <w:t>达标情况</w:t>
                  </w:r>
                </w:p>
              </w:tc>
            </w:tr>
            <w:tr w14:paraId="4FB56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70EDD9D2">
                  <w:pPr>
                    <w:pStyle w:val="57"/>
                    <w:rPr>
                      <w:rFonts w:ascii="Calibri" w:hAnsi="Calibri"/>
                      <w:color w:val="auto"/>
                      <w:lang w:eastAsia="en-US"/>
                    </w:rPr>
                  </w:pPr>
                  <w:r>
                    <w:rPr>
                      <w:rFonts w:ascii="Calibri" w:hAnsi="Calibri"/>
                      <w:color w:val="auto"/>
                      <w:lang w:eastAsia="en-US"/>
                    </w:rPr>
                    <w:t>PM</w:t>
                  </w:r>
                  <w:r>
                    <w:rPr>
                      <w:rFonts w:ascii="Calibri" w:hAnsi="Calibri"/>
                      <w:color w:val="auto"/>
                      <w:vertAlign w:val="subscript"/>
                      <w:lang w:eastAsia="en-US"/>
                    </w:rPr>
                    <w:t>10</w:t>
                  </w:r>
                </w:p>
              </w:tc>
              <w:tc>
                <w:tcPr>
                  <w:tcW w:w="2339" w:type="dxa"/>
                  <w:vAlign w:val="center"/>
                </w:tcPr>
                <w:p w14:paraId="0FEEFE27">
                  <w:pPr>
                    <w:pStyle w:val="57"/>
                    <w:rPr>
                      <w:rFonts w:ascii="Calibri" w:hAnsi="Calibri"/>
                      <w:color w:val="auto"/>
                      <w:lang w:eastAsia="en-US"/>
                    </w:rPr>
                  </w:pPr>
                  <w:r>
                    <w:rPr>
                      <w:rFonts w:ascii="Calibri" w:hAnsi="Calibri"/>
                      <w:color w:val="auto"/>
                      <w:lang w:eastAsia="en-US"/>
                    </w:rPr>
                    <w:t>年平均浓度</w:t>
                  </w:r>
                </w:p>
              </w:tc>
              <w:tc>
                <w:tcPr>
                  <w:tcW w:w="1351" w:type="dxa"/>
                  <w:vAlign w:val="center"/>
                </w:tcPr>
                <w:p w14:paraId="6C369B2F">
                  <w:pPr>
                    <w:pStyle w:val="57"/>
                    <w:rPr>
                      <w:rFonts w:ascii="Calibri" w:hAnsi="Calibri"/>
                      <w:color w:val="auto"/>
                      <w:lang w:eastAsia="en-US"/>
                    </w:rPr>
                  </w:pPr>
                  <w:r>
                    <w:rPr>
                      <w:rFonts w:ascii="Calibri" w:hAnsi="Calibri"/>
                      <w:color w:val="auto"/>
                      <w:lang w:eastAsia="en-US"/>
                    </w:rPr>
                    <w:t>75</w:t>
                  </w:r>
                </w:p>
              </w:tc>
              <w:tc>
                <w:tcPr>
                  <w:tcW w:w="1319" w:type="dxa"/>
                  <w:vAlign w:val="center"/>
                </w:tcPr>
                <w:p w14:paraId="48C20EDC">
                  <w:pPr>
                    <w:pStyle w:val="57"/>
                    <w:rPr>
                      <w:rFonts w:ascii="Calibri" w:hAnsi="Calibri"/>
                      <w:color w:val="auto"/>
                      <w:lang w:eastAsia="en-US"/>
                    </w:rPr>
                  </w:pPr>
                  <w:r>
                    <w:rPr>
                      <w:rFonts w:ascii="Calibri" w:hAnsi="Calibri"/>
                      <w:color w:val="auto"/>
                      <w:lang w:eastAsia="en-US"/>
                    </w:rPr>
                    <w:t>70</w:t>
                  </w:r>
                </w:p>
              </w:tc>
              <w:tc>
                <w:tcPr>
                  <w:tcW w:w="1283" w:type="dxa"/>
                  <w:vAlign w:val="center"/>
                </w:tcPr>
                <w:p w14:paraId="4A3E2501">
                  <w:pPr>
                    <w:pStyle w:val="57"/>
                    <w:rPr>
                      <w:rFonts w:ascii="Calibri" w:hAnsi="Calibri"/>
                      <w:color w:val="auto"/>
                      <w:lang w:eastAsia="en-US"/>
                    </w:rPr>
                  </w:pPr>
                  <w:r>
                    <w:rPr>
                      <w:rFonts w:ascii="Calibri" w:hAnsi="Calibri"/>
                      <w:color w:val="auto"/>
                      <w:lang w:eastAsia="en-US"/>
                    </w:rPr>
                    <w:t>107.1%</w:t>
                  </w:r>
                </w:p>
              </w:tc>
              <w:tc>
                <w:tcPr>
                  <w:tcW w:w="1252" w:type="dxa"/>
                  <w:vAlign w:val="center"/>
                </w:tcPr>
                <w:p w14:paraId="187FE86B">
                  <w:pPr>
                    <w:pStyle w:val="57"/>
                    <w:rPr>
                      <w:rFonts w:ascii="Calibri" w:hAnsi="Calibri"/>
                      <w:color w:val="auto"/>
                      <w:lang w:eastAsia="en-US"/>
                    </w:rPr>
                  </w:pPr>
                  <w:r>
                    <w:rPr>
                      <w:rFonts w:ascii="Calibri" w:hAnsi="Calibri"/>
                      <w:color w:val="auto"/>
                      <w:lang w:eastAsia="en-US"/>
                    </w:rPr>
                    <w:t>不达标</w:t>
                  </w:r>
                </w:p>
              </w:tc>
            </w:tr>
            <w:tr w14:paraId="6977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785B04D3">
                  <w:pPr>
                    <w:pStyle w:val="57"/>
                    <w:rPr>
                      <w:rFonts w:ascii="Calibri" w:hAnsi="Calibri"/>
                      <w:color w:val="auto"/>
                      <w:lang w:eastAsia="en-US"/>
                    </w:rPr>
                  </w:pPr>
                  <w:r>
                    <w:rPr>
                      <w:rFonts w:ascii="Calibri" w:hAnsi="Calibri"/>
                      <w:color w:val="auto"/>
                      <w:lang w:eastAsia="en-US"/>
                    </w:rPr>
                    <w:t>PM</w:t>
                  </w:r>
                  <w:r>
                    <w:rPr>
                      <w:rFonts w:ascii="Calibri" w:hAnsi="Calibri"/>
                      <w:color w:val="auto"/>
                      <w:vertAlign w:val="subscript"/>
                      <w:lang w:eastAsia="en-US"/>
                    </w:rPr>
                    <w:t>2.5</w:t>
                  </w:r>
                </w:p>
              </w:tc>
              <w:tc>
                <w:tcPr>
                  <w:tcW w:w="2339" w:type="dxa"/>
                  <w:vAlign w:val="center"/>
                </w:tcPr>
                <w:p w14:paraId="0F3165A4">
                  <w:pPr>
                    <w:pStyle w:val="57"/>
                    <w:rPr>
                      <w:rFonts w:ascii="Calibri" w:hAnsi="Calibri"/>
                      <w:color w:val="auto"/>
                      <w:lang w:eastAsia="en-US"/>
                    </w:rPr>
                  </w:pPr>
                  <w:r>
                    <w:rPr>
                      <w:rFonts w:ascii="Calibri" w:hAnsi="Calibri"/>
                      <w:color w:val="auto"/>
                      <w:lang w:eastAsia="en-US"/>
                    </w:rPr>
                    <w:t>年平均浓度</w:t>
                  </w:r>
                </w:p>
              </w:tc>
              <w:tc>
                <w:tcPr>
                  <w:tcW w:w="1351" w:type="dxa"/>
                  <w:vAlign w:val="center"/>
                </w:tcPr>
                <w:p w14:paraId="72FAE9A0">
                  <w:pPr>
                    <w:pStyle w:val="57"/>
                    <w:rPr>
                      <w:rFonts w:ascii="Calibri" w:hAnsi="Calibri"/>
                      <w:color w:val="auto"/>
                      <w:lang w:eastAsia="en-US"/>
                    </w:rPr>
                  </w:pPr>
                  <w:r>
                    <w:rPr>
                      <w:rFonts w:ascii="Calibri" w:hAnsi="Calibri"/>
                      <w:color w:val="auto"/>
                      <w:lang w:eastAsia="en-US"/>
                    </w:rPr>
                    <w:t>41</w:t>
                  </w:r>
                </w:p>
              </w:tc>
              <w:tc>
                <w:tcPr>
                  <w:tcW w:w="1319" w:type="dxa"/>
                  <w:vAlign w:val="center"/>
                </w:tcPr>
                <w:p w14:paraId="4539A7AF">
                  <w:pPr>
                    <w:pStyle w:val="57"/>
                    <w:rPr>
                      <w:rFonts w:ascii="Calibri" w:hAnsi="Calibri"/>
                      <w:color w:val="auto"/>
                      <w:lang w:eastAsia="en-US"/>
                    </w:rPr>
                  </w:pPr>
                  <w:r>
                    <w:rPr>
                      <w:rFonts w:ascii="Calibri" w:hAnsi="Calibri"/>
                      <w:color w:val="auto"/>
                      <w:lang w:eastAsia="en-US"/>
                    </w:rPr>
                    <w:t>35</w:t>
                  </w:r>
                </w:p>
              </w:tc>
              <w:tc>
                <w:tcPr>
                  <w:tcW w:w="1283" w:type="dxa"/>
                  <w:vAlign w:val="center"/>
                </w:tcPr>
                <w:p w14:paraId="06BAFFCF">
                  <w:pPr>
                    <w:pStyle w:val="57"/>
                    <w:rPr>
                      <w:rFonts w:ascii="Calibri" w:hAnsi="Calibri"/>
                      <w:color w:val="auto"/>
                      <w:lang w:eastAsia="en-US"/>
                    </w:rPr>
                  </w:pPr>
                  <w:r>
                    <w:rPr>
                      <w:rFonts w:ascii="Calibri" w:hAnsi="Calibri"/>
                      <w:color w:val="auto"/>
                      <w:lang w:eastAsia="en-US"/>
                    </w:rPr>
                    <w:t>117.1%</w:t>
                  </w:r>
                </w:p>
              </w:tc>
              <w:tc>
                <w:tcPr>
                  <w:tcW w:w="1252" w:type="dxa"/>
                  <w:vAlign w:val="center"/>
                </w:tcPr>
                <w:p w14:paraId="62C9E9BC">
                  <w:pPr>
                    <w:pStyle w:val="57"/>
                    <w:rPr>
                      <w:rFonts w:ascii="Calibri" w:hAnsi="Calibri"/>
                      <w:color w:val="auto"/>
                      <w:lang w:eastAsia="en-US"/>
                    </w:rPr>
                  </w:pPr>
                  <w:r>
                    <w:rPr>
                      <w:rFonts w:ascii="Calibri" w:hAnsi="Calibri"/>
                      <w:color w:val="auto"/>
                      <w:lang w:eastAsia="en-US"/>
                    </w:rPr>
                    <w:t>不达标</w:t>
                  </w:r>
                </w:p>
              </w:tc>
            </w:tr>
            <w:tr w14:paraId="1E2B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7C6291A6">
                  <w:pPr>
                    <w:pStyle w:val="57"/>
                    <w:rPr>
                      <w:rFonts w:ascii="Calibri" w:hAnsi="Calibri"/>
                      <w:color w:val="auto"/>
                      <w:lang w:eastAsia="en-US"/>
                    </w:rPr>
                  </w:pPr>
                  <w:r>
                    <w:rPr>
                      <w:rFonts w:ascii="Calibri" w:hAnsi="Calibri"/>
                      <w:color w:val="auto"/>
                      <w:lang w:eastAsia="en-US"/>
                    </w:rPr>
                    <w:t>SO</w:t>
                  </w:r>
                  <w:r>
                    <w:rPr>
                      <w:rFonts w:ascii="Calibri" w:hAnsi="Calibri"/>
                      <w:color w:val="auto"/>
                      <w:vertAlign w:val="subscript"/>
                      <w:lang w:eastAsia="en-US"/>
                    </w:rPr>
                    <w:t>2</w:t>
                  </w:r>
                </w:p>
              </w:tc>
              <w:tc>
                <w:tcPr>
                  <w:tcW w:w="2339" w:type="dxa"/>
                  <w:vAlign w:val="center"/>
                </w:tcPr>
                <w:p w14:paraId="5FEF2A13">
                  <w:pPr>
                    <w:pStyle w:val="57"/>
                    <w:rPr>
                      <w:rFonts w:ascii="Calibri" w:hAnsi="Calibri"/>
                      <w:color w:val="auto"/>
                      <w:lang w:eastAsia="en-US"/>
                    </w:rPr>
                  </w:pPr>
                  <w:r>
                    <w:rPr>
                      <w:rFonts w:ascii="Calibri" w:hAnsi="Calibri"/>
                      <w:color w:val="auto"/>
                      <w:lang w:eastAsia="en-US"/>
                    </w:rPr>
                    <w:t>年平均浓度</w:t>
                  </w:r>
                </w:p>
              </w:tc>
              <w:tc>
                <w:tcPr>
                  <w:tcW w:w="1351" w:type="dxa"/>
                  <w:vAlign w:val="center"/>
                </w:tcPr>
                <w:p w14:paraId="380E2115">
                  <w:pPr>
                    <w:pStyle w:val="57"/>
                    <w:rPr>
                      <w:rFonts w:ascii="Calibri" w:hAnsi="Calibri"/>
                      <w:color w:val="auto"/>
                      <w:lang w:eastAsia="en-US"/>
                    </w:rPr>
                  </w:pPr>
                  <w:r>
                    <w:rPr>
                      <w:rFonts w:ascii="Calibri" w:hAnsi="Calibri"/>
                      <w:color w:val="auto"/>
                      <w:lang w:eastAsia="en-US"/>
                    </w:rPr>
                    <w:t>6</w:t>
                  </w:r>
                </w:p>
              </w:tc>
              <w:tc>
                <w:tcPr>
                  <w:tcW w:w="1319" w:type="dxa"/>
                  <w:vAlign w:val="center"/>
                </w:tcPr>
                <w:p w14:paraId="40546D7F">
                  <w:pPr>
                    <w:pStyle w:val="57"/>
                    <w:rPr>
                      <w:rFonts w:ascii="Calibri" w:hAnsi="Calibri"/>
                      <w:color w:val="auto"/>
                      <w:lang w:eastAsia="en-US"/>
                    </w:rPr>
                  </w:pPr>
                  <w:r>
                    <w:rPr>
                      <w:rFonts w:ascii="Calibri" w:hAnsi="Calibri"/>
                      <w:color w:val="auto"/>
                      <w:lang w:eastAsia="en-US"/>
                    </w:rPr>
                    <w:t>60</w:t>
                  </w:r>
                </w:p>
              </w:tc>
              <w:tc>
                <w:tcPr>
                  <w:tcW w:w="1283" w:type="dxa"/>
                  <w:vAlign w:val="center"/>
                </w:tcPr>
                <w:p w14:paraId="6BE99B5C">
                  <w:pPr>
                    <w:pStyle w:val="57"/>
                    <w:rPr>
                      <w:rFonts w:ascii="Calibri" w:hAnsi="Calibri"/>
                      <w:color w:val="auto"/>
                      <w:lang w:eastAsia="en-US"/>
                    </w:rPr>
                  </w:pPr>
                  <w:r>
                    <w:rPr>
                      <w:rFonts w:ascii="Calibri" w:hAnsi="Calibri"/>
                      <w:color w:val="auto"/>
                      <w:lang w:eastAsia="en-US"/>
                    </w:rPr>
                    <w:t>10%</w:t>
                  </w:r>
                </w:p>
              </w:tc>
              <w:tc>
                <w:tcPr>
                  <w:tcW w:w="1252" w:type="dxa"/>
                  <w:vAlign w:val="center"/>
                </w:tcPr>
                <w:p w14:paraId="6B494B2F">
                  <w:pPr>
                    <w:pStyle w:val="57"/>
                    <w:rPr>
                      <w:rFonts w:ascii="Calibri" w:hAnsi="Calibri"/>
                      <w:color w:val="auto"/>
                      <w:lang w:eastAsia="en-US"/>
                    </w:rPr>
                  </w:pPr>
                  <w:r>
                    <w:rPr>
                      <w:rFonts w:ascii="Calibri" w:hAnsi="Calibri"/>
                      <w:color w:val="auto"/>
                      <w:lang w:eastAsia="en-US"/>
                    </w:rPr>
                    <w:t>达标</w:t>
                  </w:r>
                </w:p>
              </w:tc>
            </w:tr>
            <w:tr w14:paraId="7853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702C45F4">
                  <w:pPr>
                    <w:pStyle w:val="57"/>
                    <w:rPr>
                      <w:rFonts w:ascii="Calibri" w:hAnsi="Calibri"/>
                      <w:color w:val="auto"/>
                      <w:lang w:eastAsia="en-US"/>
                    </w:rPr>
                  </w:pPr>
                  <w:r>
                    <w:rPr>
                      <w:rFonts w:ascii="Calibri" w:hAnsi="Calibri"/>
                      <w:color w:val="auto"/>
                      <w:lang w:eastAsia="en-US"/>
                    </w:rPr>
                    <w:t>NO</w:t>
                  </w:r>
                  <w:r>
                    <w:rPr>
                      <w:rFonts w:ascii="Calibri" w:hAnsi="Calibri"/>
                      <w:color w:val="auto"/>
                      <w:vertAlign w:val="subscript"/>
                      <w:lang w:eastAsia="en-US"/>
                    </w:rPr>
                    <w:t>2</w:t>
                  </w:r>
                </w:p>
              </w:tc>
              <w:tc>
                <w:tcPr>
                  <w:tcW w:w="2339" w:type="dxa"/>
                  <w:vAlign w:val="center"/>
                </w:tcPr>
                <w:p w14:paraId="6E00A3E9">
                  <w:pPr>
                    <w:pStyle w:val="57"/>
                    <w:rPr>
                      <w:rFonts w:ascii="Calibri" w:hAnsi="Calibri"/>
                      <w:color w:val="auto"/>
                      <w:lang w:eastAsia="en-US"/>
                    </w:rPr>
                  </w:pPr>
                  <w:r>
                    <w:rPr>
                      <w:rFonts w:ascii="Calibri" w:hAnsi="Calibri"/>
                      <w:color w:val="auto"/>
                      <w:lang w:eastAsia="en-US"/>
                    </w:rPr>
                    <w:t>年平均浓度</w:t>
                  </w:r>
                </w:p>
              </w:tc>
              <w:tc>
                <w:tcPr>
                  <w:tcW w:w="1351" w:type="dxa"/>
                  <w:vAlign w:val="center"/>
                </w:tcPr>
                <w:p w14:paraId="2C584A79">
                  <w:pPr>
                    <w:pStyle w:val="57"/>
                    <w:rPr>
                      <w:rFonts w:ascii="Calibri" w:hAnsi="Calibri"/>
                      <w:color w:val="auto"/>
                      <w:lang w:eastAsia="en-US"/>
                    </w:rPr>
                  </w:pPr>
                  <w:r>
                    <w:rPr>
                      <w:rFonts w:ascii="Calibri" w:hAnsi="Calibri"/>
                      <w:color w:val="auto"/>
                      <w:lang w:eastAsia="en-US"/>
                    </w:rPr>
                    <w:t>28</w:t>
                  </w:r>
                </w:p>
              </w:tc>
              <w:tc>
                <w:tcPr>
                  <w:tcW w:w="1319" w:type="dxa"/>
                  <w:vAlign w:val="center"/>
                </w:tcPr>
                <w:p w14:paraId="0FE81042">
                  <w:pPr>
                    <w:pStyle w:val="57"/>
                    <w:rPr>
                      <w:rFonts w:ascii="Calibri" w:hAnsi="Calibri"/>
                      <w:color w:val="auto"/>
                      <w:lang w:eastAsia="en-US"/>
                    </w:rPr>
                  </w:pPr>
                  <w:r>
                    <w:rPr>
                      <w:rFonts w:ascii="Calibri" w:hAnsi="Calibri"/>
                      <w:color w:val="auto"/>
                      <w:lang w:eastAsia="en-US"/>
                    </w:rPr>
                    <w:t>40</w:t>
                  </w:r>
                </w:p>
              </w:tc>
              <w:tc>
                <w:tcPr>
                  <w:tcW w:w="1283" w:type="dxa"/>
                  <w:vAlign w:val="center"/>
                </w:tcPr>
                <w:p w14:paraId="7E06A7A9">
                  <w:pPr>
                    <w:pStyle w:val="57"/>
                    <w:rPr>
                      <w:rFonts w:ascii="Calibri" w:hAnsi="Calibri"/>
                      <w:color w:val="auto"/>
                      <w:lang w:eastAsia="en-US"/>
                    </w:rPr>
                  </w:pPr>
                  <w:r>
                    <w:rPr>
                      <w:rFonts w:ascii="Calibri" w:hAnsi="Calibri"/>
                      <w:color w:val="auto"/>
                      <w:lang w:eastAsia="en-US"/>
                    </w:rPr>
                    <w:t>70%</w:t>
                  </w:r>
                </w:p>
              </w:tc>
              <w:tc>
                <w:tcPr>
                  <w:tcW w:w="1252" w:type="dxa"/>
                  <w:vAlign w:val="center"/>
                </w:tcPr>
                <w:p w14:paraId="36408D9D">
                  <w:pPr>
                    <w:pStyle w:val="57"/>
                    <w:rPr>
                      <w:rFonts w:ascii="Calibri" w:hAnsi="Calibri"/>
                      <w:color w:val="auto"/>
                      <w:lang w:eastAsia="en-US"/>
                    </w:rPr>
                  </w:pPr>
                  <w:r>
                    <w:rPr>
                      <w:rFonts w:ascii="Calibri" w:hAnsi="Calibri"/>
                      <w:color w:val="auto"/>
                      <w:lang w:eastAsia="en-US"/>
                    </w:rPr>
                    <w:t>达标</w:t>
                  </w:r>
                </w:p>
              </w:tc>
            </w:tr>
            <w:tr w14:paraId="33774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74E5E78A">
                  <w:pPr>
                    <w:pStyle w:val="57"/>
                    <w:rPr>
                      <w:rFonts w:ascii="Calibri" w:hAnsi="Calibri"/>
                      <w:color w:val="auto"/>
                      <w:lang w:eastAsia="en-US"/>
                    </w:rPr>
                  </w:pPr>
                  <w:r>
                    <w:rPr>
                      <w:rFonts w:ascii="Calibri" w:hAnsi="Calibri"/>
                      <w:color w:val="auto"/>
                      <w:lang w:eastAsia="en-US"/>
                    </w:rPr>
                    <w:t>CO</w:t>
                  </w:r>
                </w:p>
              </w:tc>
              <w:tc>
                <w:tcPr>
                  <w:tcW w:w="2339" w:type="dxa"/>
                  <w:vAlign w:val="center"/>
                </w:tcPr>
                <w:p w14:paraId="6804B37D">
                  <w:pPr>
                    <w:pStyle w:val="57"/>
                    <w:rPr>
                      <w:rFonts w:ascii="Calibri" w:hAnsi="Calibri"/>
                      <w:color w:val="auto"/>
                      <w:lang w:eastAsia="en-US"/>
                    </w:rPr>
                  </w:pPr>
                  <w:r>
                    <w:rPr>
                      <w:rFonts w:ascii="Calibri" w:hAnsi="Calibri"/>
                      <w:color w:val="auto"/>
                      <w:lang w:eastAsia="en-US"/>
                    </w:rPr>
                    <w:t>日平均第95百分位质量浓度</w:t>
                  </w:r>
                </w:p>
              </w:tc>
              <w:tc>
                <w:tcPr>
                  <w:tcW w:w="1351" w:type="dxa"/>
                  <w:vAlign w:val="center"/>
                </w:tcPr>
                <w:p w14:paraId="11902037">
                  <w:pPr>
                    <w:pStyle w:val="57"/>
                    <w:rPr>
                      <w:rFonts w:ascii="Calibri" w:hAnsi="Calibri"/>
                      <w:color w:val="auto"/>
                      <w:lang w:eastAsia="en-US"/>
                    </w:rPr>
                  </w:pPr>
                  <w:r>
                    <w:rPr>
                      <w:rFonts w:ascii="Calibri" w:hAnsi="Calibri"/>
                      <w:color w:val="auto"/>
                      <w:lang w:eastAsia="en-US"/>
                    </w:rPr>
                    <w:t>1.1mg/m³</w:t>
                  </w:r>
                </w:p>
              </w:tc>
              <w:tc>
                <w:tcPr>
                  <w:tcW w:w="1319" w:type="dxa"/>
                  <w:vAlign w:val="center"/>
                </w:tcPr>
                <w:p w14:paraId="38538CCE">
                  <w:pPr>
                    <w:pStyle w:val="57"/>
                    <w:rPr>
                      <w:rFonts w:ascii="Calibri" w:hAnsi="Calibri"/>
                      <w:color w:val="auto"/>
                      <w:lang w:eastAsia="en-US"/>
                    </w:rPr>
                  </w:pPr>
                  <w:r>
                    <w:rPr>
                      <w:rFonts w:ascii="Calibri" w:hAnsi="Calibri"/>
                      <w:color w:val="auto"/>
                      <w:lang w:eastAsia="en-US"/>
                    </w:rPr>
                    <w:t>4mg/m³</w:t>
                  </w:r>
                </w:p>
              </w:tc>
              <w:tc>
                <w:tcPr>
                  <w:tcW w:w="1283" w:type="dxa"/>
                  <w:vAlign w:val="center"/>
                </w:tcPr>
                <w:p w14:paraId="09A1EDFF">
                  <w:pPr>
                    <w:pStyle w:val="57"/>
                    <w:rPr>
                      <w:rFonts w:ascii="Calibri" w:hAnsi="Calibri"/>
                      <w:color w:val="auto"/>
                      <w:lang w:eastAsia="en-US"/>
                    </w:rPr>
                  </w:pPr>
                  <w:r>
                    <w:rPr>
                      <w:rFonts w:ascii="Calibri" w:hAnsi="Calibri"/>
                      <w:color w:val="auto"/>
                      <w:lang w:eastAsia="en-US"/>
                    </w:rPr>
                    <w:t>27.5%</w:t>
                  </w:r>
                </w:p>
              </w:tc>
              <w:tc>
                <w:tcPr>
                  <w:tcW w:w="1252" w:type="dxa"/>
                  <w:vAlign w:val="center"/>
                </w:tcPr>
                <w:p w14:paraId="2F200E67">
                  <w:pPr>
                    <w:pStyle w:val="57"/>
                    <w:rPr>
                      <w:rFonts w:ascii="Calibri" w:hAnsi="Calibri"/>
                      <w:color w:val="auto"/>
                      <w:lang w:eastAsia="en-US"/>
                    </w:rPr>
                  </w:pPr>
                  <w:r>
                    <w:rPr>
                      <w:rFonts w:ascii="Calibri" w:hAnsi="Calibri"/>
                      <w:color w:val="auto"/>
                      <w:lang w:eastAsia="en-US"/>
                    </w:rPr>
                    <w:t>达标</w:t>
                  </w:r>
                </w:p>
              </w:tc>
            </w:tr>
            <w:tr w14:paraId="26667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989" w:type="dxa"/>
                  <w:vAlign w:val="center"/>
                </w:tcPr>
                <w:p w14:paraId="2270AB63">
                  <w:pPr>
                    <w:pStyle w:val="57"/>
                    <w:rPr>
                      <w:rFonts w:ascii="Calibri" w:hAnsi="Calibri"/>
                      <w:color w:val="auto"/>
                      <w:lang w:eastAsia="en-US"/>
                    </w:rPr>
                  </w:pPr>
                  <w:r>
                    <w:rPr>
                      <w:rFonts w:ascii="Calibri" w:hAnsi="Calibri"/>
                      <w:color w:val="auto"/>
                      <w:lang w:eastAsia="en-US"/>
                    </w:rPr>
                    <w:t>O</w:t>
                  </w:r>
                  <w:r>
                    <w:rPr>
                      <w:rFonts w:ascii="Calibri" w:hAnsi="Calibri"/>
                      <w:color w:val="auto"/>
                      <w:vertAlign w:val="subscript"/>
                      <w:lang w:eastAsia="en-US"/>
                    </w:rPr>
                    <w:t>3</w:t>
                  </w:r>
                </w:p>
              </w:tc>
              <w:tc>
                <w:tcPr>
                  <w:tcW w:w="2339" w:type="dxa"/>
                  <w:vAlign w:val="center"/>
                </w:tcPr>
                <w:p w14:paraId="5F668776">
                  <w:pPr>
                    <w:pStyle w:val="57"/>
                    <w:rPr>
                      <w:rFonts w:ascii="Calibri" w:hAnsi="Calibri"/>
                      <w:color w:val="auto"/>
                      <w:lang w:eastAsia="en-US"/>
                    </w:rPr>
                  </w:pPr>
                  <w:r>
                    <w:rPr>
                      <w:rFonts w:ascii="Calibri" w:hAnsi="Calibri"/>
                      <w:color w:val="auto"/>
                      <w:lang w:eastAsia="en-US"/>
                    </w:rPr>
                    <w:t>日最大8小时平均第</w:t>
                  </w:r>
                </w:p>
                <w:p w14:paraId="26F6D837">
                  <w:pPr>
                    <w:pStyle w:val="57"/>
                    <w:rPr>
                      <w:rFonts w:ascii="Calibri" w:hAnsi="Calibri"/>
                      <w:color w:val="auto"/>
                      <w:lang w:eastAsia="en-US"/>
                    </w:rPr>
                  </w:pPr>
                  <w:r>
                    <w:rPr>
                      <w:rFonts w:ascii="Calibri" w:hAnsi="Calibri"/>
                      <w:color w:val="auto"/>
                      <w:lang w:eastAsia="en-US"/>
                    </w:rPr>
                    <w:t>90百分位质量浓度</w:t>
                  </w:r>
                </w:p>
              </w:tc>
              <w:tc>
                <w:tcPr>
                  <w:tcW w:w="1351" w:type="dxa"/>
                  <w:vAlign w:val="center"/>
                </w:tcPr>
                <w:p w14:paraId="5C9F5424">
                  <w:pPr>
                    <w:pStyle w:val="57"/>
                    <w:rPr>
                      <w:rFonts w:ascii="Calibri" w:hAnsi="Calibri"/>
                      <w:color w:val="auto"/>
                      <w:lang w:eastAsia="en-US"/>
                    </w:rPr>
                  </w:pPr>
                  <w:r>
                    <w:rPr>
                      <w:rFonts w:ascii="Calibri" w:hAnsi="Calibri"/>
                      <w:color w:val="auto"/>
                      <w:lang w:eastAsia="en-US"/>
                    </w:rPr>
                    <w:t>165</w:t>
                  </w:r>
                </w:p>
              </w:tc>
              <w:tc>
                <w:tcPr>
                  <w:tcW w:w="1319" w:type="dxa"/>
                  <w:vAlign w:val="center"/>
                </w:tcPr>
                <w:p w14:paraId="5B8E571D">
                  <w:pPr>
                    <w:pStyle w:val="57"/>
                    <w:rPr>
                      <w:rFonts w:ascii="Calibri" w:hAnsi="Calibri"/>
                      <w:color w:val="auto"/>
                      <w:lang w:eastAsia="en-US"/>
                    </w:rPr>
                  </w:pPr>
                  <w:r>
                    <w:rPr>
                      <w:rFonts w:ascii="Calibri" w:hAnsi="Calibri"/>
                      <w:color w:val="auto"/>
                      <w:lang w:eastAsia="en-US"/>
                    </w:rPr>
                    <w:t>160</w:t>
                  </w:r>
                </w:p>
              </w:tc>
              <w:tc>
                <w:tcPr>
                  <w:tcW w:w="1283" w:type="dxa"/>
                  <w:vAlign w:val="center"/>
                </w:tcPr>
                <w:p w14:paraId="3D6C28DA">
                  <w:pPr>
                    <w:pStyle w:val="57"/>
                    <w:rPr>
                      <w:rFonts w:ascii="Calibri" w:hAnsi="Calibri"/>
                      <w:color w:val="auto"/>
                      <w:lang w:eastAsia="en-US"/>
                    </w:rPr>
                  </w:pPr>
                  <w:r>
                    <w:rPr>
                      <w:rFonts w:ascii="Calibri" w:hAnsi="Calibri"/>
                      <w:color w:val="auto"/>
                      <w:lang w:eastAsia="en-US"/>
                    </w:rPr>
                    <w:t>103.1%</w:t>
                  </w:r>
                </w:p>
              </w:tc>
              <w:tc>
                <w:tcPr>
                  <w:tcW w:w="1252" w:type="dxa"/>
                  <w:vAlign w:val="center"/>
                </w:tcPr>
                <w:p w14:paraId="1EDBEF72">
                  <w:pPr>
                    <w:pStyle w:val="57"/>
                    <w:rPr>
                      <w:rFonts w:ascii="Calibri" w:hAnsi="Calibri"/>
                      <w:color w:val="auto"/>
                      <w:lang w:eastAsia="en-US"/>
                    </w:rPr>
                  </w:pPr>
                  <w:r>
                    <w:rPr>
                      <w:rFonts w:ascii="Calibri" w:hAnsi="Calibri"/>
                      <w:color w:val="auto"/>
                      <w:lang w:eastAsia="en-US"/>
                    </w:rPr>
                    <w:t>不达标</w:t>
                  </w:r>
                </w:p>
              </w:tc>
            </w:tr>
          </w:tbl>
          <w:p w14:paraId="4AE8FB67">
            <w:pPr>
              <w:adjustRightInd w:val="0"/>
              <w:snapToGrid w:val="0"/>
              <w:ind w:firstLine="480"/>
              <w:jc w:val="left"/>
              <w:rPr>
                <w:rFonts w:hint="eastAsia"/>
                <w:color w:val="auto"/>
              </w:rPr>
            </w:pPr>
            <w:r>
              <w:rPr>
                <w:rFonts w:hint="eastAsia"/>
                <w:color w:val="auto"/>
              </w:rP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加大区域产业布局调整力度。加快城市建成区及临近周边重污染企业搬迁改造或关闭退出，推动实施低端化工等重污染企业搬迁工程。禁止新增化工园区，加大现有化工园区整治力度。已明确的退城企业，要明确时间表，逾期不退城的予以停产；严格控制“两高”行业产能；强化“散乱污”企业综合整治；深化工业污染治理；大力培育绿色环保产业；加快调整能源结构，构建清洁低碳高效能源体系；积极调整运输结构，发展绿色交通体系等，采取以上措施，使宿州市区域环境空气质量大大改善。</w:t>
            </w:r>
          </w:p>
          <w:p w14:paraId="10696D30">
            <w:pPr>
              <w:pStyle w:val="102"/>
              <w:ind w:firstLine="482"/>
              <w:rPr>
                <w:rFonts w:hint="eastAsia" w:eastAsia="宋体" w:cs="Times New Roman"/>
                <w:b/>
                <w:bCs/>
                <w:color w:val="auto"/>
                <w:szCs w:val="32"/>
                <w:lang w:eastAsia="zh-CN"/>
              </w:rPr>
            </w:pPr>
            <w:r>
              <w:rPr>
                <w:rFonts w:hint="eastAsia" w:cs="Times New Roman"/>
                <w:b/>
                <w:bCs/>
                <w:color w:val="auto"/>
                <w:szCs w:val="32"/>
                <w:lang w:eastAsia="zh-CN"/>
              </w:rPr>
              <w:t>（</w:t>
            </w:r>
            <w:r>
              <w:rPr>
                <w:rFonts w:hint="eastAsia" w:cs="Times New Roman"/>
                <w:b/>
                <w:bCs/>
                <w:color w:val="auto"/>
                <w:szCs w:val="32"/>
                <w:lang w:val="en-US" w:eastAsia="zh-CN"/>
              </w:rPr>
              <w:t>2</w:t>
            </w:r>
            <w:r>
              <w:rPr>
                <w:rFonts w:hint="eastAsia" w:cs="Times New Roman"/>
                <w:b/>
                <w:bCs/>
                <w:color w:val="auto"/>
                <w:szCs w:val="32"/>
                <w:lang w:eastAsia="zh-CN"/>
              </w:rPr>
              <w:t>）其他污染物环境质量现状</w:t>
            </w:r>
          </w:p>
          <w:p w14:paraId="52DF166A">
            <w:pPr>
              <w:adjustRightInd w:val="0"/>
              <w:snapToGrid w:val="0"/>
              <w:ind w:firstLine="480"/>
              <w:jc w:val="left"/>
              <w:rPr>
                <w:rFonts w:hint="eastAsia" w:ascii="Times New Roman" w:hAnsi="Times New Roman" w:eastAsia="宋体" w:cs="Times New Roman"/>
                <w:color w:val="auto"/>
              </w:rPr>
            </w:pPr>
            <w:r>
              <w:rPr>
                <w:rFonts w:hint="eastAsia" w:ascii="Times New Roman" w:hAnsi="Times New Roman" w:eastAsia="宋体" w:cs="Times New Roman"/>
                <w:color w:val="auto"/>
              </w:rPr>
              <w:t>本</w:t>
            </w:r>
            <w:r>
              <w:rPr>
                <w:rFonts w:hint="eastAsia" w:cs="Times New Roman"/>
                <w:color w:val="auto"/>
                <w:lang w:val="en-US" w:eastAsia="zh-CN"/>
              </w:rPr>
              <w:t>项目</w:t>
            </w:r>
            <w:r>
              <w:rPr>
                <w:rFonts w:hint="eastAsia" w:ascii="Times New Roman" w:hAnsi="Times New Roman" w:eastAsia="宋体" w:cs="Times New Roman"/>
                <w:color w:val="auto"/>
              </w:rPr>
              <w:t>引用</w:t>
            </w:r>
            <w:r>
              <w:rPr>
                <w:color w:val="auto"/>
                <w:sz w:val="24"/>
              </w:rPr>
              <w:t>《宿州经济技术开发区“环境影响区域评估+环境标准”报告》</w:t>
            </w:r>
            <w:r>
              <w:rPr>
                <w:rFonts w:hint="eastAsia" w:ascii="Times New Roman" w:hAnsi="Times New Roman" w:eastAsia="宋体" w:cs="Times New Roman"/>
                <w:color w:val="auto"/>
              </w:rPr>
              <w:t>中于2022年12月1日~12月7日距本项目东北侧约</w:t>
            </w:r>
            <w:r>
              <w:rPr>
                <w:rFonts w:hint="eastAsia" w:ascii="Times New Roman" w:hAnsi="Times New Roman" w:eastAsia="宋体" w:cs="Times New Roman"/>
                <w:color w:val="auto"/>
                <w:lang w:val="en-US" w:eastAsia="zh-CN"/>
              </w:rPr>
              <w:t>2332</w:t>
            </w:r>
            <w:r>
              <w:rPr>
                <w:rFonts w:hint="eastAsia" w:ascii="Times New Roman" w:hAnsi="Times New Roman" w:eastAsia="宋体" w:cs="Times New Roman"/>
                <w:color w:val="auto"/>
              </w:rPr>
              <w:t>m</w:t>
            </w:r>
            <w:r>
              <w:rPr>
                <w:rFonts w:hint="eastAsia" w:ascii="Times New Roman" w:hAnsi="Times New Roman" w:eastAsia="宋体" w:cs="Times New Roman"/>
                <w:color w:val="auto"/>
                <w:lang w:val="en-US" w:eastAsia="zh-CN"/>
              </w:rPr>
              <w:t>黄寨</w:t>
            </w:r>
            <w:r>
              <w:rPr>
                <w:rFonts w:hint="eastAsia" w:ascii="Times New Roman" w:hAnsi="Times New Roman" w:eastAsia="宋体" w:cs="Times New Roman"/>
                <w:color w:val="auto"/>
              </w:rPr>
              <w:t>村</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G3</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监测点位的非甲烷总烃的大气环境质量现状监测数据。</w:t>
            </w:r>
          </w:p>
          <w:p w14:paraId="05281547">
            <w:pPr>
              <w:pStyle w:val="102"/>
              <w:ind w:firstLine="482"/>
              <w:rPr>
                <w:rFonts w:cs="Times New Roman"/>
                <w:b/>
                <w:bCs/>
                <w:color w:val="auto"/>
                <w:szCs w:val="32"/>
              </w:rPr>
            </w:pPr>
          </w:p>
          <w:p w14:paraId="4D69884B">
            <w:pPr>
              <w:spacing w:before="1" w:line="220" w:lineRule="auto"/>
              <w:ind w:left="2973"/>
              <w:rPr>
                <w:rFonts w:ascii="宋体" w:hAnsi="宋体" w:eastAsia="宋体" w:cs="宋体"/>
                <w:color w:val="auto"/>
                <w:spacing w:val="8"/>
                <w:sz w:val="23"/>
                <w:szCs w:val="23"/>
              </w:rPr>
            </w:pPr>
          </w:p>
          <w:p w14:paraId="6BE16F60">
            <w:pPr>
              <w:pStyle w:val="58"/>
              <w:bidi w:val="0"/>
              <w:rPr>
                <w:color w:val="auto"/>
              </w:rPr>
            </w:pPr>
            <w:r>
              <w:rPr>
                <w:color w:val="auto"/>
              </w:rPr>
              <w:t>表</w:t>
            </w:r>
            <w:r>
              <w:rPr>
                <w:rFonts w:hint="eastAsia"/>
                <w:color w:val="auto"/>
                <w:lang w:val="en-US" w:eastAsia="zh-CN"/>
              </w:rPr>
              <w:t>3-2</w:t>
            </w:r>
            <w:r>
              <w:rPr>
                <w:color w:val="auto"/>
              </w:rPr>
              <w:t>评价区大气环境现状监测数据及评价结果</w:t>
            </w:r>
          </w:p>
          <w:tbl>
            <w:tblPr>
              <w:tblStyle w:val="83"/>
              <w:tblW w:w="499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9"/>
              <w:gridCol w:w="942"/>
              <w:gridCol w:w="2725"/>
              <w:gridCol w:w="1207"/>
              <w:gridCol w:w="1545"/>
            </w:tblGrid>
            <w:tr w14:paraId="09061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36" w:type="dxa"/>
                  <w:vMerge w:val="restart"/>
                  <w:tcBorders>
                    <w:bottom w:val="nil"/>
                  </w:tcBorders>
                  <w:vAlign w:val="center"/>
                </w:tcPr>
                <w:p w14:paraId="58371474">
                  <w:pPr>
                    <w:pStyle w:val="57"/>
                    <w:bidi w:val="0"/>
                    <w:jc w:val="center"/>
                    <w:rPr>
                      <w:b/>
                      <w:bCs w:val="0"/>
                      <w:color w:val="auto"/>
                    </w:rPr>
                  </w:pPr>
                  <w:r>
                    <w:rPr>
                      <w:b/>
                      <w:bCs w:val="0"/>
                      <w:color w:val="auto"/>
                    </w:rPr>
                    <w:t>监测因子</w:t>
                  </w:r>
                </w:p>
              </w:tc>
              <w:tc>
                <w:tcPr>
                  <w:tcW w:w="615" w:type="dxa"/>
                  <w:vMerge w:val="restart"/>
                  <w:tcBorders>
                    <w:bottom w:val="nil"/>
                  </w:tcBorders>
                  <w:textDirection w:val="tbRlV"/>
                  <w:vAlign w:val="center"/>
                </w:tcPr>
                <w:p w14:paraId="012A257F">
                  <w:pPr>
                    <w:pStyle w:val="57"/>
                    <w:bidi w:val="0"/>
                    <w:jc w:val="center"/>
                    <w:rPr>
                      <w:b/>
                      <w:bCs w:val="0"/>
                      <w:color w:val="auto"/>
                    </w:rPr>
                  </w:pPr>
                  <w:r>
                    <w:rPr>
                      <w:b/>
                      <w:bCs w:val="0"/>
                      <w:color w:val="auto"/>
                    </w:rPr>
                    <w:t>监测点</w:t>
                  </w:r>
                </w:p>
              </w:tc>
              <w:tc>
                <w:tcPr>
                  <w:tcW w:w="3576" w:type="dxa"/>
                  <w:gridSpan w:val="3"/>
                  <w:vAlign w:val="center"/>
                </w:tcPr>
                <w:p w14:paraId="6531AC65">
                  <w:pPr>
                    <w:pStyle w:val="57"/>
                    <w:bidi w:val="0"/>
                    <w:jc w:val="center"/>
                    <w:rPr>
                      <w:b/>
                      <w:bCs w:val="0"/>
                      <w:color w:val="auto"/>
                    </w:rPr>
                  </w:pPr>
                  <w:r>
                    <w:rPr>
                      <w:b/>
                      <w:bCs w:val="0"/>
                      <w:color w:val="auto"/>
                    </w:rPr>
                    <w:t>小时浓度</w:t>
                  </w:r>
                </w:p>
              </w:tc>
            </w:tr>
            <w:tr w14:paraId="208B6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36" w:type="dxa"/>
                  <w:vMerge w:val="continue"/>
                  <w:tcBorders>
                    <w:top w:val="nil"/>
                  </w:tcBorders>
                  <w:vAlign w:val="center"/>
                </w:tcPr>
                <w:p w14:paraId="5C218ECB">
                  <w:pPr>
                    <w:pStyle w:val="57"/>
                    <w:bidi w:val="0"/>
                    <w:jc w:val="center"/>
                    <w:rPr>
                      <w:b/>
                      <w:bCs w:val="0"/>
                      <w:color w:val="auto"/>
                    </w:rPr>
                  </w:pPr>
                </w:p>
              </w:tc>
              <w:tc>
                <w:tcPr>
                  <w:tcW w:w="615" w:type="dxa"/>
                  <w:vMerge w:val="continue"/>
                  <w:tcBorders>
                    <w:top w:val="nil"/>
                  </w:tcBorders>
                  <w:textDirection w:val="tbRlV"/>
                  <w:vAlign w:val="center"/>
                </w:tcPr>
                <w:p w14:paraId="257D92B9">
                  <w:pPr>
                    <w:pStyle w:val="57"/>
                    <w:bidi w:val="0"/>
                    <w:jc w:val="center"/>
                    <w:rPr>
                      <w:b/>
                      <w:bCs w:val="0"/>
                      <w:color w:val="auto"/>
                    </w:rPr>
                  </w:pPr>
                </w:p>
              </w:tc>
              <w:tc>
                <w:tcPr>
                  <w:tcW w:w="1779" w:type="dxa"/>
                  <w:vAlign w:val="center"/>
                </w:tcPr>
                <w:p w14:paraId="296DAA55">
                  <w:pPr>
                    <w:pStyle w:val="57"/>
                    <w:bidi w:val="0"/>
                    <w:jc w:val="center"/>
                    <w:rPr>
                      <w:b/>
                      <w:bCs w:val="0"/>
                      <w:color w:val="auto"/>
                    </w:rPr>
                  </w:pPr>
                  <w:r>
                    <w:rPr>
                      <w:b/>
                      <w:bCs w:val="0"/>
                      <w:color w:val="auto"/>
                    </w:rPr>
                    <w:t>浓度范围</w:t>
                  </w:r>
                </w:p>
              </w:tc>
              <w:tc>
                <w:tcPr>
                  <w:tcW w:w="788" w:type="dxa"/>
                  <w:vAlign w:val="center"/>
                </w:tcPr>
                <w:p w14:paraId="732E60C1">
                  <w:pPr>
                    <w:pStyle w:val="57"/>
                    <w:bidi w:val="0"/>
                    <w:jc w:val="center"/>
                    <w:rPr>
                      <w:b/>
                      <w:bCs w:val="0"/>
                      <w:color w:val="auto"/>
                    </w:rPr>
                  </w:pPr>
                  <w:r>
                    <w:rPr>
                      <w:b/>
                      <w:bCs w:val="0"/>
                      <w:color w:val="auto"/>
                    </w:rPr>
                    <w:t>超标率(%)</w:t>
                  </w:r>
                </w:p>
              </w:tc>
              <w:tc>
                <w:tcPr>
                  <w:tcW w:w="1009" w:type="dxa"/>
                  <w:vAlign w:val="center"/>
                </w:tcPr>
                <w:p w14:paraId="412D2555">
                  <w:pPr>
                    <w:pStyle w:val="57"/>
                    <w:bidi w:val="0"/>
                    <w:jc w:val="center"/>
                    <w:rPr>
                      <w:b/>
                      <w:bCs w:val="0"/>
                      <w:color w:val="auto"/>
                    </w:rPr>
                  </w:pPr>
                  <w:r>
                    <w:rPr>
                      <w:b/>
                      <w:bCs w:val="0"/>
                      <w:color w:val="auto"/>
                    </w:rPr>
                    <w:t>最大占标率(%)</w:t>
                  </w:r>
                </w:p>
              </w:tc>
            </w:tr>
            <w:tr w14:paraId="43027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36" w:type="dxa"/>
                  <w:tcBorders>
                    <w:top w:val="single" w:color="auto" w:sz="4" w:space="0"/>
                    <w:bottom w:val="single" w:color="auto" w:sz="4" w:space="0"/>
                  </w:tcBorders>
                  <w:vAlign w:val="center"/>
                </w:tcPr>
                <w:p w14:paraId="09350056">
                  <w:pPr>
                    <w:pStyle w:val="57"/>
                    <w:bidi w:val="0"/>
                    <w:jc w:val="center"/>
                    <w:rPr>
                      <w:color w:val="auto"/>
                    </w:rPr>
                  </w:pPr>
                  <w:r>
                    <w:rPr>
                      <w:color w:val="auto"/>
                    </w:rPr>
                    <w:t>非甲烷总烃</w:t>
                  </w:r>
                </w:p>
                <w:p w14:paraId="67F895EE">
                  <w:pPr>
                    <w:pStyle w:val="57"/>
                    <w:bidi w:val="0"/>
                    <w:jc w:val="center"/>
                    <w:rPr>
                      <w:color w:val="auto"/>
                    </w:rPr>
                  </w:pPr>
                  <w:r>
                    <w:rPr>
                      <w:color w:val="auto"/>
                    </w:rPr>
                    <w:t>(mg/m</w:t>
                  </w:r>
                  <w:r>
                    <w:rPr>
                      <w:color w:val="auto"/>
                      <w:vertAlign w:val="superscript"/>
                    </w:rPr>
                    <w:t>3</w:t>
                  </w:r>
                  <w:r>
                    <w:rPr>
                      <w:color w:val="auto"/>
                    </w:rPr>
                    <w:t>)</w:t>
                  </w:r>
                </w:p>
              </w:tc>
              <w:tc>
                <w:tcPr>
                  <w:tcW w:w="615" w:type="dxa"/>
                  <w:tcBorders>
                    <w:top w:val="single" w:color="auto" w:sz="4" w:space="0"/>
                    <w:bottom w:val="single" w:color="auto" w:sz="4" w:space="0"/>
                  </w:tcBorders>
                  <w:vAlign w:val="center"/>
                </w:tcPr>
                <w:p w14:paraId="51A9A0FD">
                  <w:pPr>
                    <w:pStyle w:val="57"/>
                    <w:bidi w:val="0"/>
                    <w:jc w:val="center"/>
                    <w:rPr>
                      <w:color w:val="auto"/>
                    </w:rPr>
                  </w:pPr>
                  <w:r>
                    <w:rPr>
                      <w:color w:val="auto"/>
                    </w:rPr>
                    <w:t>G3</w:t>
                  </w:r>
                </w:p>
              </w:tc>
              <w:tc>
                <w:tcPr>
                  <w:tcW w:w="1779" w:type="dxa"/>
                  <w:vAlign w:val="center"/>
                </w:tcPr>
                <w:p w14:paraId="6E147485">
                  <w:pPr>
                    <w:pStyle w:val="57"/>
                    <w:bidi w:val="0"/>
                    <w:jc w:val="center"/>
                    <w:rPr>
                      <w:color w:val="auto"/>
                    </w:rPr>
                  </w:pPr>
                  <w:r>
                    <w:rPr>
                      <w:color w:val="auto"/>
                    </w:rPr>
                    <w:t>0.35~0.66</w:t>
                  </w:r>
                </w:p>
              </w:tc>
              <w:tc>
                <w:tcPr>
                  <w:tcW w:w="788" w:type="dxa"/>
                  <w:vAlign w:val="center"/>
                </w:tcPr>
                <w:p w14:paraId="4D83A967">
                  <w:pPr>
                    <w:pStyle w:val="57"/>
                    <w:bidi w:val="0"/>
                    <w:jc w:val="center"/>
                    <w:rPr>
                      <w:color w:val="auto"/>
                    </w:rPr>
                  </w:pPr>
                  <w:r>
                    <w:rPr>
                      <w:color w:val="auto"/>
                    </w:rPr>
                    <w:t>0</w:t>
                  </w:r>
                </w:p>
              </w:tc>
              <w:tc>
                <w:tcPr>
                  <w:tcW w:w="1009" w:type="dxa"/>
                  <w:vAlign w:val="center"/>
                </w:tcPr>
                <w:p w14:paraId="6B6A531E">
                  <w:pPr>
                    <w:pStyle w:val="57"/>
                    <w:bidi w:val="0"/>
                    <w:jc w:val="center"/>
                    <w:rPr>
                      <w:color w:val="auto"/>
                    </w:rPr>
                  </w:pPr>
                  <w:r>
                    <w:rPr>
                      <w:color w:val="auto"/>
                    </w:rPr>
                    <w:t>0.33</w:t>
                  </w:r>
                </w:p>
              </w:tc>
            </w:tr>
          </w:tbl>
          <w:p w14:paraId="1EF1D442">
            <w:pPr>
              <w:adjustRightInd w:val="0"/>
              <w:snapToGrid w:val="0"/>
              <w:ind w:firstLine="480"/>
              <w:jc w:val="left"/>
              <w:rPr>
                <w:rFonts w:hint="eastAsia" w:ascii="Times New Roman" w:hAnsi="Times New Roman" w:eastAsia="宋体" w:cs="Times New Roman"/>
                <w:color w:val="auto"/>
              </w:rPr>
            </w:pPr>
            <w:r>
              <w:rPr>
                <w:rFonts w:hint="eastAsia" w:ascii="Times New Roman" w:hAnsi="Times New Roman" w:eastAsia="宋体" w:cs="Times New Roman"/>
                <w:color w:val="auto"/>
              </w:rPr>
              <w:t>根据现状监测结果可看出，</w:t>
            </w:r>
            <w:r>
              <w:rPr>
                <w:rFonts w:hint="eastAsia" w:ascii="Times New Roman" w:hAnsi="Times New Roman" w:eastAsia="宋体" w:cs="Times New Roman"/>
                <w:color w:val="auto"/>
                <w:lang w:val="en-US" w:eastAsia="zh-CN"/>
              </w:rPr>
              <w:t>项目区域</w:t>
            </w:r>
            <w:r>
              <w:rPr>
                <w:rFonts w:hint="eastAsia" w:ascii="Times New Roman" w:hAnsi="Times New Roman" w:eastAsia="宋体" w:cs="Times New Roman"/>
                <w:color w:val="auto"/>
              </w:rPr>
              <w:t>非甲烷总烃满足《大气污染物综合排放标准详解》中非甲烷总烃背景浓度限值。</w:t>
            </w:r>
          </w:p>
          <w:p w14:paraId="604E3980">
            <w:pPr>
              <w:pStyle w:val="102"/>
              <w:ind w:firstLine="482"/>
              <w:rPr>
                <w:rFonts w:cs="Times New Roman"/>
                <w:color w:val="auto"/>
                <w:szCs w:val="32"/>
              </w:rPr>
            </w:pPr>
            <w:r>
              <w:rPr>
                <w:rFonts w:cs="Times New Roman"/>
                <w:b/>
                <w:bCs/>
                <w:color w:val="auto"/>
                <w:szCs w:val="32"/>
              </w:rPr>
              <w:t>2、地表水环境质量现状</w:t>
            </w:r>
          </w:p>
          <w:p w14:paraId="1DB8533C">
            <w:pPr>
              <w:adjustRightInd w:val="0"/>
              <w:snapToGrid w:val="0"/>
              <w:ind w:firstLine="480"/>
              <w:jc w:val="left"/>
              <w:rPr>
                <w:color w:val="auto"/>
                <w:sz w:val="24"/>
              </w:rPr>
            </w:pPr>
            <w:r>
              <w:rPr>
                <w:color w:val="auto"/>
                <w:sz w:val="24"/>
              </w:rPr>
              <w:t>本项目外排废水排入宿州市城南污水处理厂</w:t>
            </w:r>
            <w:r>
              <w:rPr>
                <w:color w:val="auto"/>
                <w:sz w:val="24"/>
                <w:szCs w:val="22"/>
              </w:rPr>
              <w:t>，污水厂尾水排入运粮河</w:t>
            </w:r>
            <w:r>
              <w:rPr>
                <w:color w:val="auto"/>
                <w:sz w:val="24"/>
                <w:szCs w:val="32"/>
              </w:rPr>
              <w:t>，</w:t>
            </w:r>
            <w:r>
              <w:rPr>
                <w:color w:val="auto"/>
                <w:sz w:val="24"/>
              </w:rPr>
              <w:t>《宿州经济技术开发区“环境影响区域评估+环境标准”报告》委托安徽金祁环境检测技术有限公司于</w:t>
            </w:r>
            <w:r>
              <w:rPr>
                <w:color w:val="auto"/>
                <w:spacing w:val="2"/>
                <w:sz w:val="24"/>
              </w:rPr>
              <w:t>2022年12月1日~12月3日</w:t>
            </w:r>
            <w:r>
              <w:rPr>
                <w:color w:val="auto"/>
                <w:sz w:val="24"/>
              </w:rPr>
              <w:t>对运粮河水质进行了监测</w:t>
            </w:r>
            <w:r>
              <w:rPr>
                <w:color w:val="auto"/>
                <w:kern w:val="0"/>
                <w:sz w:val="24"/>
              </w:rPr>
              <w:t>，</w:t>
            </w:r>
            <w:r>
              <w:rPr>
                <w:color w:val="auto"/>
                <w:sz w:val="24"/>
              </w:rPr>
              <w:t>现状监测的时效与范围符合《建设项目环境影响</w:t>
            </w:r>
            <w:r>
              <w:rPr>
                <w:rFonts w:hint="eastAsia" w:ascii="Times New Roman" w:hAnsi="Times New Roman" w:eastAsia="宋体" w:cs="Times New Roman"/>
                <w:color w:val="auto"/>
              </w:rPr>
              <w:t>报告</w:t>
            </w:r>
            <w:r>
              <w:rPr>
                <w:color w:val="auto"/>
                <w:sz w:val="24"/>
              </w:rPr>
              <w:t>表编制技术指南（污染影响类）（试行）》的要求，故本报告引用该报告中运粮河地表水现状监测数据。</w:t>
            </w:r>
          </w:p>
          <w:p w14:paraId="4F7B6CE1">
            <w:pPr>
              <w:adjustRightInd w:val="0"/>
              <w:snapToGrid w:val="0"/>
              <w:ind w:firstLine="480"/>
              <w:jc w:val="left"/>
              <w:rPr>
                <w:rFonts w:hint="eastAsia" w:ascii="Times New Roman" w:hAnsi="Times New Roman" w:eastAsia="宋体" w:cs="Times New Roman"/>
                <w:color w:val="auto"/>
              </w:rPr>
            </w:pPr>
            <w:r>
              <w:rPr>
                <w:rFonts w:hint="eastAsia" w:ascii="Times New Roman" w:hAnsi="Times New Roman" w:eastAsia="宋体" w:cs="Times New Roman"/>
                <w:color w:val="auto"/>
              </w:rPr>
              <w:t>①监测断面</w:t>
            </w:r>
          </w:p>
          <w:p w14:paraId="5D9E08C6">
            <w:pPr>
              <w:adjustRightInd w:val="0"/>
              <w:snapToGrid w:val="0"/>
              <w:ind w:firstLine="480"/>
              <w:jc w:val="left"/>
              <w:rPr>
                <w:rFonts w:hint="eastAsia" w:ascii="Times New Roman" w:hAnsi="Times New Roman" w:eastAsia="宋体" w:cs="Times New Roman"/>
                <w:color w:val="auto"/>
              </w:rPr>
            </w:pPr>
            <w:r>
              <w:rPr>
                <w:rFonts w:hint="eastAsia" w:ascii="Times New Roman" w:hAnsi="Times New Roman" w:eastAsia="宋体" w:cs="Times New Roman"/>
                <w:color w:val="auto"/>
              </w:rPr>
              <w:t>地表水环境质量现状监测布点详见下表。</w:t>
            </w:r>
          </w:p>
          <w:p w14:paraId="75C0B510">
            <w:pPr>
              <w:pStyle w:val="58"/>
              <w:bidi w:val="0"/>
              <w:rPr>
                <w:color w:val="auto"/>
              </w:rPr>
            </w:pPr>
            <w:r>
              <w:rPr>
                <w:rFonts w:hint="eastAsia"/>
                <w:color w:val="auto"/>
              </w:rPr>
              <w:t>表3-</w:t>
            </w:r>
            <w:r>
              <w:rPr>
                <w:rFonts w:hint="eastAsia"/>
                <w:color w:val="auto"/>
                <w:lang w:val="en-US" w:eastAsia="zh-CN"/>
              </w:rPr>
              <w:t>3</w:t>
            </w:r>
            <w:r>
              <w:rPr>
                <w:color w:val="auto"/>
              </w:rPr>
              <w:t>地表水环境监测断面具体位置</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85"/>
              <w:gridCol w:w="4243"/>
              <w:gridCol w:w="2932"/>
            </w:tblGrid>
            <w:tr w14:paraId="000B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pct"/>
                  <w:gridSpan w:val="2"/>
                  <w:noWrap w:val="0"/>
                  <w:vAlign w:val="center"/>
                </w:tcPr>
                <w:p w14:paraId="6529B55D">
                  <w:pPr>
                    <w:pStyle w:val="57"/>
                    <w:bidi w:val="0"/>
                    <w:rPr>
                      <w:color w:val="auto"/>
                    </w:rPr>
                  </w:pPr>
                  <w:r>
                    <w:rPr>
                      <w:color w:val="auto"/>
                    </w:rPr>
                    <w:t>断面编号</w:t>
                  </w:r>
                </w:p>
              </w:tc>
              <w:tc>
                <w:tcPr>
                  <w:tcW w:w="2458" w:type="pct"/>
                  <w:vMerge w:val="restart"/>
                  <w:noWrap w:val="0"/>
                  <w:vAlign w:val="center"/>
                </w:tcPr>
                <w:p w14:paraId="5A8DBB82">
                  <w:pPr>
                    <w:pStyle w:val="57"/>
                    <w:bidi w:val="0"/>
                    <w:rPr>
                      <w:color w:val="auto"/>
                    </w:rPr>
                  </w:pPr>
                  <w:r>
                    <w:rPr>
                      <w:color w:val="auto"/>
                    </w:rPr>
                    <w:t>断面位置</w:t>
                  </w:r>
                </w:p>
              </w:tc>
              <w:tc>
                <w:tcPr>
                  <w:tcW w:w="1698" w:type="pct"/>
                  <w:vMerge w:val="restart"/>
                  <w:noWrap w:val="0"/>
                  <w:vAlign w:val="center"/>
                </w:tcPr>
                <w:p w14:paraId="198D597A">
                  <w:pPr>
                    <w:pStyle w:val="57"/>
                    <w:bidi w:val="0"/>
                    <w:rPr>
                      <w:color w:val="auto"/>
                    </w:rPr>
                  </w:pPr>
                  <w:r>
                    <w:rPr>
                      <w:color w:val="auto"/>
                    </w:rPr>
                    <w:t>监测项目</w:t>
                  </w:r>
                </w:p>
              </w:tc>
            </w:tr>
            <w:tr w14:paraId="2635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noWrap w:val="0"/>
                  <w:vAlign w:val="center"/>
                </w:tcPr>
                <w:p w14:paraId="12251024">
                  <w:pPr>
                    <w:pStyle w:val="57"/>
                    <w:bidi w:val="0"/>
                    <w:rPr>
                      <w:color w:val="auto"/>
                    </w:rPr>
                  </w:pPr>
                  <w:r>
                    <w:rPr>
                      <w:color w:val="auto"/>
                    </w:rPr>
                    <w:t>河流</w:t>
                  </w:r>
                </w:p>
              </w:tc>
              <w:tc>
                <w:tcPr>
                  <w:tcW w:w="454" w:type="pct"/>
                  <w:noWrap w:val="0"/>
                  <w:vAlign w:val="center"/>
                </w:tcPr>
                <w:p w14:paraId="1F23FD69">
                  <w:pPr>
                    <w:pStyle w:val="57"/>
                    <w:bidi w:val="0"/>
                    <w:rPr>
                      <w:color w:val="auto"/>
                    </w:rPr>
                  </w:pPr>
                  <w:r>
                    <w:rPr>
                      <w:color w:val="auto"/>
                    </w:rPr>
                    <w:t>编号</w:t>
                  </w:r>
                </w:p>
              </w:tc>
              <w:tc>
                <w:tcPr>
                  <w:tcW w:w="2458" w:type="pct"/>
                  <w:vMerge w:val="continue"/>
                  <w:noWrap w:val="0"/>
                  <w:vAlign w:val="center"/>
                </w:tcPr>
                <w:p w14:paraId="09FF02D2">
                  <w:pPr>
                    <w:pStyle w:val="57"/>
                    <w:bidi w:val="0"/>
                    <w:rPr>
                      <w:color w:val="auto"/>
                    </w:rPr>
                  </w:pPr>
                </w:p>
              </w:tc>
              <w:tc>
                <w:tcPr>
                  <w:tcW w:w="1698" w:type="pct"/>
                  <w:vMerge w:val="continue"/>
                  <w:noWrap w:val="0"/>
                  <w:vAlign w:val="center"/>
                </w:tcPr>
                <w:p w14:paraId="7BF95D04">
                  <w:pPr>
                    <w:pStyle w:val="57"/>
                    <w:bidi w:val="0"/>
                    <w:rPr>
                      <w:color w:val="auto"/>
                    </w:rPr>
                  </w:pPr>
                </w:p>
              </w:tc>
            </w:tr>
            <w:tr w14:paraId="3A62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noWrap w:val="0"/>
                  <w:vAlign w:val="center"/>
                </w:tcPr>
                <w:p w14:paraId="3D7B5504">
                  <w:pPr>
                    <w:pStyle w:val="57"/>
                    <w:bidi w:val="0"/>
                    <w:rPr>
                      <w:color w:val="auto"/>
                    </w:rPr>
                  </w:pPr>
                  <w:r>
                    <w:rPr>
                      <w:color w:val="auto"/>
                    </w:rPr>
                    <w:t>运粮河</w:t>
                  </w:r>
                </w:p>
              </w:tc>
              <w:tc>
                <w:tcPr>
                  <w:tcW w:w="454" w:type="pct"/>
                  <w:noWrap w:val="0"/>
                  <w:vAlign w:val="center"/>
                </w:tcPr>
                <w:p w14:paraId="2D907283">
                  <w:pPr>
                    <w:pStyle w:val="57"/>
                    <w:bidi w:val="0"/>
                    <w:rPr>
                      <w:color w:val="auto"/>
                    </w:rPr>
                  </w:pPr>
                  <w:r>
                    <w:rPr>
                      <w:color w:val="auto"/>
                    </w:rPr>
                    <w:t>W1</w:t>
                  </w:r>
                </w:p>
              </w:tc>
              <w:tc>
                <w:tcPr>
                  <w:tcW w:w="2458" w:type="pct"/>
                  <w:noWrap w:val="0"/>
                  <w:vAlign w:val="center"/>
                </w:tcPr>
                <w:p w14:paraId="623197AC">
                  <w:pPr>
                    <w:pStyle w:val="57"/>
                    <w:bidi w:val="0"/>
                    <w:rPr>
                      <w:color w:val="auto"/>
                    </w:rPr>
                  </w:pPr>
                  <w:r>
                    <w:rPr>
                      <w:color w:val="auto"/>
                    </w:rPr>
                    <w:t>运粮河与园区边界交汇处上游400m</w:t>
                  </w:r>
                </w:p>
              </w:tc>
              <w:tc>
                <w:tcPr>
                  <w:tcW w:w="1698" w:type="pct"/>
                  <w:vMerge w:val="restart"/>
                  <w:noWrap w:val="0"/>
                  <w:vAlign w:val="center"/>
                </w:tcPr>
                <w:p w14:paraId="4F31483C">
                  <w:pPr>
                    <w:pStyle w:val="57"/>
                    <w:bidi w:val="0"/>
                    <w:rPr>
                      <w:color w:val="auto"/>
                    </w:rPr>
                  </w:pPr>
                  <w:r>
                    <w:rPr>
                      <w:color w:val="auto"/>
                    </w:rPr>
                    <w:t>pH、SS、高锰酸盐指数、化学需氧量（COD）、五日生化需氧量（BOD5）、氨氮（NH3-N）、总磷（以P计）、总氮、石油类、粪大肠菌群（个/L）</w:t>
                  </w:r>
                </w:p>
              </w:tc>
            </w:tr>
            <w:tr w14:paraId="43D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noWrap w:val="0"/>
                  <w:vAlign w:val="center"/>
                </w:tcPr>
                <w:p w14:paraId="5C33E925">
                  <w:pPr>
                    <w:pStyle w:val="57"/>
                    <w:bidi w:val="0"/>
                    <w:rPr>
                      <w:color w:val="auto"/>
                    </w:rPr>
                  </w:pPr>
                </w:p>
              </w:tc>
              <w:tc>
                <w:tcPr>
                  <w:tcW w:w="454" w:type="pct"/>
                  <w:noWrap w:val="0"/>
                  <w:vAlign w:val="center"/>
                </w:tcPr>
                <w:p w14:paraId="013C47E6">
                  <w:pPr>
                    <w:pStyle w:val="57"/>
                    <w:bidi w:val="0"/>
                    <w:rPr>
                      <w:color w:val="auto"/>
                    </w:rPr>
                  </w:pPr>
                  <w:r>
                    <w:rPr>
                      <w:color w:val="auto"/>
                    </w:rPr>
                    <w:t>W2</w:t>
                  </w:r>
                </w:p>
              </w:tc>
              <w:tc>
                <w:tcPr>
                  <w:tcW w:w="2458" w:type="pct"/>
                  <w:noWrap w:val="0"/>
                  <w:vAlign w:val="center"/>
                </w:tcPr>
                <w:p w14:paraId="4D6080DD">
                  <w:pPr>
                    <w:pStyle w:val="57"/>
                    <w:bidi w:val="0"/>
                    <w:rPr>
                      <w:color w:val="auto"/>
                    </w:rPr>
                  </w:pPr>
                  <w:r>
                    <w:rPr>
                      <w:color w:val="auto"/>
                    </w:rPr>
                    <w:t>运粮河与外环南路交汇处下游1000m</w:t>
                  </w:r>
                </w:p>
              </w:tc>
              <w:tc>
                <w:tcPr>
                  <w:tcW w:w="1698" w:type="pct"/>
                  <w:vMerge w:val="continue"/>
                  <w:noWrap w:val="0"/>
                  <w:vAlign w:val="center"/>
                </w:tcPr>
                <w:p w14:paraId="4D2CD318">
                  <w:pPr>
                    <w:pStyle w:val="57"/>
                    <w:bidi w:val="0"/>
                    <w:rPr>
                      <w:color w:val="auto"/>
                    </w:rPr>
                  </w:pPr>
                </w:p>
              </w:tc>
            </w:tr>
            <w:tr w14:paraId="0B62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noWrap w:val="0"/>
                  <w:vAlign w:val="center"/>
                </w:tcPr>
                <w:p w14:paraId="5547F02B">
                  <w:pPr>
                    <w:pStyle w:val="57"/>
                    <w:bidi w:val="0"/>
                    <w:rPr>
                      <w:color w:val="auto"/>
                    </w:rPr>
                  </w:pPr>
                </w:p>
              </w:tc>
              <w:tc>
                <w:tcPr>
                  <w:tcW w:w="454" w:type="pct"/>
                  <w:noWrap w:val="0"/>
                  <w:vAlign w:val="center"/>
                </w:tcPr>
                <w:p w14:paraId="5ACC9EAA">
                  <w:pPr>
                    <w:pStyle w:val="57"/>
                    <w:bidi w:val="0"/>
                    <w:rPr>
                      <w:color w:val="auto"/>
                    </w:rPr>
                  </w:pPr>
                  <w:r>
                    <w:rPr>
                      <w:color w:val="auto"/>
                    </w:rPr>
                    <w:t>W3</w:t>
                  </w:r>
                </w:p>
              </w:tc>
              <w:tc>
                <w:tcPr>
                  <w:tcW w:w="2458" w:type="pct"/>
                  <w:noWrap w:val="0"/>
                  <w:vAlign w:val="center"/>
                </w:tcPr>
                <w:p w14:paraId="2E72DBC3">
                  <w:pPr>
                    <w:pStyle w:val="57"/>
                    <w:bidi w:val="0"/>
                    <w:rPr>
                      <w:color w:val="auto"/>
                    </w:rPr>
                  </w:pPr>
                  <w:r>
                    <w:rPr>
                      <w:color w:val="auto"/>
                    </w:rPr>
                    <w:t>经开区污水处理厂入河排污口上游500m</w:t>
                  </w:r>
                </w:p>
              </w:tc>
              <w:tc>
                <w:tcPr>
                  <w:tcW w:w="1698" w:type="pct"/>
                  <w:vMerge w:val="continue"/>
                  <w:noWrap w:val="0"/>
                  <w:vAlign w:val="center"/>
                </w:tcPr>
                <w:p w14:paraId="5CFEE087">
                  <w:pPr>
                    <w:pStyle w:val="57"/>
                    <w:bidi w:val="0"/>
                    <w:rPr>
                      <w:color w:val="auto"/>
                    </w:rPr>
                  </w:pPr>
                </w:p>
              </w:tc>
            </w:tr>
            <w:tr w14:paraId="47A1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noWrap w:val="0"/>
                  <w:vAlign w:val="center"/>
                </w:tcPr>
                <w:p w14:paraId="70B29E9F">
                  <w:pPr>
                    <w:pStyle w:val="57"/>
                    <w:bidi w:val="0"/>
                    <w:rPr>
                      <w:color w:val="auto"/>
                    </w:rPr>
                  </w:pPr>
                </w:p>
              </w:tc>
              <w:tc>
                <w:tcPr>
                  <w:tcW w:w="454" w:type="pct"/>
                  <w:noWrap w:val="0"/>
                  <w:vAlign w:val="center"/>
                </w:tcPr>
                <w:p w14:paraId="64ED16A3">
                  <w:pPr>
                    <w:pStyle w:val="57"/>
                    <w:bidi w:val="0"/>
                    <w:rPr>
                      <w:color w:val="auto"/>
                    </w:rPr>
                  </w:pPr>
                  <w:r>
                    <w:rPr>
                      <w:color w:val="auto"/>
                    </w:rPr>
                    <w:t>W4</w:t>
                  </w:r>
                </w:p>
              </w:tc>
              <w:tc>
                <w:tcPr>
                  <w:tcW w:w="2458" w:type="pct"/>
                  <w:noWrap w:val="0"/>
                  <w:vAlign w:val="center"/>
                </w:tcPr>
                <w:p w14:paraId="65AD6330">
                  <w:pPr>
                    <w:pStyle w:val="57"/>
                    <w:bidi w:val="0"/>
                    <w:rPr>
                      <w:color w:val="auto"/>
                    </w:rPr>
                  </w:pPr>
                  <w:r>
                    <w:rPr>
                      <w:color w:val="auto"/>
                    </w:rPr>
                    <w:t>经开区污水处理厂入河排污口下游500m</w:t>
                  </w:r>
                </w:p>
              </w:tc>
              <w:tc>
                <w:tcPr>
                  <w:tcW w:w="1698" w:type="pct"/>
                  <w:vMerge w:val="continue"/>
                  <w:noWrap w:val="0"/>
                  <w:vAlign w:val="center"/>
                </w:tcPr>
                <w:p w14:paraId="7E56F9BF">
                  <w:pPr>
                    <w:pStyle w:val="57"/>
                    <w:bidi w:val="0"/>
                    <w:rPr>
                      <w:color w:val="auto"/>
                    </w:rPr>
                  </w:pPr>
                </w:p>
              </w:tc>
            </w:tr>
            <w:tr w14:paraId="1E28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noWrap w:val="0"/>
                  <w:vAlign w:val="center"/>
                </w:tcPr>
                <w:p w14:paraId="7C56E0FC">
                  <w:pPr>
                    <w:pStyle w:val="57"/>
                    <w:bidi w:val="0"/>
                    <w:rPr>
                      <w:color w:val="auto"/>
                    </w:rPr>
                  </w:pPr>
                </w:p>
              </w:tc>
              <w:tc>
                <w:tcPr>
                  <w:tcW w:w="454" w:type="pct"/>
                  <w:noWrap w:val="0"/>
                  <w:vAlign w:val="center"/>
                </w:tcPr>
                <w:p w14:paraId="0EC7E212">
                  <w:pPr>
                    <w:pStyle w:val="57"/>
                    <w:bidi w:val="0"/>
                    <w:rPr>
                      <w:color w:val="auto"/>
                    </w:rPr>
                  </w:pPr>
                  <w:r>
                    <w:rPr>
                      <w:color w:val="auto"/>
                    </w:rPr>
                    <w:t>W5</w:t>
                  </w:r>
                </w:p>
              </w:tc>
              <w:tc>
                <w:tcPr>
                  <w:tcW w:w="2458" w:type="pct"/>
                  <w:noWrap w:val="0"/>
                  <w:vAlign w:val="center"/>
                </w:tcPr>
                <w:p w14:paraId="44477CE3">
                  <w:pPr>
                    <w:pStyle w:val="57"/>
                    <w:bidi w:val="0"/>
                    <w:rPr>
                      <w:color w:val="auto"/>
                    </w:rPr>
                  </w:pPr>
                  <w:r>
                    <w:rPr>
                      <w:color w:val="auto"/>
                    </w:rPr>
                    <w:t>经开区污水处理厂入河排污口下游1000m</w:t>
                  </w:r>
                </w:p>
              </w:tc>
              <w:tc>
                <w:tcPr>
                  <w:tcW w:w="1698" w:type="pct"/>
                  <w:vMerge w:val="continue"/>
                  <w:noWrap w:val="0"/>
                  <w:vAlign w:val="center"/>
                </w:tcPr>
                <w:p w14:paraId="180D9829">
                  <w:pPr>
                    <w:pStyle w:val="57"/>
                    <w:bidi w:val="0"/>
                    <w:rPr>
                      <w:color w:val="auto"/>
                    </w:rPr>
                  </w:pPr>
                </w:p>
              </w:tc>
            </w:tr>
          </w:tbl>
          <w:p w14:paraId="641B29BA">
            <w:pPr>
              <w:adjustRightInd w:val="0"/>
              <w:snapToGrid w:val="0"/>
              <w:ind w:firstLine="480"/>
              <w:jc w:val="left"/>
              <w:rPr>
                <w:rFonts w:ascii="Times New Roman" w:hAnsi="Times New Roman" w:eastAsia="宋体" w:cs="Times New Roman"/>
                <w:color w:val="auto"/>
                <w:sz w:val="24"/>
              </w:rPr>
            </w:pPr>
            <w:r>
              <w:rPr>
                <w:rFonts w:ascii="Times New Roman" w:hAnsi="Times New Roman" w:eastAsia="宋体" w:cs="Times New Roman"/>
                <w:color w:val="auto"/>
                <w:sz w:val="24"/>
              </w:rPr>
              <w:t>②监测结果</w:t>
            </w:r>
          </w:p>
          <w:p w14:paraId="4EF4858F">
            <w:pPr>
              <w:pStyle w:val="58"/>
              <w:bidi w:val="0"/>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表3-4地表水环境质量监测结果   单位：mg/</w:t>
            </w:r>
            <w:r>
              <w:rPr>
                <w:rFonts w:ascii="Times New Roman" w:hAnsi="Times New Roman" w:eastAsia="宋体" w:cs="Times New Roman"/>
                <w:color w:val="auto"/>
              </w:rPr>
              <w:t>L</w:t>
            </w:r>
          </w:p>
          <w:tbl>
            <w:tblPr>
              <w:tblStyle w:val="37"/>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681"/>
              <w:gridCol w:w="739"/>
              <w:gridCol w:w="537"/>
              <w:gridCol w:w="717"/>
              <w:gridCol w:w="800"/>
              <w:gridCol w:w="812"/>
              <w:gridCol w:w="694"/>
              <w:gridCol w:w="725"/>
              <w:gridCol w:w="753"/>
              <w:gridCol w:w="665"/>
              <w:gridCol w:w="813"/>
            </w:tblGrid>
            <w:tr w14:paraId="62BCF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97" w:type="pct"/>
                  <w:noWrap w:val="0"/>
                  <w:vAlign w:val="center"/>
                </w:tcPr>
                <w:p w14:paraId="1FCB475C">
                  <w:pPr>
                    <w:pStyle w:val="57"/>
                    <w:bidi w:val="0"/>
                    <w:rPr>
                      <w:b/>
                      <w:bCs w:val="0"/>
                      <w:color w:val="auto"/>
                    </w:rPr>
                  </w:pPr>
                  <w:r>
                    <w:rPr>
                      <w:b/>
                      <w:bCs w:val="0"/>
                      <w:color w:val="auto"/>
                    </w:rPr>
                    <w:t>监测</w:t>
                  </w:r>
                </w:p>
                <w:p w14:paraId="65B739EE">
                  <w:pPr>
                    <w:pStyle w:val="57"/>
                    <w:bidi w:val="0"/>
                    <w:rPr>
                      <w:b/>
                      <w:bCs w:val="0"/>
                      <w:color w:val="auto"/>
                    </w:rPr>
                  </w:pPr>
                  <w:r>
                    <w:rPr>
                      <w:b/>
                      <w:bCs w:val="0"/>
                      <w:color w:val="auto"/>
                    </w:rPr>
                    <w:t>点位</w:t>
                  </w:r>
                </w:p>
              </w:tc>
              <w:tc>
                <w:tcPr>
                  <w:tcW w:w="394" w:type="pct"/>
                  <w:noWrap w:val="0"/>
                  <w:vAlign w:val="center"/>
                </w:tcPr>
                <w:p w14:paraId="385DC086">
                  <w:pPr>
                    <w:pStyle w:val="57"/>
                    <w:bidi w:val="0"/>
                    <w:rPr>
                      <w:b/>
                      <w:bCs w:val="0"/>
                      <w:color w:val="auto"/>
                    </w:rPr>
                  </w:pPr>
                  <w:r>
                    <w:rPr>
                      <w:b/>
                      <w:bCs w:val="0"/>
                      <w:color w:val="auto"/>
                    </w:rPr>
                    <w:t>监测</w:t>
                  </w:r>
                </w:p>
                <w:p w14:paraId="5198C1CA">
                  <w:pPr>
                    <w:pStyle w:val="57"/>
                    <w:bidi w:val="0"/>
                    <w:rPr>
                      <w:b/>
                      <w:bCs w:val="0"/>
                      <w:color w:val="auto"/>
                    </w:rPr>
                  </w:pPr>
                  <w:r>
                    <w:rPr>
                      <w:b/>
                      <w:bCs w:val="0"/>
                      <w:color w:val="auto"/>
                    </w:rPr>
                    <w:t>日期</w:t>
                  </w:r>
                </w:p>
              </w:tc>
              <w:tc>
                <w:tcPr>
                  <w:tcW w:w="428" w:type="pct"/>
                  <w:noWrap w:val="0"/>
                  <w:vAlign w:val="center"/>
                </w:tcPr>
                <w:p w14:paraId="43D5EC32">
                  <w:pPr>
                    <w:pStyle w:val="57"/>
                    <w:bidi w:val="0"/>
                    <w:rPr>
                      <w:b/>
                      <w:bCs w:val="0"/>
                      <w:color w:val="auto"/>
                    </w:rPr>
                  </w:pPr>
                  <w:r>
                    <w:rPr>
                      <w:b/>
                      <w:bCs w:val="0"/>
                      <w:color w:val="auto"/>
                    </w:rPr>
                    <w:t>pH</w:t>
                  </w:r>
                </w:p>
              </w:tc>
              <w:tc>
                <w:tcPr>
                  <w:tcW w:w="311" w:type="pct"/>
                  <w:noWrap w:val="0"/>
                  <w:vAlign w:val="center"/>
                </w:tcPr>
                <w:p w14:paraId="2BA44039">
                  <w:pPr>
                    <w:pStyle w:val="57"/>
                    <w:bidi w:val="0"/>
                    <w:rPr>
                      <w:b/>
                      <w:bCs w:val="0"/>
                      <w:color w:val="auto"/>
                    </w:rPr>
                  </w:pPr>
                  <w:r>
                    <w:rPr>
                      <w:b/>
                      <w:bCs w:val="0"/>
                      <w:color w:val="auto"/>
                    </w:rPr>
                    <w:t>SS</w:t>
                  </w:r>
                </w:p>
              </w:tc>
              <w:tc>
                <w:tcPr>
                  <w:tcW w:w="415" w:type="pct"/>
                  <w:noWrap w:val="0"/>
                  <w:vAlign w:val="center"/>
                </w:tcPr>
                <w:p w14:paraId="274A7220">
                  <w:pPr>
                    <w:pStyle w:val="57"/>
                    <w:bidi w:val="0"/>
                    <w:rPr>
                      <w:b/>
                      <w:bCs w:val="0"/>
                      <w:color w:val="auto"/>
                    </w:rPr>
                  </w:pPr>
                  <w:r>
                    <w:rPr>
                      <w:b/>
                      <w:bCs w:val="0"/>
                      <w:color w:val="auto"/>
                    </w:rPr>
                    <w:t>COD</w:t>
                  </w:r>
                </w:p>
              </w:tc>
              <w:tc>
                <w:tcPr>
                  <w:tcW w:w="463" w:type="pct"/>
                  <w:noWrap w:val="0"/>
                  <w:vAlign w:val="center"/>
                </w:tcPr>
                <w:p w14:paraId="2D8BB65A">
                  <w:pPr>
                    <w:pStyle w:val="57"/>
                    <w:bidi w:val="0"/>
                    <w:rPr>
                      <w:b/>
                      <w:bCs w:val="0"/>
                      <w:color w:val="auto"/>
                    </w:rPr>
                  </w:pPr>
                  <w:r>
                    <w:rPr>
                      <w:b/>
                      <w:bCs w:val="0"/>
                      <w:color w:val="auto"/>
                    </w:rPr>
                    <w:t>BOD</w:t>
                  </w:r>
                  <w:r>
                    <w:rPr>
                      <w:b/>
                      <w:bCs w:val="0"/>
                      <w:color w:val="auto"/>
                      <w:vertAlign w:val="subscript"/>
                    </w:rPr>
                    <w:t>5</w:t>
                  </w:r>
                </w:p>
              </w:tc>
              <w:tc>
                <w:tcPr>
                  <w:tcW w:w="470" w:type="pct"/>
                  <w:noWrap w:val="0"/>
                  <w:vAlign w:val="center"/>
                </w:tcPr>
                <w:p w14:paraId="1A2D82B8">
                  <w:pPr>
                    <w:pStyle w:val="57"/>
                    <w:bidi w:val="0"/>
                    <w:rPr>
                      <w:b/>
                      <w:bCs w:val="0"/>
                      <w:color w:val="auto"/>
                    </w:rPr>
                  </w:pPr>
                  <w:r>
                    <w:rPr>
                      <w:b/>
                      <w:bCs w:val="0"/>
                      <w:color w:val="auto"/>
                    </w:rPr>
                    <w:t>氨氮</w:t>
                  </w:r>
                </w:p>
              </w:tc>
              <w:tc>
                <w:tcPr>
                  <w:tcW w:w="402" w:type="pct"/>
                  <w:noWrap w:val="0"/>
                  <w:vAlign w:val="center"/>
                </w:tcPr>
                <w:p w14:paraId="5ACBDED2">
                  <w:pPr>
                    <w:pStyle w:val="57"/>
                    <w:bidi w:val="0"/>
                    <w:rPr>
                      <w:b/>
                      <w:bCs w:val="0"/>
                      <w:color w:val="auto"/>
                    </w:rPr>
                  </w:pPr>
                  <w:r>
                    <w:rPr>
                      <w:b/>
                      <w:bCs w:val="0"/>
                      <w:color w:val="auto"/>
                    </w:rPr>
                    <w:t>总磷</w:t>
                  </w:r>
                </w:p>
              </w:tc>
              <w:tc>
                <w:tcPr>
                  <w:tcW w:w="420" w:type="pct"/>
                  <w:noWrap w:val="0"/>
                  <w:vAlign w:val="center"/>
                </w:tcPr>
                <w:p w14:paraId="512FAFDE">
                  <w:pPr>
                    <w:pStyle w:val="57"/>
                    <w:bidi w:val="0"/>
                    <w:rPr>
                      <w:b/>
                      <w:bCs w:val="0"/>
                      <w:color w:val="auto"/>
                    </w:rPr>
                  </w:pPr>
                  <w:r>
                    <w:rPr>
                      <w:b/>
                      <w:bCs w:val="0"/>
                      <w:color w:val="auto"/>
                    </w:rPr>
                    <w:t>总氮</w:t>
                  </w:r>
                </w:p>
              </w:tc>
              <w:tc>
                <w:tcPr>
                  <w:tcW w:w="436" w:type="pct"/>
                  <w:noWrap w:val="0"/>
                  <w:vAlign w:val="center"/>
                </w:tcPr>
                <w:p w14:paraId="5D423692">
                  <w:pPr>
                    <w:pStyle w:val="57"/>
                    <w:bidi w:val="0"/>
                    <w:rPr>
                      <w:b/>
                      <w:bCs w:val="0"/>
                      <w:color w:val="auto"/>
                    </w:rPr>
                  </w:pPr>
                  <w:r>
                    <w:rPr>
                      <w:b/>
                      <w:bCs w:val="0"/>
                      <w:color w:val="auto"/>
                    </w:rPr>
                    <w:t>高锰酸盐指数</w:t>
                  </w:r>
                </w:p>
              </w:tc>
              <w:tc>
                <w:tcPr>
                  <w:tcW w:w="385" w:type="pct"/>
                  <w:noWrap w:val="0"/>
                  <w:vAlign w:val="center"/>
                </w:tcPr>
                <w:p w14:paraId="6E4503AE">
                  <w:pPr>
                    <w:pStyle w:val="57"/>
                    <w:bidi w:val="0"/>
                    <w:rPr>
                      <w:b/>
                      <w:bCs w:val="0"/>
                      <w:color w:val="auto"/>
                    </w:rPr>
                  </w:pPr>
                  <w:r>
                    <w:rPr>
                      <w:b/>
                      <w:bCs w:val="0"/>
                      <w:color w:val="auto"/>
                    </w:rPr>
                    <w:t>石油类</w:t>
                  </w:r>
                </w:p>
              </w:tc>
              <w:tc>
                <w:tcPr>
                  <w:tcW w:w="471" w:type="pct"/>
                  <w:noWrap w:val="0"/>
                  <w:vAlign w:val="center"/>
                </w:tcPr>
                <w:p w14:paraId="26E59E22">
                  <w:pPr>
                    <w:pStyle w:val="57"/>
                    <w:bidi w:val="0"/>
                    <w:rPr>
                      <w:b/>
                      <w:bCs w:val="0"/>
                      <w:color w:val="auto"/>
                    </w:rPr>
                  </w:pPr>
                  <w:r>
                    <w:rPr>
                      <w:b/>
                      <w:bCs w:val="0"/>
                      <w:color w:val="auto"/>
                    </w:rPr>
                    <w:t>粪大肠菌群（个/L）</w:t>
                  </w:r>
                </w:p>
              </w:tc>
            </w:tr>
            <w:tr w14:paraId="7404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restart"/>
                  <w:noWrap w:val="0"/>
                  <w:vAlign w:val="center"/>
                </w:tcPr>
                <w:p w14:paraId="705CBEF2">
                  <w:pPr>
                    <w:pStyle w:val="57"/>
                    <w:bidi w:val="0"/>
                    <w:rPr>
                      <w:color w:val="auto"/>
                    </w:rPr>
                  </w:pPr>
                  <w:r>
                    <w:rPr>
                      <w:color w:val="auto"/>
                    </w:rPr>
                    <w:t>W1</w:t>
                  </w:r>
                </w:p>
              </w:tc>
              <w:tc>
                <w:tcPr>
                  <w:tcW w:w="394" w:type="pct"/>
                  <w:noWrap w:val="0"/>
                  <w:vAlign w:val="center"/>
                </w:tcPr>
                <w:p w14:paraId="1EA54C2B">
                  <w:pPr>
                    <w:pStyle w:val="57"/>
                    <w:bidi w:val="0"/>
                    <w:rPr>
                      <w:color w:val="auto"/>
                    </w:rPr>
                  </w:pPr>
                  <w:r>
                    <w:rPr>
                      <w:color w:val="auto"/>
                    </w:rPr>
                    <w:t>12.1</w:t>
                  </w:r>
                </w:p>
              </w:tc>
              <w:tc>
                <w:tcPr>
                  <w:tcW w:w="428" w:type="pct"/>
                  <w:noWrap w:val="0"/>
                  <w:vAlign w:val="center"/>
                </w:tcPr>
                <w:p w14:paraId="1BE0907E">
                  <w:pPr>
                    <w:pStyle w:val="57"/>
                    <w:bidi w:val="0"/>
                    <w:rPr>
                      <w:color w:val="auto"/>
                    </w:rPr>
                  </w:pPr>
                  <w:r>
                    <w:rPr>
                      <w:color w:val="auto"/>
                    </w:rPr>
                    <w:t>7.1</w:t>
                  </w:r>
                </w:p>
              </w:tc>
              <w:tc>
                <w:tcPr>
                  <w:tcW w:w="311" w:type="pct"/>
                  <w:noWrap w:val="0"/>
                  <w:vAlign w:val="center"/>
                </w:tcPr>
                <w:p w14:paraId="54619664">
                  <w:pPr>
                    <w:pStyle w:val="57"/>
                    <w:bidi w:val="0"/>
                    <w:rPr>
                      <w:color w:val="auto"/>
                    </w:rPr>
                  </w:pPr>
                  <w:r>
                    <w:rPr>
                      <w:color w:val="auto"/>
                    </w:rPr>
                    <w:t>21</w:t>
                  </w:r>
                </w:p>
              </w:tc>
              <w:tc>
                <w:tcPr>
                  <w:tcW w:w="415" w:type="pct"/>
                  <w:noWrap w:val="0"/>
                  <w:vAlign w:val="center"/>
                </w:tcPr>
                <w:p w14:paraId="14974A64">
                  <w:pPr>
                    <w:pStyle w:val="57"/>
                    <w:bidi w:val="0"/>
                    <w:rPr>
                      <w:color w:val="auto"/>
                    </w:rPr>
                  </w:pPr>
                  <w:r>
                    <w:rPr>
                      <w:color w:val="auto"/>
                    </w:rPr>
                    <w:t>23</w:t>
                  </w:r>
                </w:p>
              </w:tc>
              <w:tc>
                <w:tcPr>
                  <w:tcW w:w="463" w:type="pct"/>
                  <w:noWrap w:val="0"/>
                  <w:vAlign w:val="center"/>
                </w:tcPr>
                <w:p w14:paraId="5DE04857">
                  <w:pPr>
                    <w:pStyle w:val="57"/>
                    <w:bidi w:val="0"/>
                    <w:rPr>
                      <w:color w:val="auto"/>
                    </w:rPr>
                  </w:pPr>
                  <w:r>
                    <w:rPr>
                      <w:color w:val="auto"/>
                    </w:rPr>
                    <w:t>7.2</w:t>
                  </w:r>
                </w:p>
              </w:tc>
              <w:tc>
                <w:tcPr>
                  <w:tcW w:w="470" w:type="pct"/>
                  <w:noWrap w:val="0"/>
                  <w:vAlign w:val="center"/>
                </w:tcPr>
                <w:p w14:paraId="6AAABA1E">
                  <w:pPr>
                    <w:pStyle w:val="57"/>
                    <w:bidi w:val="0"/>
                    <w:rPr>
                      <w:color w:val="auto"/>
                    </w:rPr>
                  </w:pPr>
                  <w:r>
                    <w:rPr>
                      <w:color w:val="auto"/>
                    </w:rPr>
                    <w:t>0.583</w:t>
                  </w:r>
                </w:p>
              </w:tc>
              <w:tc>
                <w:tcPr>
                  <w:tcW w:w="402" w:type="pct"/>
                  <w:noWrap w:val="0"/>
                  <w:vAlign w:val="center"/>
                </w:tcPr>
                <w:p w14:paraId="6DEAE0C3">
                  <w:pPr>
                    <w:pStyle w:val="57"/>
                    <w:bidi w:val="0"/>
                    <w:rPr>
                      <w:color w:val="auto"/>
                    </w:rPr>
                  </w:pPr>
                  <w:r>
                    <w:rPr>
                      <w:color w:val="auto"/>
                    </w:rPr>
                    <w:t>0.15</w:t>
                  </w:r>
                </w:p>
              </w:tc>
              <w:tc>
                <w:tcPr>
                  <w:tcW w:w="420" w:type="pct"/>
                  <w:noWrap w:val="0"/>
                  <w:vAlign w:val="center"/>
                </w:tcPr>
                <w:p w14:paraId="415A855F">
                  <w:pPr>
                    <w:pStyle w:val="57"/>
                    <w:bidi w:val="0"/>
                    <w:rPr>
                      <w:color w:val="auto"/>
                    </w:rPr>
                  </w:pPr>
                  <w:r>
                    <w:rPr>
                      <w:color w:val="auto"/>
                    </w:rPr>
                    <w:t>1.62</w:t>
                  </w:r>
                </w:p>
              </w:tc>
              <w:tc>
                <w:tcPr>
                  <w:tcW w:w="436" w:type="pct"/>
                  <w:noWrap w:val="0"/>
                  <w:vAlign w:val="center"/>
                </w:tcPr>
                <w:p w14:paraId="22406A75">
                  <w:pPr>
                    <w:pStyle w:val="57"/>
                    <w:bidi w:val="0"/>
                    <w:rPr>
                      <w:color w:val="auto"/>
                    </w:rPr>
                  </w:pPr>
                  <w:r>
                    <w:rPr>
                      <w:color w:val="auto"/>
                    </w:rPr>
                    <w:t>7.05</w:t>
                  </w:r>
                </w:p>
              </w:tc>
              <w:tc>
                <w:tcPr>
                  <w:tcW w:w="385" w:type="pct"/>
                  <w:noWrap w:val="0"/>
                  <w:vAlign w:val="center"/>
                </w:tcPr>
                <w:p w14:paraId="7896004D">
                  <w:pPr>
                    <w:pStyle w:val="57"/>
                    <w:bidi w:val="0"/>
                    <w:rPr>
                      <w:color w:val="auto"/>
                    </w:rPr>
                  </w:pPr>
                  <w:r>
                    <w:rPr>
                      <w:color w:val="auto"/>
                    </w:rPr>
                    <w:t>0.02</w:t>
                  </w:r>
                </w:p>
              </w:tc>
              <w:tc>
                <w:tcPr>
                  <w:tcW w:w="471" w:type="pct"/>
                  <w:noWrap w:val="0"/>
                  <w:vAlign w:val="center"/>
                </w:tcPr>
                <w:p w14:paraId="2AD2F02B">
                  <w:pPr>
                    <w:pStyle w:val="57"/>
                    <w:bidi w:val="0"/>
                    <w:rPr>
                      <w:color w:val="auto"/>
                    </w:rPr>
                  </w:pPr>
                  <w:r>
                    <w:rPr>
                      <w:color w:val="auto"/>
                    </w:rPr>
                    <w:t>420</w:t>
                  </w:r>
                </w:p>
              </w:tc>
            </w:tr>
            <w:tr w14:paraId="0163A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72A561AA">
                  <w:pPr>
                    <w:pStyle w:val="57"/>
                    <w:bidi w:val="0"/>
                    <w:rPr>
                      <w:color w:val="auto"/>
                    </w:rPr>
                  </w:pPr>
                </w:p>
              </w:tc>
              <w:tc>
                <w:tcPr>
                  <w:tcW w:w="394" w:type="pct"/>
                  <w:noWrap w:val="0"/>
                  <w:vAlign w:val="center"/>
                </w:tcPr>
                <w:p w14:paraId="72EF3D16">
                  <w:pPr>
                    <w:pStyle w:val="57"/>
                    <w:bidi w:val="0"/>
                    <w:rPr>
                      <w:color w:val="auto"/>
                    </w:rPr>
                  </w:pPr>
                  <w:r>
                    <w:rPr>
                      <w:color w:val="auto"/>
                    </w:rPr>
                    <w:t>12.2</w:t>
                  </w:r>
                </w:p>
              </w:tc>
              <w:tc>
                <w:tcPr>
                  <w:tcW w:w="428" w:type="pct"/>
                  <w:noWrap w:val="0"/>
                  <w:vAlign w:val="center"/>
                </w:tcPr>
                <w:p w14:paraId="5E61397C">
                  <w:pPr>
                    <w:pStyle w:val="57"/>
                    <w:bidi w:val="0"/>
                    <w:rPr>
                      <w:color w:val="auto"/>
                    </w:rPr>
                  </w:pPr>
                  <w:r>
                    <w:rPr>
                      <w:color w:val="auto"/>
                    </w:rPr>
                    <w:t>7.2</w:t>
                  </w:r>
                </w:p>
              </w:tc>
              <w:tc>
                <w:tcPr>
                  <w:tcW w:w="311" w:type="pct"/>
                  <w:noWrap w:val="0"/>
                  <w:vAlign w:val="center"/>
                </w:tcPr>
                <w:p w14:paraId="4A8BD79B">
                  <w:pPr>
                    <w:pStyle w:val="57"/>
                    <w:bidi w:val="0"/>
                    <w:rPr>
                      <w:color w:val="auto"/>
                    </w:rPr>
                  </w:pPr>
                  <w:r>
                    <w:rPr>
                      <w:color w:val="auto"/>
                    </w:rPr>
                    <w:t>24</w:t>
                  </w:r>
                </w:p>
              </w:tc>
              <w:tc>
                <w:tcPr>
                  <w:tcW w:w="415" w:type="pct"/>
                  <w:noWrap w:val="0"/>
                  <w:vAlign w:val="center"/>
                </w:tcPr>
                <w:p w14:paraId="34A7771A">
                  <w:pPr>
                    <w:pStyle w:val="57"/>
                    <w:bidi w:val="0"/>
                    <w:rPr>
                      <w:color w:val="auto"/>
                    </w:rPr>
                  </w:pPr>
                  <w:r>
                    <w:rPr>
                      <w:color w:val="auto"/>
                    </w:rPr>
                    <w:t>21</w:t>
                  </w:r>
                </w:p>
              </w:tc>
              <w:tc>
                <w:tcPr>
                  <w:tcW w:w="463" w:type="pct"/>
                  <w:noWrap w:val="0"/>
                  <w:vAlign w:val="center"/>
                </w:tcPr>
                <w:p w14:paraId="667C722E">
                  <w:pPr>
                    <w:pStyle w:val="57"/>
                    <w:bidi w:val="0"/>
                    <w:rPr>
                      <w:color w:val="auto"/>
                    </w:rPr>
                  </w:pPr>
                  <w:r>
                    <w:rPr>
                      <w:color w:val="auto"/>
                    </w:rPr>
                    <w:t>6.9</w:t>
                  </w:r>
                </w:p>
              </w:tc>
              <w:tc>
                <w:tcPr>
                  <w:tcW w:w="470" w:type="pct"/>
                  <w:noWrap w:val="0"/>
                  <w:vAlign w:val="center"/>
                </w:tcPr>
                <w:p w14:paraId="78335210">
                  <w:pPr>
                    <w:pStyle w:val="57"/>
                    <w:bidi w:val="0"/>
                    <w:rPr>
                      <w:color w:val="auto"/>
                    </w:rPr>
                  </w:pPr>
                  <w:r>
                    <w:rPr>
                      <w:color w:val="auto"/>
                    </w:rPr>
                    <w:t>0.599</w:t>
                  </w:r>
                </w:p>
              </w:tc>
              <w:tc>
                <w:tcPr>
                  <w:tcW w:w="402" w:type="pct"/>
                  <w:noWrap w:val="0"/>
                  <w:vAlign w:val="center"/>
                </w:tcPr>
                <w:p w14:paraId="44F59D57">
                  <w:pPr>
                    <w:pStyle w:val="57"/>
                    <w:bidi w:val="0"/>
                    <w:rPr>
                      <w:color w:val="auto"/>
                    </w:rPr>
                  </w:pPr>
                  <w:r>
                    <w:rPr>
                      <w:color w:val="auto"/>
                    </w:rPr>
                    <w:t>0.16</w:t>
                  </w:r>
                </w:p>
              </w:tc>
              <w:tc>
                <w:tcPr>
                  <w:tcW w:w="420" w:type="pct"/>
                  <w:noWrap w:val="0"/>
                  <w:vAlign w:val="center"/>
                </w:tcPr>
                <w:p w14:paraId="1DE209AE">
                  <w:pPr>
                    <w:pStyle w:val="57"/>
                    <w:bidi w:val="0"/>
                    <w:rPr>
                      <w:color w:val="auto"/>
                    </w:rPr>
                  </w:pPr>
                  <w:r>
                    <w:rPr>
                      <w:color w:val="auto"/>
                    </w:rPr>
                    <w:t>1.74</w:t>
                  </w:r>
                </w:p>
              </w:tc>
              <w:tc>
                <w:tcPr>
                  <w:tcW w:w="436" w:type="pct"/>
                  <w:noWrap w:val="0"/>
                  <w:vAlign w:val="center"/>
                </w:tcPr>
                <w:p w14:paraId="0420A314">
                  <w:pPr>
                    <w:pStyle w:val="57"/>
                    <w:bidi w:val="0"/>
                    <w:rPr>
                      <w:color w:val="auto"/>
                    </w:rPr>
                  </w:pPr>
                  <w:r>
                    <w:rPr>
                      <w:color w:val="auto"/>
                    </w:rPr>
                    <w:t>6.64</w:t>
                  </w:r>
                </w:p>
              </w:tc>
              <w:tc>
                <w:tcPr>
                  <w:tcW w:w="385" w:type="pct"/>
                  <w:noWrap w:val="0"/>
                  <w:vAlign w:val="center"/>
                </w:tcPr>
                <w:p w14:paraId="03F963DB">
                  <w:pPr>
                    <w:pStyle w:val="57"/>
                    <w:bidi w:val="0"/>
                    <w:rPr>
                      <w:color w:val="auto"/>
                    </w:rPr>
                  </w:pPr>
                  <w:r>
                    <w:rPr>
                      <w:color w:val="auto"/>
                    </w:rPr>
                    <w:t>0.03</w:t>
                  </w:r>
                </w:p>
              </w:tc>
              <w:tc>
                <w:tcPr>
                  <w:tcW w:w="471" w:type="pct"/>
                  <w:noWrap w:val="0"/>
                  <w:vAlign w:val="center"/>
                </w:tcPr>
                <w:p w14:paraId="4B6C32CF">
                  <w:pPr>
                    <w:pStyle w:val="57"/>
                    <w:bidi w:val="0"/>
                    <w:rPr>
                      <w:color w:val="auto"/>
                    </w:rPr>
                  </w:pPr>
                  <w:r>
                    <w:rPr>
                      <w:color w:val="auto"/>
                    </w:rPr>
                    <w:t>380</w:t>
                  </w:r>
                </w:p>
              </w:tc>
            </w:tr>
            <w:tr w14:paraId="257D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44C658C0">
                  <w:pPr>
                    <w:pStyle w:val="57"/>
                    <w:bidi w:val="0"/>
                    <w:rPr>
                      <w:color w:val="auto"/>
                    </w:rPr>
                  </w:pPr>
                </w:p>
              </w:tc>
              <w:tc>
                <w:tcPr>
                  <w:tcW w:w="394" w:type="pct"/>
                  <w:noWrap w:val="0"/>
                  <w:vAlign w:val="center"/>
                </w:tcPr>
                <w:p w14:paraId="2ACF5BD6">
                  <w:pPr>
                    <w:pStyle w:val="57"/>
                    <w:bidi w:val="0"/>
                    <w:rPr>
                      <w:color w:val="auto"/>
                    </w:rPr>
                  </w:pPr>
                  <w:r>
                    <w:rPr>
                      <w:color w:val="auto"/>
                    </w:rPr>
                    <w:t>12.3</w:t>
                  </w:r>
                </w:p>
              </w:tc>
              <w:tc>
                <w:tcPr>
                  <w:tcW w:w="428" w:type="pct"/>
                  <w:noWrap w:val="0"/>
                  <w:vAlign w:val="center"/>
                </w:tcPr>
                <w:p w14:paraId="538B43B1">
                  <w:pPr>
                    <w:pStyle w:val="57"/>
                    <w:bidi w:val="0"/>
                    <w:rPr>
                      <w:color w:val="auto"/>
                    </w:rPr>
                  </w:pPr>
                  <w:r>
                    <w:rPr>
                      <w:color w:val="auto"/>
                    </w:rPr>
                    <w:t>7.2</w:t>
                  </w:r>
                </w:p>
              </w:tc>
              <w:tc>
                <w:tcPr>
                  <w:tcW w:w="311" w:type="pct"/>
                  <w:noWrap w:val="0"/>
                  <w:vAlign w:val="center"/>
                </w:tcPr>
                <w:p w14:paraId="31AF72AA">
                  <w:pPr>
                    <w:pStyle w:val="57"/>
                    <w:bidi w:val="0"/>
                    <w:rPr>
                      <w:color w:val="auto"/>
                    </w:rPr>
                  </w:pPr>
                  <w:r>
                    <w:rPr>
                      <w:color w:val="auto"/>
                    </w:rPr>
                    <w:t>20</w:t>
                  </w:r>
                </w:p>
              </w:tc>
              <w:tc>
                <w:tcPr>
                  <w:tcW w:w="415" w:type="pct"/>
                  <w:noWrap w:val="0"/>
                  <w:vAlign w:val="center"/>
                </w:tcPr>
                <w:p w14:paraId="718385CC">
                  <w:pPr>
                    <w:pStyle w:val="57"/>
                    <w:bidi w:val="0"/>
                    <w:rPr>
                      <w:color w:val="auto"/>
                    </w:rPr>
                  </w:pPr>
                  <w:r>
                    <w:rPr>
                      <w:color w:val="auto"/>
                    </w:rPr>
                    <w:t>24</w:t>
                  </w:r>
                </w:p>
              </w:tc>
              <w:tc>
                <w:tcPr>
                  <w:tcW w:w="463" w:type="pct"/>
                  <w:noWrap w:val="0"/>
                  <w:vAlign w:val="center"/>
                </w:tcPr>
                <w:p w14:paraId="31D281A4">
                  <w:pPr>
                    <w:pStyle w:val="57"/>
                    <w:bidi w:val="0"/>
                    <w:rPr>
                      <w:color w:val="auto"/>
                    </w:rPr>
                  </w:pPr>
                  <w:r>
                    <w:rPr>
                      <w:color w:val="auto"/>
                    </w:rPr>
                    <w:t>6.8</w:t>
                  </w:r>
                </w:p>
              </w:tc>
              <w:tc>
                <w:tcPr>
                  <w:tcW w:w="470" w:type="pct"/>
                  <w:noWrap w:val="0"/>
                  <w:vAlign w:val="center"/>
                </w:tcPr>
                <w:p w14:paraId="2A01EF0B">
                  <w:pPr>
                    <w:pStyle w:val="57"/>
                    <w:bidi w:val="0"/>
                    <w:rPr>
                      <w:color w:val="auto"/>
                    </w:rPr>
                  </w:pPr>
                  <w:r>
                    <w:rPr>
                      <w:color w:val="auto"/>
                    </w:rPr>
                    <w:t>0.617</w:t>
                  </w:r>
                </w:p>
              </w:tc>
              <w:tc>
                <w:tcPr>
                  <w:tcW w:w="402" w:type="pct"/>
                  <w:noWrap w:val="0"/>
                  <w:vAlign w:val="center"/>
                </w:tcPr>
                <w:p w14:paraId="31E50639">
                  <w:pPr>
                    <w:pStyle w:val="57"/>
                    <w:bidi w:val="0"/>
                    <w:rPr>
                      <w:color w:val="auto"/>
                    </w:rPr>
                  </w:pPr>
                  <w:r>
                    <w:rPr>
                      <w:color w:val="auto"/>
                    </w:rPr>
                    <w:t>0.16</w:t>
                  </w:r>
                </w:p>
              </w:tc>
              <w:tc>
                <w:tcPr>
                  <w:tcW w:w="420" w:type="pct"/>
                  <w:noWrap w:val="0"/>
                  <w:vAlign w:val="center"/>
                </w:tcPr>
                <w:p w14:paraId="774853E8">
                  <w:pPr>
                    <w:pStyle w:val="57"/>
                    <w:bidi w:val="0"/>
                    <w:rPr>
                      <w:color w:val="auto"/>
                    </w:rPr>
                  </w:pPr>
                  <w:r>
                    <w:rPr>
                      <w:color w:val="auto"/>
                    </w:rPr>
                    <w:t>1.79</w:t>
                  </w:r>
                </w:p>
              </w:tc>
              <w:tc>
                <w:tcPr>
                  <w:tcW w:w="436" w:type="pct"/>
                  <w:noWrap w:val="0"/>
                  <w:vAlign w:val="center"/>
                </w:tcPr>
                <w:p w14:paraId="2B97FC30">
                  <w:pPr>
                    <w:pStyle w:val="57"/>
                    <w:bidi w:val="0"/>
                    <w:rPr>
                      <w:color w:val="auto"/>
                    </w:rPr>
                  </w:pPr>
                  <w:r>
                    <w:rPr>
                      <w:color w:val="auto"/>
                    </w:rPr>
                    <w:t>6.71</w:t>
                  </w:r>
                </w:p>
              </w:tc>
              <w:tc>
                <w:tcPr>
                  <w:tcW w:w="385" w:type="pct"/>
                  <w:noWrap w:val="0"/>
                  <w:vAlign w:val="center"/>
                </w:tcPr>
                <w:p w14:paraId="42A4CA8E">
                  <w:pPr>
                    <w:pStyle w:val="57"/>
                    <w:bidi w:val="0"/>
                    <w:rPr>
                      <w:color w:val="auto"/>
                    </w:rPr>
                  </w:pPr>
                  <w:r>
                    <w:rPr>
                      <w:color w:val="auto"/>
                    </w:rPr>
                    <w:t>0.02</w:t>
                  </w:r>
                </w:p>
              </w:tc>
              <w:tc>
                <w:tcPr>
                  <w:tcW w:w="471" w:type="pct"/>
                  <w:noWrap w:val="0"/>
                  <w:vAlign w:val="center"/>
                </w:tcPr>
                <w:p w14:paraId="41DCE8E8">
                  <w:pPr>
                    <w:pStyle w:val="57"/>
                    <w:bidi w:val="0"/>
                    <w:rPr>
                      <w:color w:val="auto"/>
                    </w:rPr>
                  </w:pPr>
                  <w:r>
                    <w:rPr>
                      <w:color w:val="auto"/>
                    </w:rPr>
                    <w:t>390</w:t>
                  </w:r>
                </w:p>
              </w:tc>
            </w:tr>
            <w:tr w14:paraId="0A78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restart"/>
                  <w:noWrap w:val="0"/>
                  <w:vAlign w:val="center"/>
                </w:tcPr>
                <w:p w14:paraId="6D893EC1">
                  <w:pPr>
                    <w:pStyle w:val="57"/>
                    <w:bidi w:val="0"/>
                    <w:rPr>
                      <w:color w:val="auto"/>
                    </w:rPr>
                  </w:pPr>
                  <w:r>
                    <w:rPr>
                      <w:color w:val="auto"/>
                    </w:rPr>
                    <w:t>W2</w:t>
                  </w:r>
                </w:p>
              </w:tc>
              <w:tc>
                <w:tcPr>
                  <w:tcW w:w="394" w:type="pct"/>
                  <w:noWrap w:val="0"/>
                  <w:vAlign w:val="center"/>
                </w:tcPr>
                <w:p w14:paraId="7A3D57FD">
                  <w:pPr>
                    <w:pStyle w:val="57"/>
                    <w:bidi w:val="0"/>
                    <w:rPr>
                      <w:color w:val="auto"/>
                    </w:rPr>
                  </w:pPr>
                  <w:r>
                    <w:rPr>
                      <w:color w:val="auto"/>
                    </w:rPr>
                    <w:t>12.1</w:t>
                  </w:r>
                </w:p>
              </w:tc>
              <w:tc>
                <w:tcPr>
                  <w:tcW w:w="428" w:type="pct"/>
                  <w:noWrap w:val="0"/>
                  <w:vAlign w:val="center"/>
                </w:tcPr>
                <w:p w14:paraId="7DAD82BF">
                  <w:pPr>
                    <w:pStyle w:val="57"/>
                    <w:bidi w:val="0"/>
                    <w:rPr>
                      <w:color w:val="auto"/>
                    </w:rPr>
                  </w:pPr>
                  <w:r>
                    <w:rPr>
                      <w:color w:val="auto"/>
                    </w:rPr>
                    <w:t>7.2</w:t>
                  </w:r>
                </w:p>
              </w:tc>
              <w:tc>
                <w:tcPr>
                  <w:tcW w:w="311" w:type="pct"/>
                  <w:noWrap w:val="0"/>
                  <w:vAlign w:val="center"/>
                </w:tcPr>
                <w:p w14:paraId="0F11EF9D">
                  <w:pPr>
                    <w:pStyle w:val="57"/>
                    <w:bidi w:val="0"/>
                    <w:rPr>
                      <w:color w:val="auto"/>
                    </w:rPr>
                  </w:pPr>
                  <w:r>
                    <w:rPr>
                      <w:color w:val="auto"/>
                    </w:rPr>
                    <w:t>22</w:t>
                  </w:r>
                </w:p>
              </w:tc>
              <w:tc>
                <w:tcPr>
                  <w:tcW w:w="415" w:type="pct"/>
                  <w:noWrap w:val="0"/>
                  <w:vAlign w:val="center"/>
                </w:tcPr>
                <w:p w14:paraId="673D73AD">
                  <w:pPr>
                    <w:pStyle w:val="57"/>
                    <w:bidi w:val="0"/>
                    <w:rPr>
                      <w:color w:val="auto"/>
                    </w:rPr>
                  </w:pPr>
                  <w:r>
                    <w:rPr>
                      <w:color w:val="auto"/>
                    </w:rPr>
                    <w:t>24</w:t>
                  </w:r>
                </w:p>
              </w:tc>
              <w:tc>
                <w:tcPr>
                  <w:tcW w:w="463" w:type="pct"/>
                  <w:noWrap w:val="0"/>
                  <w:vAlign w:val="center"/>
                </w:tcPr>
                <w:p w14:paraId="11FD18C2">
                  <w:pPr>
                    <w:pStyle w:val="57"/>
                    <w:bidi w:val="0"/>
                    <w:rPr>
                      <w:color w:val="auto"/>
                    </w:rPr>
                  </w:pPr>
                  <w:r>
                    <w:rPr>
                      <w:color w:val="auto"/>
                    </w:rPr>
                    <w:t>6.9</w:t>
                  </w:r>
                </w:p>
              </w:tc>
              <w:tc>
                <w:tcPr>
                  <w:tcW w:w="470" w:type="pct"/>
                  <w:noWrap w:val="0"/>
                  <w:vAlign w:val="center"/>
                </w:tcPr>
                <w:p w14:paraId="0F0C6915">
                  <w:pPr>
                    <w:pStyle w:val="57"/>
                    <w:bidi w:val="0"/>
                    <w:rPr>
                      <w:color w:val="auto"/>
                    </w:rPr>
                  </w:pPr>
                  <w:r>
                    <w:rPr>
                      <w:color w:val="auto"/>
                    </w:rPr>
                    <w:t>0.647</w:t>
                  </w:r>
                </w:p>
              </w:tc>
              <w:tc>
                <w:tcPr>
                  <w:tcW w:w="402" w:type="pct"/>
                  <w:noWrap w:val="0"/>
                  <w:vAlign w:val="center"/>
                </w:tcPr>
                <w:p w14:paraId="3836B99A">
                  <w:pPr>
                    <w:pStyle w:val="57"/>
                    <w:bidi w:val="0"/>
                    <w:rPr>
                      <w:color w:val="auto"/>
                    </w:rPr>
                  </w:pPr>
                  <w:r>
                    <w:rPr>
                      <w:color w:val="auto"/>
                    </w:rPr>
                    <w:t>0.16</w:t>
                  </w:r>
                </w:p>
              </w:tc>
              <w:tc>
                <w:tcPr>
                  <w:tcW w:w="420" w:type="pct"/>
                  <w:noWrap w:val="0"/>
                  <w:vAlign w:val="center"/>
                </w:tcPr>
                <w:p w14:paraId="6E97869E">
                  <w:pPr>
                    <w:pStyle w:val="57"/>
                    <w:bidi w:val="0"/>
                    <w:rPr>
                      <w:color w:val="auto"/>
                    </w:rPr>
                  </w:pPr>
                  <w:r>
                    <w:rPr>
                      <w:color w:val="auto"/>
                    </w:rPr>
                    <w:t>1.67</w:t>
                  </w:r>
                </w:p>
              </w:tc>
              <w:tc>
                <w:tcPr>
                  <w:tcW w:w="436" w:type="pct"/>
                  <w:noWrap w:val="0"/>
                  <w:vAlign w:val="center"/>
                </w:tcPr>
                <w:p w14:paraId="697E1BCE">
                  <w:pPr>
                    <w:pStyle w:val="57"/>
                    <w:bidi w:val="0"/>
                    <w:rPr>
                      <w:color w:val="auto"/>
                    </w:rPr>
                  </w:pPr>
                  <w:r>
                    <w:rPr>
                      <w:color w:val="auto"/>
                    </w:rPr>
                    <w:t>7.22</w:t>
                  </w:r>
                </w:p>
              </w:tc>
              <w:tc>
                <w:tcPr>
                  <w:tcW w:w="385" w:type="pct"/>
                  <w:noWrap w:val="0"/>
                  <w:vAlign w:val="center"/>
                </w:tcPr>
                <w:p w14:paraId="4EC4993D">
                  <w:pPr>
                    <w:pStyle w:val="57"/>
                    <w:bidi w:val="0"/>
                    <w:rPr>
                      <w:color w:val="auto"/>
                    </w:rPr>
                  </w:pPr>
                  <w:r>
                    <w:rPr>
                      <w:color w:val="auto"/>
                    </w:rPr>
                    <w:t>0.03</w:t>
                  </w:r>
                </w:p>
              </w:tc>
              <w:tc>
                <w:tcPr>
                  <w:tcW w:w="471" w:type="pct"/>
                  <w:noWrap w:val="0"/>
                  <w:vAlign w:val="center"/>
                </w:tcPr>
                <w:p w14:paraId="59E7B906">
                  <w:pPr>
                    <w:pStyle w:val="57"/>
                    <w:bidi w:val="0"/>
                    <w:rPr>
                      <w:color w:val="auto"/>
                    </w:rPr>
                  </w:pPr>
                  <w:r>
                    <w:rPr>
                      <w:color w:val="auto"/>
                    </w:rPr>
                    <w:t>420</w:t>
                  </w:r>
                </w:p>
              </w:tc>
            </w:tr>
            <w:tr w14:paraId="636B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2497EB9B">
                  <w:pPr>
                    <w:pStyle w:val="57"/>
                    <w:bidi w:val="0"/>
                    <w:rPr>
                      <w:color w:val="auto"/>
                    </w:rPr>
                  </w:pPr>
                </w:p>
              </w:tc>
              <w:tc>
                <w:tcPr>
                  <w:tcW w:w="394" w:type="pct"/>
                  <w:noWrap w:val="0"/>
                  <w:vAlign w:val="center"/>
                </w:tcPr>
                <w:p w14:paraId="143BCB53">
                  <w:pPr>
                    <w:pStyle w:val="57"/>
                    <w:bidi w:val="0"/>
                    <w:rPr>
                      <w:color w:val="auto"/>
                    </w:rPr>
                  </w:pPr>
                  <w:r>
                    <w:rPr>
                      <w:color w:val="auto"/>
                    </w:rPr>
                    <w:t>12.2</w:t>
                  </w:r>
                </w:p>
              </w:tc>
              <w:tc>
                <w:tcPr>
                  <w:tcW w:w="428" w:type="pct"/>
                  <w:noWrap w:val="0"/>
                  <w:vAlign w:val="center"/>
                </w:tcPr>
                <w:p w14:paraId="084BFC38">
                  <w:pPr>
                    <w:pStyle w:val="57"/>
                    <w:bidi w:val="0"/>
                    <w:rPr>
                      <w:color w:val="auto"/>
                    </w:rPr>
                  </w:pPr>
                  <w:r>
                    <w:rPr>
                      <w:color w:val="auto"/>
                    </w:rPr>
                    <w:t>7.3</w:t>
                  </w:r>
                </w:p>
              </w:tc>
              <w:tc>
                <w:tcPr>
                  <w:tcW w:w="311" w:type="pct"/>
                  <w:noWrap w:val="0"/>
                  <w:vAlign w:val="center"/>
                </w:tcPr>
                <w:p w14:paraId="02E48CA3">
                  <w:pPr>
                    <w:pStyle w:val="57"/>
                    <w:bidi w:val="0"/>
                    <w:rPr>
                      <w:color w:val="auto"/>
                    </w:rPr>
                  </w:pPr>
                  <w:r>
                    <w:rPr>
                      <w:color w:val="auto"/>
                    </w:rPr>
                    <w:t>21</w:t>
                  </w:r>
                </w:p>
              </w:tc>
              <w:tc>
                <w:tcPr>
                  <w:tcW w:w="415" w:type="pct"/>
                  <w:noWrap w:val="0"/>
                  <w:vAlign w:val="center"/>
                </w:tcPr>
                <w:p w14:paraId="48FF8A14">
                  <w:pPr>
                    <w:pStyle w:val="57"/>
                    <w:bidi w:val="0"/>
                    <w:rPr>
                      <w:color w:val="auto"/>
                    </w:rPr>
                  </w:pPr>
                  <w:r>
                    <w:rPr>
                      <w:color w:val="auto"/>
                    </w:rPr>
                    <w:t>25</w:t>
                  </w:r>
                </w:p>
              </w:tc>
              <w:tc>
                <w:tcPr>
                  <w:tcW w:w="463" w:type="pct"/>
                  <w:noWrap w:val="0"/>
                  <w:vAlign w:val="center"/>
                </w:tcPr>
                <w:p w14:paraId="4F49E9F3">
                  <w:pPr>
                    <w:pStyle w:val="57"/>
                    <w:bidi w:val="0"/>
                    <w:rPr>
                      <w:color w:val="auto"/>
                    </w:rPr>
                  </w:pPr>
                  <w:r>
                    <w:rPr>
                      <w:color w:val="auto"/>
                    </w:rPr>
                    <w:t>7.1</w:t>
                  </w:r>
                </w:p>
              </w:tc>
              <w:tc>
                <w:tcPr>
                  <w:tcW w:w="470" w:type="pct"/>
                  <w:noWrap w:val="0"/>
                  <w:vAlign w:val="center"/>
                </w:tcPr>
                <w:p w14:paraId="22ECFA64">
                  <w:pPr>
                    <w:pStyle w:val="57"/>
                    <w:bidi w:val="0"/>
                    <w:rPr>
                      <w:color w:val="auto"/>
                    </w:rPr>
                  </w:pPr>
                  <w:r>
                    <w:rPr>
                      <w:color w:val="auto"/>
                    </w:rPr>
                    <w:t>0.623</w:t>
                  </w:r>
                </w:p>
              </w:tc>
              <w:tc>
                <w:tcPr>
                  <w:tcW w:w="402" w:type="pct"/>
                  <w:noWrap w:val="0"/>
                  <w:vAlign w:val="center"/>
                </w:tcPr>
                <w:p w14:paraId="104C44DB">
                  <w:pPr>
                    <w:pStyle w:val="57"/>
                    <w:bidi w:val="0"/>
                    <w:rPr>
                      <w:color w:val="auto"/>
                    </w:rPr>
                  </w:pPr>
                  <w:r>
                    <w:rPr>
                      <w:color w:val="auto"/>
                    </w:rPr>
                    <w:t>0.17</w:t>
                  </w:r>
                </w:p>
              </w:tc>
              <w:tc>
                <w:tcPr>
                  <w:tcW w:w="420" w:type="pct"/>
                  <w:noWrap w:val="0"/>
                  <w:vAlign w:val="center"/>
                </w:tcPr>
                <w:p w14:paraId="1B2E8C7B">
                  <w:pPr>
                    <w:pStyle w:val="57"/>
                    <w:bidi w:val="0"/>
                    <w:rPr>
                      <w:color w:val="auto"/>
                    </w:rPr>
                  </w:pPr>
                  <w:r>
                    <w:rPr>
                      <w:color w:val="auto"/>
                    </w:rPr>
                    <w:t>1.71</w:t>
                  </w:r>
                </w:p>
              </w:tc>
              <w:tc>
                <w:tcPr>
                  <w:tcW w:w="436" w:type="pct"/>
                  <w:noWrap w:val="0"/>
                  <w:vAlign w:val="center"/>
                </w:tcPr>
                <w:p w14:paraId="1421638A">
                  <w:pPr>
                    <w:pStyle w:val="57"/>
                    <w:bidi w:val="0"/>
                    <w:rPr>
                      <w:color w:val="auto"/>
                    </w:rPr>
                  </w:pPr>
                  <w:r>
                    <w:rPr>
                      <w:color w:val="auto"/>
                    </w:rPr>
                    <w:t>7.16</w:t>
                  </w:r>
                </w:p>
              </w:tc>
              <w:tc>
                <w:tcPr>
                  <w:tcW w:w="385" w:type="pct"/>
                  <w:noWrap w:val="0"/>
                  <w:vAlign w:val="center"/>
                </w:tcPr>
                <w:p w14:paraId="667243A4">
                  <w:pPr>
                    <w:pStyle w:val="57"/>
                    <w:bidi w:val="0"/>
                    <w:rPr>
                      <w:color w:val="auto"/>
                    </w:rPr>
                  </w:pPr>
                  <w:r>
                    <w:rPr>
                      <w:color w:val="auto"/>
                    </w:rPr>
                    <w:t>0.02</w:t>
                  </w:r>
                </w:p>
              </w:tc>
              <w:tc>
                <w:tcPr>
                  <w:tcW w:w="471" w:type="pct"/>
                  <w:noWrap w:val="0"/>
                  <w:vAlign w:val="center"/>
                </w:tcPr>
                <w:p w14:paraId="37D34EF0">
                  <w:pPr>
                    <w:pStyle w:val="57"/>
                    <w:bidi w:val="0"/>
                    <w:rPr>
                      <w:color w:val="auto"/>
                    </w:rPr>
                  </w:pPr>
                  <w:r>
                    <w:rPr>
                      <w:color w:val="auto"/>
                    </w:rPr>
                    <w:t>420</w:t>
                  </w:r>
                </w:p>
              </w:tc>
            </w:tr>
            <w:tr w14:paraId="6CFB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5EF6AC11">
                  <w:pPr>
                    <w:pStyle w:val="57"/>
                    <w:bidi w:val="0"/>
                    <w:rPr>
                      <w:color w:val="auto"/>
                    </w:rPr>
                  </w:pPr>
                </w:p>
              </w:tc>
              <w:tc>
                <w:tcPr>
                  <w:tcW w:w="394" w:type="pct"/>
                  <w:noWrap w:val="0"/>
                  <w:vAlign w:val="center"/>
                </w:tcPr>
                <w:p w14:paraId="446CFC2F">
                  <w:pPr>
                    <w:pStyle w:val="57"/>
                    <w:bidi w:val="0"/>
                    <w:rPr>
                      <w:color w:val="auto"/>
                    </w:rPr>
                  </w:pPr>
                  <w:r>
                    <w:rPr>
                      <w:color w:val="auto"/>
                    </w:rPr>
                    <w:t>12.3</w:t>
                  </w:r>
                </w:p>
              </w:tc>
              <w:tc>
                <w:tcPr>
                  <w:tcW w:w="428" w:type="pct"/>
                  <w:noWrap w:val="0"/>
                  <w:vAlign w:val="center"/>
                </w:tcPr>
                <w:p w14:paraId="1EE5D3D7">
                  <w:pPr>
                    <w:pStyle w:val="57"/>
                    <w:bidi w:val="0"/>
                    <w:rPr>
                      <w:color w:val="auto"/>
                    </w:rPr>
                  </w:pPr>
                  <w:r>
                    <w:rPr>
                      <w:color w:val="auto"/>
                    </w:rPr>
                    <w:t>7.2</w:t>
                  </w:r>
                </w:p>
              </w:tc>
              <w:tc>
                <w:tcPr>
                  <w:tcW w:w="311" w:type="pct"/>
                  <w:noWrap w:val="0"/>
                  <w:vAlign w:val="center"/>
                </w:tcPr>
                <w:p w14:paraId="25D0123D">
                  <w:pPr>
                    <w:pStyle w:val="57"/>
                    <w:bidi w:val="0"/>
                    <w:rPr>
                      <w:color w:val="auto"/>
                    </w:rPr>
                  </w:pPr>
                  <w:r>
                    <w:rPr>
                      <w:color w:val="auto"/>
                    </w:rPr>
                    <w:t>23</w:t>
                  </w:r>
                </w:p>
              </w:tc>
              <w:tc>
                <w:tcPr>
                  <w:tcW w:w="415" w:type="pct"/>
                  <w:noWrap w:val="0"/>
                  <w:vAlign w:val="center"/>
                </w:tcPr>
                <w:p w14:paraId="1E665DAB">
                  <w:pPr>
                    <w:pStyle w:val="57"/>
                    <w:bidi w:val="0"/>
                    <w:rPr>
                      <w:color w:val="auto"/>
                    </w:rPr>
                  </w:pPr>
                  <w:r>
                    <w:rPr>
                      <w:color w:val="auto"/>
                    </w:rPr>
                    <w:t>24</w:t>
                  </w:r>
                </w:p>
              </w:tc>
              <w:tc>
                <w:tcPr>
                  <w:tcW w:w="463" w:type="pct"/>
                  <w:noWrap w:val="0"/>
                  <w:vAlign w:val="center"/>
                </w:tcPr>
                <w:p w14:paraId="05103388">
                  <w:pPr>
                    <w:pStyle w:val="57"/>
                    <w:bidi w:val="0"/>
                    <w:rPr>
                      <w:color w:val="auto"/>
                    </w:rPr>
                  </w:pPr>
                  <w:r>
                    <w:rPr>
                      <w:color w:val="auto"/>
                    </w:rPr>
                    <w:t>7.0</w:t>
                  </w:r>
                </w:p>
              </w:tc>
              <w:tc>
                <w:tcPr>
                  <w:tcW w:w="470" w:type="pct"/>
                  <w:noWrap w:val="0"/>
                  <w:vAlign w:val="center"/>
                </w:tcPr>
                <w:p w14:paraId="47FD506D">
                  <w:pPr>
                    <w:pStyle w:val="57"/>
                    <w:bidi w:val="0"/>
                    <w:rPr>
                      <w:color w:val="auto"/>
                    </w:rPr>
                  </w:pPr>
                  <w:r>
                    <w:rPr>
                      <w:color w:val="auto"/>
                    </w:rPr>
                    <w:t>0.628</w:t>
                  </w:r>
                </w:p>
              </w:tc>
              <w:tc>
                <w:tcPr>
                  <w:tcW w:w="402" w:type="pct"/>
                  <w:noWrap w:val="0"/>
                  <w:vAlign w:val="center"/>
                </w:tcPr>
                <w:p w14:paraId="066A33BB">
                  <w:pPr>
                    <w:pStyle w:val="57"/>
                    <w:bidi w:val="0"/>
                    <w:rPr>
                      <w:color w:val="auto"/>
                    </w:rPr>
                  </w:pPr>
                  <w:r>
                    <w:rPr>
                      <w:color w:val="auto"/>
                    </w:rPr>
                    <w:t>0.15</w:t>
                  </w:r>
                </w:p>
              </w:tc>
              <w:tc>
                <w:tcPr>
                  <w:tcW w:w="420" w:type="pct"/>
                  <w:noWrap w:val="0"/>
                  <w:vAlign w:val="center"/>
                </w:tcPr>
                <w:p w14:paraId="0703E83A">
                  <w:pPr>
                    <w:pStyle w:val="57"/>
                    <w:bidi w:val="0"/>
                    <w:rPr>
                      <w:color w:val="auto"/>
                    </w:rPr>
                  </w:pPr>
                  <w:r>
                    <w:rPr>
                      <w:color w:val="auto"/>
                    </w:rPr>
                    <w:t>1.68</w:t>
                  </w:r>
                </w:p>
              </w:tc>
              <w:tc>
                <w:tcPr>
                  <w:tcW w:w="436" w:type="pct"/>
                  <w:noWrap w:val="0"/>
                  <w:vAlign w:val="center"/>
                </w:tcPr>
                <w:p w14:paraId="68BF6316">
                  <w:pPr>
                    <w:pStyle w:val="57"/>
                    <w:bidi w:val="0"/>
                    <w:rPr>
                      <w:color w:val="auto"/>
                    </w:rPr>
                  </w:pPr>
                  <w:r>
                    <w:rPr>
                      <w:color w:val="auto"/>
                    </w:rPr>
                    <w:t>6.94</w:t>
                  </w:r>
                </w:p>
              </w:tc>
              <w:tc>
                <w:tcPr>
                  <w:tcW w:w="385" w:type="pct"/>
                  <w:noWrap w:val="0"/>
                  <w:vAlign w:val="center"/>
                </w:tcPr>
                <w:p w14:paraId="5C8EE39B">
                  <w:pPr>
                    <w:pStyle w:val="57"/>
                    <w:bidi w:val="0"/>
                    <w:rPr>
                      <w:color w:val="auto"/>
                    </w:rPr>
                  </w:pPr>
                  <w:r>
                    <w:rPr>
                      <w:color w:val="auto"/>
                    </w:rPr>
                    <w:t>0.01</w:t>
                  </w:r>
                </w:p>
              </w:tc>
              <w:tc>
                <w:tcPr>
                  <w:tcW w:w="471" w:type="pct"/>
                  <w:noWrap w:val="0"/>
                  <w:vAlign w:val="center"/>
                </w:tcPr>
                <w:p w14:paraId="0A493C0D">
                  <w:pPr>
                    <w:pStyle w:val="57"/>
                    <w:bidi w:val="0"/>
                    <w:rPr>
                      <w:color w:val="auto"/>
                    </w:rPr>
                  </w:pPr>
                  <w:r>
                    <w:rPr>
                      <w:color w:val="auto"/>
                    </w:rPr>
                    <w:t>440</w:t>
                  </w:r>
                </w:p>
              </w:tc>
            </w:tr>
            <w:tr w14:paraId="291B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restart"/>
                  <w:noWrap w:val="0"/>
                  <w:vAlign w:val="center"/>
                </w:tcPr>
                <w:p w14:paraId="06EB33CE">
                  <w:pPr>
                    <w:pStyle w:val="57"/>
                    <w:bidi w:val="0"/>
                    <w:rPr>
                      <w:color w:val="auto"/>
                    </w:rPr>
                  </w:pPr>
                  <w:r>
                    <w:rPr>
                      <w:color w:val="auto"/>
                    </w:rPr>
                    <w:t>W3</w:t>
                  </w:r>
                </w:p>
              </w:tc>
              <w:tc>
                <w:tcPr>
                  <w:tcW w:w="394" w:type="pct"/>
                  <w:noWrap w:val="0"/>
                  <w:vAlign w:val="center"/>
                </w:tcPr>
                <w:p w14:paraId="79ADCE04">
                  <w:pPr>
                    <w:pStyle w:val="57"/>
                    <w:bidi w:val="0"/>
                    <w:rPr>
                      <w:color w:val="auto"/>
                    </w:rPr>
                  </w:pPr>
                  <w:r>
                    <w:rPr>
                      <w:color w:val="auto"/>
                    </w:rPr>
                    <w:t>12.1</w:t>
                  </w:r>
                </w:p>
              </w:tc>
              <w:tc>
                <w:tcPr>
                  <w:tcW w:w="428" w:type="pct"/>
                  <w:noWrap w:val="0"/>
                  <w:vAlign w:val="center"/>
                </w:tcPr>
                <w:p w14:paraId="5C575910">
                  <w:pPr>
                    <w:pStyle w:val="57"/>
                    <w:bidi w:val="0"/>
                    <w:rPr>
                      <w:color w:val="auto"/>
                    </w:rPr>
                  </w:pPr>
                  <w:r>
                    <w:rPr>
                      <w:color w:val="auto"/>
                    </w:rPr>
                    <w:t>7.0</w:t>
                  </w:r>
                </w:p>
              </w:tc>
              <w:tc>
                <w:tcPr>
                  <w:tcW w:w="311" w:type="pct"/>
                  <w:noWrap w:val="0"/>
                  <w:vAlign w:val="center"/>
                </w:tcPr>
                <w:p w14:paraId="636E89DE">
                  <w:pPr>
                    <w:pStyle w:val="57"/>
                    <w:bidi w:val="0"/>
                    <w:rPr>
                      <w:color w:val="auto"/>
                    </w:rPr>
                  </w:pPr>
                  <w:r>
                    <w:rPr>
                      <w:color w:val="auto"/>
                    </w:rPr>
                    <w:t>20</w:t>
                  </w:r>
                </w:p>
              </w:tc>
              <w:tc>
                <w:tcPr>
                  <w:tcW w:w="415" w:type="pct"/>
                  <w:noWrap w:val="0"/>
                  <w:vAlign w:val="center"/>
                </w:tcPr>
                <w:p w14:paraId="26C634B0">
                  <w:pPr>
                    <w:pStyle w:val="57"/>
                    <w:bidi w:val="0"/>
                    <w:rPr>
                      <w:color w:val="auto"/>
                    </w:rPr>
                  </w:pPr>
                  <w:r>
                    <w:rPr>
                      <w:color w:val="auto"/>
                    </w:rPr>
                    <w:t>26</w:t>
                  </w:r>
                </w:p>
              </w:tc>
              <w:tc>
                <w:tcPr>
                  <w:tcW w:w="463" w:type="pct"/>
                  <w:noWrap w:val="0"/>
                  <w:vAlign w:val="center"/>
                </w:tcPr>
                <w:p w14:paraId="33D64D3A">
                  <w:pPr>
                    <w:pStyle w:val="57"/>
                    <w:bidi w:val="0"/>
                    <w:rPr>
                      <w:color w:val="auto"/>
                    </w:rPr>
                  </w:pPr>
                  <w:r>
                    <w:rPr>
                      <w:color w:val="auto"/>
                    </w:rPr>
                    <w:t>6.8</w:t>
                  </w:r>
                </w:p>
              </w:tc>
              <w:tc>
                <w:tcPr>
                  <w:tcW w:w="470" w:type="pct"/>
                  <w:noWrap w:val="0"/>
                  <w:vAlign w:val="center"/>
                </w:tcPr>
                <w:p w14:paraId="0B708680">
                  <w:pPr>
                    <w:pStyle w:val="57"/>
                    <w:bidi w:val="0"/>
                    <w:rPr>
                      <w:color w:val="auto"/>
                    </w:rPr>
                  </w:pPr>
                  <w:r>
                    <w:rPr>
                      <w:color w:val="auto"/>
                    </w:rPr>
                    <w:t>0.614</w:t>
                  </w:r>
                </w:p>
              </w:tc>
              <w:tc>
                <w:tcPr>
                  <w:tcW w:w="402" w:type="pct"/>
                  <w:noWrap w:val="0"/>
                  <w:vAlign w:val="center"/>
                </w:tcPr>
                <w:p w14:paraId="66E7545D">
                  <w:pPr>
                    <w:pStyle w:val="57"/>
                    <w:bidi w:val="0"/>
                    <w:rPr>
                      <w:color w:val="auto"/>
                    </w:rPr>
                  </w:pPr>
                  <w:r>
                    <w:rPr>
                      <w:color w:val="auto"/>
                    </w:rPr>
                    <w:t>0.16</w:t>
                  </w:r>
                </w:p>
              </w:tc>
              <w:tc>
                <w:tcPr>
                  <w:tcW w:w="420" w:type="pct"/>
                  <w:noWrap w:val="0"/>
                  <w:vAlign w:val="center"/>
                </w:tcPr>
                <w:p w14:paraId="308813CB">
                  <w:pPr>
                    <w:pStyle w:val="57"/>
                    <w:bidi w:val="0"/>
                    <w:rPr>
                      <w:color w:val="auto"/>
                    </w:rPr>
                  </w:pPr>
                  <w:r>
                    <w:rPr>
                      <w:color w:val="auto"/>
                    </w:rPr>
                    <w:t>1.79</w:t>
                  </w:r>
                </w:p>
              </w:tc>
              <w:tc>
                <w:tcPr>
                  <w:tcW w:w="436" w:type="pct"/>
                  <w:noWrap w:val="0"/>
                  <w:vAlign w:val="center"/>
                </w:tcPr>
                <w:p w14:paraId="3D9F91EF">
                  <w:pPr>
                    <w:pStyle w:val="57"/>
                    <w:bidi w:val="0"/>
                    <w:rPr>
                      <w:color w:val="auto"/>
                    </w:rPr>
                  </w:pPr>
                  <w:r>
                    <w:rPr>
                      <w:color w:val="auto"/>
                    </w:rPr>
                    <w:t>6.44</w:t>
                  </w:r>
                </w:p>
              </w:tc>
              <w:tc>
                <w:tcPr>
                  <w:tcW w:w="385" w:type="pct"/>
                  <w:noWrap w:val="0"/>
                  <w:vAlign w:val="center"/>
                </w:tcPr>
                <w:p w14:paraId="26CF9989">
                  <w:pPr>
                    <w:pStyle w:val="57"/>
                    <w:bidi w:val="0"/>
                    <w:rPr>
                      <w:color w:val="auto"/>
                    </w:rPr>
                  </w:pPr>
                  <w:r>
                    <w:rPr>
                      <w:color w:val="auto"/>
                    </w:rPr>
                    <w:t>0.03</w:t>
                  </w:r>
                </w:p>
              </w:tc>
              <w:tc>
                <w:tcPr>
                  <w:tcW w:w="471" w:type="pct"/>
                  <w:noWrap w:val="0"/>
                  <w:vAlign w:val="center"/>
                </w:tcPr>
                <w:p w14:paraId="068CB0C1">
                  <w:pPr>
                    <w:pStyle w:val="57"/>
                    <w:bidi w:val="0"/>
                    <w:rPr>
                      <w:color w:val="auto"/>
                    </w:rPr>
                  </w:pPr>
                  <w:r>
                    <w:rPr>
                      <w:color w:val="auto"/>
                    </w:rPr>
                    <w:t>540</w:t>
                  </w:r>
                </w:p>
              </w:tc>
            </w:tr>
            <w:tr w14:paraId="5608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29B1E91A">
                  <w:pPr>
                    <w:pStyle w:val="57"/>
                    <w:bidi w:val="0"/>
                    <w:rPr>
                      <w:color w:val="auto"/>
                    </w:rPr>
                  </w:pPr>
                </w:p>
              </w:tc>
              <w:tc>
                <w:tcPr>
                  <w:tcW w:w="394" w:type="pct"/>
                  <w:noWrap w:val="0"/>
                  <w:vAlign w:val="center"/>
                </w:tcPr>
                <w:p w14:paraId="2C82C802">
                  <w:pPr>
                    <w:pStyle w:val="57"/>
                    <w:bidi w:val="0"/>
                    <w:rPr>
                      <w:color w:val="auto"/>
                    </w:rPr>
                  </w:pPr>
                  <w:r>
                    <w:rPr>
                      <w:color w:val="auto"/>
                    </w:rPr>
                    <w:t>12.2</w:t>
                  </w:r>
                </w:p>
              </w:tc>
              <w:tc>
                <w:tcPr>
                  <w:tcW w:w="428" w:type="pct"/>
                  <w:noWrap w:val="0"/>
                  <w:vAlign w:val="center"/>
                </w:tcPr>
                <w:p w14:paraId="0572C614">
                  <w:pPr>
                    <w:pStyle w:val="57"/>
                    <w:bidi w:val="0"/>
                    <w:rPr>
                      <w:color w:val="auto"/>
                    </w:rPr>
                  </w:pPr>
                  <w:r>
                    <w:rPr>
                      <w:color w:val="auto"/>
                    </w:rPr>
                    <w:t>7.2</w:t>
                  </w:r>
                </w:p>
              </w:tc>
              <w:tc>
                <w:tcPr>
                  <w:tcW w:w="311" w:type="pct"/>
                  <w:noWrap w:val="0"/>
                  <w:vAlign w:val="center"/>
                </w:tcPr>
                <w:p w14:paraId="4066C05A">
                  <w:pPr>
                    <w:pStyle w:val="57"/>
                    <w:bidi w:val="0"/>
                    <w:rPr>
                      <w:color w:val="auto"/>
                    </w:rPr>
                  </w:pPr>
                  <w:r>
                    <w:rPr>
                      <w:color w:val="auto"/>
                    </w:rPr>
                    <w:t>22</w:t>
                  </w:r>
                </w:p>
              </w:tc>
              <w:tc>
                <w:tcPr>
                  <w:tcW w:w="415" w:type="pct"/>
                  <w:noWrap w:val="0"/>
                  <w:vAlign w:val="center"/>
                </w:tcPr>
                <w:p w14:paraId="7E11C13A">
                  <w:pPr>
                    <w:pStyle w:val="57"/>
                    <w:bidi w:val="0"/>
                    <w:rPr>
                      <w:color w:val="auto"/>
                    </w:rPr>
                  </w:pPr>
                  <w:r>
                    <w:rPr>
                      <w:color w:val="auto"/>
                    </w:rPr>
                    <w:t>25</w:t>
                  </w:r>
                </w:p>
              </w:tc>
              <w:tc>
                <w:tcPr>
                  <w:tcW w:w="463" w:type="pct"/>
                  <w:noWrap w:val="0"/>
                  <w:vAlign w:val="center"/>
                </w:tcPr>
                <w:p w14:paraId="54DDABC3">
                  <w:pPr>
                    <w:pStyle w:val="57"/>
                    <w:bidi w:val="0"/>
                    <w:rPr>
                      <w:color w:val="auto"/>
                    </w:rPr>
                  </w:pPr>
                  <w:r>
                    <w:rPr>
                      <w:color w:val="auto"/>
                    </w:rPr>
                    <w:t>6.6</w:t>
                  </w:r>
                </w:p>
              </w:tc>
              <w:tc>
                <w:tcPr>
                  <w:tcW w:w="470" w:type="pct"/>
                  <w:noWrap w:val="0"/>
                  <w:vAlign w:val="center"/>
                </w:tcPr>
                <w:p w14:paraId="76EBDB8A">
                  <w:pPr>
                    <w:pStyle w:val="57"/>
                    <w:bidi w:val="0"/>
                    <w:rPr>
                      <w:color w:val="auto"/>
                    </w:rPr>
                  </w:pPr>
                  <w:r>
                    <w:rPr>
                      <w:color w:val="auto"/>
                    </w:rPr>
                    <w:t>0.626</w:t>
                  </w:r>
                </w:p>
              </w:tc>
              <w:tc>
                <w:tcPr>
                  <w:tcW w:w="402" w:type="pct"/>
                  <w:noWrap w:val="0"/>
                  <w:vAlign w:val="center"/>
                </w:tcPr>
                <w:p w14:paraId="39A4B397">
                  <w:pPr>
                    <w:pStyle w:val="57"/>
                    <w:bidi w:val="0"/>
                    <w:rPr>
                      <w:color w:val="auto"/>
                    </w:rPr>
                  </w:pPr>
                  <w:r>
                    <w:rPr>
                      <w:color w:val="auto"/>
                    </w:rPr>
                    <w:t>0.17</w:t>
                  </w:r>
                </w:p>
              </w:tc>
              <w:tc>
                <w:tcPr>
                  <w:tcW w:w="420" w:type="pct"/>
                  <w:noWrap w:val="0"/>
                  <w:vAlign w:val="center"/>
                </w:tcPr>
                <w:p w14:paraId="03A05BFB">
                  <w:pPr>
                    <w:pStyle w:val="57"/>
                    <w:bidi w:val="0"/>
                    <w:rPr>
                      <w:color w:val="auto"/>
                    </w:rPr>
                  </w:pPr>
                  <w:r>
                    <w:rPr>
                      <w:color w:val="auto"/>
                    </w:rPr>
                    <w:t>1.73</w:t>
                  </w:r>
                </w:p>
              </w:tc>
              <w:tc>
                <w:tcPr>
                  <w:tcW w:w="436" w:type="pct"/>
                  <w:noWrap w:val="0"/>
                  <w:vAlign w:val="center"/>
                </w:tcPr>
                <w:p w14:paraId="76F2D33E">
                  <w:pPr>
                    <w:pStyle w:val="57"/>
                    <w:bidi w:val="0"/>
                    <w:rPr>
                      <w:color w:val="auto"/>
                    </w:rPr>
                  </w:pPr>
                  <w:r>
                    <w:rPr>
                      <w:color w:val="auto"/>
                    </w:rPr>
                    <w:t>6.62</w:t>
                  </w:r>
                </w:p>
              </w:tc>
              <w:tc>
                <w:tcPr>
                  <w:tcW w:w="385" w:type="pct"/>
                  <w:noWrap w:val="0"/>
                  <w:vAlign w:val="center"/>
                </w:tcPr>
                <w:p w14:paraId="3C4439FB">
                  <w:pPr>
                    <w:pStyle w:val="57"/>
                    <w:bidi w:val="0"/>
                    <w:rPr>
                      <w:color w:val="auto"/>
                    </w:rPr>
                  </w:pPr>
                  <w:r>
                    <w:rPr>
                      <w:color w:val="auto"/>
                    </w:rPr>
                    <w:t>0.02</w:t>
                  </w:r>
                </w:p>
              </w:tc>
              <w:tc>
                <w:tcPr>
                  <w:tcW w:w="471" w:type="pct"/>
                  <w:noWrap w:val="0"/>
                  <w:vAlign w:val="center"/>
                </w:tcPr>
                <w:p w14:paraId="74D2C59E">
                  <w:pPr>
                    <w:pStyle w:val="57"/>
                    <w:bidi w:val="0"/>
                    <w:rPr>
                      <w:color w:val="auto"/>
                    </w:rPr>
                  </w:pPr>
                  <w:r>
                    <w:rPr>
                      <w:color w:val="auto"/>
                    </w:rPr>
                    <w:t>470</w:t>
                  </w:r>
                </w:p>
              </w:tc>
            </w:tr>
            <w:tr w14:paraId="107F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54DC3283">
                  <w:pPr>
                    <w:pStyle w:val="57"/>
                    <w:bidi w:val="0"/>
                    <w:rPr>
                      <w:color w:val="auto"/>
                    </w:rPr>
                  </w:pPr>
                </w:p>
              </w:tc>
              <w:tc>
                <w:tcPr>
                  <w:tcW w:w="394" w:type="pct"/>
                  <w:noWrap w:val="0"/>
                  <w:vAlign w:val="center"/>
                </w:tcPr>
                <w:p w14:paraId="1231E4DD">
                  <w:pPr>
                    <w:pStyle w:val="57"/>
                    <w:bidi w:val="0"/>
                    <w:rPr>
                      <w:color w:val="auto"/>
                    </w:rPr>
                  </w:pPr>
                  <w:r>
                    <w:rPr>
                      <w:color w:val="auto"/>
                    </w:rPr>
                    <w:t>12.3</w:t>
                  </w:r>
                </w:p>
              </w:tc>
              <w:tc>
                <w:tcPr>
                  <w:tcW w:w="428" w:type="pct"/>
                  <w:noWrap w:val="0"/>
                  <w:vAlign w:val="center"/>
                </w:tcPr>
                <w:p w14:paraId="4C40B1FD">
                  <w:pPr>
                    <w:pStyle w:val="57"/>
                    <w:bidi w:val="0"/>
                    <w:rPr>
                      <w:color w:val="auto"/>
                    </w:rPr>
                  </w:pPr>
                  <w:r>
                    <w:rPr>
                      <w:color w:val="auto"/>
                    </w:rPr>
                    <w:t>7.1</w:t>
                  </w:r>
                </w:p>
              </w:tc>
              <w:tc>
                <w:tcPr>
                  <w:tcW w:w="311" w:type="pct"/>
                  <w:noWrap w:val="0"/>
                  <w:vAlign w:val="center"/>
                </w:tcPr>
                <w:p w14:paraId="2F663A8A">
                  <w:pPr>
                    <w:pStyle w:val="57"/>
                    <w:bidi w:val="0"/>
                    <w:rPr>
                      <w:color w:val="auto"/>
                    </w:rPr>
                  </w:pPr>
                  <w:r>
                    <w:rPr>
                      <w:color w:val="auto"/>
                    </w:rPr>
                    <w:t>24</w:t>
                  </w:r>
                </w:p>
              </w:tc>
              <w:tc>
                <w:tcPr>
                  <w:tcW w:w="415" w:type="pct"/>
                  <w:noWrap w:val="0"/>
                  <w:vAlign w:val="center"/>
                </w:tcPr>
                <w:p w14:paraId="0BDDD0FC">
                  <w:pPr>
                    <w:pStyle w:val="57"/>
                    <w:bidi w:val="0"/>
                    <w:rPr>
                      <w:color w:val="auto"/>
                    </w:rPr>
                  </w:pPr>
                  <w:r>
                    <w:rPr>
                      <w:color w:val="auto"/>
                    </w:rPr>
                    <w:t>25</w:t>
                  </w:r>
                </w:p>
              </w:tc>
              <w:tc>
                <w:tcPr>
                  <w:tcW w:w="463" w:type="pct"/>
                  <w:noWrap w:val="0"/>
                  <w:vAlign w:val="center"/>
                </w:tcPr>
                <w:p w14:paraId="718FE453">
                  <w:pPr>
                    <w:pStyle w:val="57"/>
                    <w:bidi w:val="0"/>
                    <w:rPr>
                      <w:color w:val="auto"/>
                    </w:rPr>
                  </w:pPr>
                  <w:r>
                    <w:rPr>
                      <w:color w:val="auto"/>
                    </w:rPr>
                    <w:t>7.3</w:t>
                  </w:r>
                </w:p>
              </w:tc>
              <w:tc>
                <w:tcPr>
                  <w:tcW w:w="470" w:type="pct"/>
                  <w:noWrap w:val="0"/>
                  <w:vAlign w:val="center"/>
                </w:tcPr>
                <w:p w14:paraId="4A5349BB">
                  <w:pPr>
                    <w:pStyle w:val="57"/>
                    <w:bidi w:val="0"/>
                    <w:rPr>
                      <w:color w:val="auto"/>
                    </w:rPr>
                  </w:pPr>
                  <w:r>
                    <w:rPr>
                      <w:color w:val="auto"/>
                    </w:rPr>
                    <w:t>0.635</w:t>
                  </w:r>
                </w:p>
              </w:tc>
              <w:tc>
                <w:tcPr>
                  <w:tcW w:w="402" w:type="pct"/>
                  <w:noWrap w:val="0"/>
                  <w:vAlign w:val="center"/>
                </w:tcPr>
                <w:p w14:paraId="2D2B6CE7">
                  <w:pPr>
                    <w:pStyle w:val="57"/>
                    <w:bidi w:val="0"/>
                    <w:rPr>
                      <w:color w:val="auto"/>
                    </w:rPr>
                  </w:pPr>
                  <w:r>
                    <w:rPr>
                      <w:color w:val="auto"/>
                    </w:rPr>
                    <w:t>0.17</w:t>
                  </w:r>
                </w:p>
              </w:tc>
              <w:tc>
                <w:tcPr>
                  <w:tcW w:w="420" w:type="pct"/>
                  <w:noWrap w:val="0"/>
                  <w:vAlign w:val="center"/>
                </w:tcPr>
                <w:p w14:paraId="11C87BBB">
                  <w:pPr>
                    <w:pStyle w:val="57"/>
                    <w:bidi w:val="0"/>
                    <w:rPr>
                      <w:color w:val="auto"/>
                    </w:rPr>
                  </w:pPr>
                  <w:r>
                    <w:rPr>
                      <w:color w:val="auto"/>
                    </w:rPr>
                    <w:t>1.76</w:t>
                  </w:r>
                </w:p>
              </w:tc>
              <w:tc>
                <w:tcPr>
                  <w:tcW w:w="436" w:type="pct"/>
                  <w:noWrap w:val="0"/>
                  <w:vAlign w:val="center"/>
                </w:tcPr>
                <w:p w14:paraId="6580B513">
                  <w:pPr>
                    <w:pStyle w:val="57"/>
                    <w:bidi w:val="0"/>
                    <w:rPr>
                      <w:color w:val="auto"/>
                    </w:rPr>
                  </w:pPr>
                  <w:r>
                    <w:rPr>
                      <w:color w:val="auto"/>
                    </w:rPr>
                    <w:t>7.18</w:t>
                  </w:r>
                </w:p>
              </w:tc>
              <w:tc>
                <w:tcPr>
                  <w:tcW w:w="385" w:type="pct"/>
                  <w:noWrap w:val="0"/>
                  <w:vAlign w:val="center"/>
                </w:tcPr>
                <w:p w14:paraId="1C513B46">
                  <w:pPr>
                    <w:pStyle w:val="57"/>
                    <w:bidi w:val="0"/>
                    <w:rPr>
                      <w:color w:val="auto"/>
                    </w:rPr>
                  </w:pPr>
                  <w:r>
                    <w:rPr>
                      <w:color w:val="auto"/>
                    </w:rPr>
                    <w:t>0.02</w:t>
                  </w:r>
                </w:p>
              </w:tc>
              <w:tc>
                <w:tcPr>
                  <w:tcW w:w="471" w:type="pct"/>
                  <w:noWrap w:val="0"/>
                  <w:vAlign w:val="center"/>
                </w:tcPr>
                <w:p w14:paraId="3B6B10A6">
                  <w:pPr>
                    <w:pStyle w:val="57"/>
                    <w:bidi w:val="0"/>
                    <w:rPr>
                      <w:color w:val="auto"/>
                    </w:rPr>
                  </w:pPr>
                  <w:r>
                    <w:rPr>
                      <w:color w:val="auto"/>
                    </w:rPr>
                    <w:t>520</w:t>
                  </w:r>
                </w:p>
              </w:tc>
            </w:tr>
            <w:tr w14:paraId="682BE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restart"/>
                  <w:noWrap w:val="0"/>
                  <w:vAlign w:val="center"/>
                </w:tcPr>
                <w:p w14:paraId="277B52A3">
                  <w:pPr>
                    <w:pStyle w:val="57"/>
                    <w:bidi w:val="0"/>
                    <w:rPr>
                      <w:color w:val="auto"/>
                    </w:rPr>
                  </w:pPr>
                  <w:r>
                    <w:rPr>
                      <w:color w:val="auto"/>
                    </w:rPr>
                    <w:t>W4</w:t>
                  </w:r>
                </w:p>
              </w:tc>
              <w:tc>
                <w:tcPr>
                  <w:tcW w:w="394" w:type="pct"/>
                  <w:noWrap w:val="0"/>
                  <w:vAlign w:val="center"/>
                </w:tcPr>
                <w:p w14:paraId="0193AF9F">
                  <w:pPr>
                    <w:pStyle w:val="57"/>
                    <w:bidi w:val="0"/>
                    <w:rPr>
                      <w:color w:val="auto"/>
                    </w:rPr>
                  </w:pPr>
                  <w:r>
                    <w:rPr>
                      <w:color w:val="auto"/>
                    </w:rPr>
                    <w:t>12.1</w:t>
                  </w:r>
                </w:p>
              </w:tc>
              <w:tc>
                <w:tcPr>
                  <w:tcW w:w="428" w:type="pct"/>
                  <w:noWrap w:val="0"/>
                  <w:vAlign w:val="center"/>
                </w:tcPr>
                <w:p w14:paraId="79AE63AA">
                  <w:pPr>
                    <w:pStyle w:val="57"/>
                    <w:bidi w:val="0"/>
                    <w:rPr>
                      <w:color w:val="auto"/>
                    </w:rPr>
                  </w:pPr>
                  <w:r>
                    <w:rPr>
                      <w:color w:val="auto"/>
                    </w:rPr>
                    <w:t>7.3</w:t>
                  </w:r>
                </w:p>
              </w:tc>
              <w:tc>
                <w:tcPr>
                  <w:tcW w:w="311" w:type="pct"/>
                  <w:noWrap w:val="0"/>
                  <w:vAlign w:val="center"/>
                </w:tcPr>
                <w:p w14:paraId="1A580E55">
                  <w:pPr>
                    <w:pStyle w:val="57"/>
                    <w:bidi w:val="0"/>
                    <w:rPr>
                      <w:color w:val="auto"/>
                    </w:rPr>
                  </w:pPr>
                  <w:r>
                    <w:rPr>
                      <w:color w:val="auto"/>
                    </w:rPr>
                    <w:t>29</w:t>
                  </w:r>
                </w:p>
              </w:tc>
              <w:tc>
                <w:tcPr>
                  <w:tcW w:w="415" w:type="pct"/>
                  <w:noWrap w:val="0"/>
                  <w:vAlign w:val="center"/>
                </w:tcPr>
                <w:p w14:paraId="251B008C">
                  <w:pPr>
                    <w:pStyle w:val="57"/>
                    <w:bidi w:val="0"/>
                    <w:rPr>
                      <w:color w:val="auto"/>
                    </w:rPr>
                  </w:pPr>
                  <w:r>
                    <w:rPr>
                      <w:color w:val="auto"/>
                    </w:rPr>
                    <w:t>28</w:t>
                  </w:r>
                </w:p>
              </w:tc>
              <w:tc>
                <w:tcPr>
                  <w:tcW w:w="463" w:type="pct"/>
                  <w:noWrap w:val="0"/>
                  <w:vAlign w:val="center"/>
                </w:tcPr>
                <w:p w14:paraId="7919EBA1">
                  <w:pPr>
                    <w:pStyle w:val="57"/>
                    <w:bidi w:val="0"/>
                    <w:rPr>
                      <w:color w:val="auto"/>
                    </w:rPr>
                  </w:pPr>
                  <w:r>
                    <w:rPr>
                      <w:color w:val="auto"/>
                    </w:rPr>
                    <w:t>8.7</w:t>
                  </w:r>
                </w:p>
              </w:tc>
              <w:tc>
                <w:tcPr>
                  <w:tcW w:w="470" w:type="pct"/>
                  <w:noWrap w:val="0"/>
                  <w:vAlign w:val="center"/>
                </w:tcPr>
                <w:p w14:paraId="56B187D6">
                  <w:pPr>
                    <w:pStyle w:val="57"/>
                    <w:bidi w:val="0"/>
                    <w:rPr>
                      <w:color w:val="auto"/>
                    </w:rPr>
                  </w:pPr>
                  <w:r>
                    <w:rPr>
                      <w:color w:val="auto"/>
                    </w:rPr>
                    <w:t>0.812</w:t>
                  </w:r>
                </w:p>
              </w:tc>
              <w:tc>
                <w:tcPr>
                  <w:tcW w:w="402" w:type="pct"/>
                  <w:noWrap w:val="0"/>
                  <w:vAlign w:val="center"/>
                </w:tcPr>
                <w:p w14:paraId="3255EA71">
                  <w:pPr>
                    <w:pStyle w:val="57"/>
                    <w:bidi w:val="0"/>
                    <w:rPr>
                      <w:color w:val="auto"/>
                    </w:rPr>
                  </w:pPr>
                  <w:r>
                    <w:rPr>
                      <w:color w:val="auto"/>
                    </w:rPr>
                    <w:t>0.19</w:t>
                  </w:r>
                </w:p>
              </w:tc>
              <w:tc>
                <w:tcPr>
                  <w:tcW w:w="420" w:type="pct"/>
                  <w:noWrap w:val="0"/>
                  <w:vAlign w:val="center"/>
                </w:tcPr>
                <w:p w14:paraId="4119EECE">
                  <w:pPr>
                    <w:pStyle w:val="57"/>
                    <w:bidi w:val="0"/>
                    <w:rPr>
                      <w:color w:val="auto"/>
                    </w:rPr>
                  </w:pPr>
                  <w:r>
                    <w:rPr>
                      <w:color w:val="auto"/>
                    </w:rPr>
                    <w:t>1.96</w:t>
                  </w:r>
                </w:p>
              </w:tc>
              <w:tc>
                <w:tcPr>
                  <w:tcW w:w="436" w:type="pct"/>
                  <w:noWrap w:val="0"/>
                  <w:vAlign w:val="center"/>
                </w:tcPr>
                <w:p w14:paraId="26A4ADDA">
                  <w:pPr>
                    <w:pStyle w:val="57"/>
                    <w:bidi w:val="0"/>
                    <w:rPr>
                      <w:color w:val="auto"/>
                    </w:rPr>
                  </w:pPr>
                  <w:r>
                    <w:rPr>
                      <w:color w:val="auto"/>
                    </w:rPr>
                    <w:t>9.32</w:t>
                  </w:r>
                </w:p>
              </w:tc>
              <w:tc>
                <w:tcPr>
                  <w:tcW w:w="385" w:type="pct"/>
                  <w:noWrap w:val="0"/>
                  <w:vAlign w:val="center"/>
                </w:tcPr>
                <w:p w14:paraId="4617E7EB">
                  <w:pPr>
                    <w:pStyle w:val="57"/>
                    <w:bidi w:val="0"/>
                    <w:rPr>
                      <w:color w:val="auto"/>
                    </w:rPr>
                  </w:pPr>
                  <w:r>
                    <w:rPr>
                      <w:color w:val="auto"/>
                    </w:rPr>
                    <w:t>0.05</w:t>
                  </w:r>
                </w:p>
              </w:tc>
              <w:tc>
                <w:tcPr>
                  <w:tcW w:w="471" w:type="pct"/>
                  <w:noWrap w:val="0"/>
                  <w:vAlign w:val="center"/>
                </w:tcPr>
                <w:p w14:paraId="05E413C6">
                  <w:pPr>
                    <w:pStyle w:val="57"/>
                    <w:bidi w:val="0"/>
                    <w:rPr>
                      <w:color w:val="auto"/>
                    </w:rPr>
                  </w:pPr>
                  <w:r>
                    <w:rPr>
                      <w:color w:val="auto"/>
                    </w:rPr>
                    <w:t>720</w:t>
                  </w:r>
                </w:p>
              </w:tc>
            </w:tr>
            <w:tr w14:paraId="3721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1A126315">
                  <w:pPr>
                    <w:pStyle w:val="57"/>
                    <w:bidi w:val="0"/>
                    <w:rPr>
                      <w:color w:val="auto"/>
                    </w:rPr>
                  </w:pPr>
                </w:p>
              </w:tc>
              <w:tc>
                <w:tcPr>
                  <w:tcW w:w="394" w:type="pct"/>
                  <w:noWrap w:val="0"/>
                  <w:vAlign w:val="center"/>
                </w:tcPr>
                <w:p w14:paraId="6D512195">
                  <w:pPr>
                    <w:pStyle w:val="57"/>
                    <w:bidi w:val="0"/>
                    <w:rPr>
                      <w:color w:val="auto"/>
                    </w:rPr>
                  </w:pPr>
                  <w:r>
                    <w:rPr>
                      <w:color w:val="auto"/>
                    </w:rPr>
                    <w:t>12.2</w:t>
                  </w:r>
                </w:p>
              </w:tc>
              <w:tc>
                <w:tcPr>
                  <w:tcW w:w="428" w:type="pct"/>
                  <w:noWrap w:val="0"/>
                  <w:vAlign w:val="center"/>
                </w:tcPr>
                <w:p w14:paraId="4F0F56D4">
                  <w:pPr>
                    <w:pStyle w:val="57"/>
                    <w:bidi w:val="0"/>
                    <w:rPr>
                      <w:color w:val="auto"/>
                    </w:rPr>
                  </w:pPr>
                  <w:r>
                    <w:rPr>
                      <w:color w:val="auto"/>
                    </w:rPr>
                    <w:t>7.3</w:t>
                  </w:r>
                </w:p>
              </w:tc>
              <w:tc>
                <w:tcPr>
                  <w:tcW w:w="311" w:type="pct"/>
                  <w:noWrap w:val="0"/>
                  <w:vAlign w:val="center"/>
                </w:tcPr>
                <w:p w14:paraId="23DFF0CE">
                  <w:pPr>
                    <w:pStyle w:val="57"/>
                    <w:bidi w:val="0"/>
                    <w:rPr>
                      <w:color w:val="auto"/>
                    </w:rPr>
                  </w:pPr>
                  <w:r>
                    <w:rPr>
                      <w:color w:val="auto"/>
                    </w:rPr>
                    <w:t>32</w:t>
                  </w:r>
                </w:p>
              </w:tc>
              <w:tc>
                <w:tcPr>
                  <w:tcW w:w="415" w:type="pct"/>
                  <w:noWrap w:val="0"/>
                  <w:vAlign w:val="center"/>
                </w:tcPr>
                <w:p w14:paraId="13BFFBCA">
                  <w:pPr>
                    <w:pStyle w:val="57"/>
                    <w:bidi w:val="0"/>
                    <w:rPr>
                      <w:color w:val="auto"/>
                    </w:rPr>
                  </w:pPr>
                  <w:r>
                    <w:rPr>
                      <w:color w:val="auto"/>
                    </w:rPr>
                    <w:t>29</w:t>
                  </w:r>
                </w:p>
              </w:tc>
              <w:tc>
                <w:tcPr>
                  <w:tcW w:w="463" w:type="pct"/>
                  <w:noWrap w:val="0"/>
                  <w:vAlign w:val="center"/>
                </w:tcPr>
                <w:p w14:paraId="39F231E9">
                  <w:pPr>
                    <w:pStyle w:val="57"/>
                    <w:bidi w:val="0"/>
                    <w:rPr>
                      <w:color w:val="auto"/>
                    </w:rPr>
                  </w:pPr>
                  <w:r>
                    <w:rPr>
                      <w:color w:val="auto"/>
                    </w:rPr>
                    <w:t>8.2</w:t>
                  </w:r>
                </w:p>
              </w:tc>
              <w:tc>
                <w:tcPr>
                  <w:tcW w:w="470" w:type="pct"/>
                  <w:noWrap w:val="0"/>
                  <w:vAlign w:val="center"/>
                </w:tcPr>
                <w:p w14:paraId="5FD76DA9">
                  <w:pPr>
                    <w:pStyle w:val="57"/>
                    <w:bidi w:val="0"/>
                    <w:rPr>
                      <w:color w:val="auto"/>
                    </w:rPr>
                  </w:pPr>
                  <w:r>
                    <w:rPr>
                      <w:color w:val="auto"/>
                    </w:rPr>
                    <w:t>0.847</w:t>
                  </w:r>
                </w:p>
              </w:tc>
              <w:tc>
                <w:tcPr>
                  <w:tcW w:w="402" w:type="pct"/>
                  <w:noWrap w:val="0"/>
                  <w:vAlign w:val="center"/>
                </w:tcPr>
                <w:p w14:paraId="0C09A535">
                  <w:pPr>
                    <w:pStyle w:val="57"/>
                    <w:bidi w:val="0"/>
                    <w:rPr>
                      <w:color w:val="auto"/>
                    </w:rPr>
                  </w:pPr>
                  <w:r>
                    <w:rPr>
                      <w:color w:val="auto"/>
                    </w:rPr>
                    <w:t>0.18</w:t>
                  </w:r>
                </w:p>
              </w:tc>
              <w:tc>
                <w:tcPr>
                  <w:tcW w:w="420" w:type="pct"/>
                  <w:noWrap w:val="0"/>
                  <w:vAlign w:val="center"/>
                </w:tcPr>
                <w:p w14:paraId="3AC3E545">
                  <w:pPr>
                    <w:pStyle w:val="57"/>
                    <w:bidi w:val="0"/>
                    <w:rPr>
                      <w:color w:val="auto"/>
                    </w:rPr>
                  </w:pPr>
                  <w:r>
                    <w:rPr>
                      <w:color w:val="auto"/>
                    </w:rPr>
                    <w:t>1.92</w:t>
                  </w:r>
                </w:p>
              </w:tc>
              <w:tc>
                <w:tcPr>
                  <w:tcW w:w="436" w:type="pct"/>
                  <w:noWrap w:val="0"/>
                  <w:vAlign w:val="center"/>
                </w:tcPr>
                <w:p w14:paraId="60E4EAEC">
                  <w:pPr>
                    <w:pStyle w:val="57"/>
                    <w:bidi w:val="0"/>
                    <w:rPr>
                      <w:color w:val="auto"/>
                    </w:rPr>
                  </w:pPr>
                  <w:r>
                    <w:rPr>
                      <w:color w:val="auto"/>
                    </w:rPr>
                    <w:t>10.5</w:t>
                  </w:r>
                </w:p>
              </w:tc>
              <w:tc>
                <w:tcPr>
                  <w:tcW w:w="385" w:type="pct"/>
                  <w:noWrap w:val="0"/>
                  <w:vAlign w:val="center"/>
                </w:tcPr>
                <w:p w14:paraId="2624943D">
                  <w:pPr>
                    <w:pStyle w:val="57"/>
                    <w:bidi w:val="0"/>
                    <w:rPr>
                      <w:color w:val="auto"/>
                    </w:rPr>
                  </w:pPr>
                  <w:r>
                    <w:rPr>
                      <w:color w:val="auto"/>
                    </w:rPr>
                    <w:t>0.04</w:t>
                  </w:r>
                </w:p>
              </w:tc>
              <w:tc>
                <w:tcPr>
                  <w:tcW w:w="471" w:type="pct"/>
                  <w:noWrap w:val="0"/>
                  <w:vAlign w:val="center"/>
                </w:tcPr>
                <w:p w14:paraId="26E97EFA">
                  <w:pPr>
                    <w:pStyle w:val="57"/>
                    <w:bidi w:val="0"/>
                    <w:rPr>
                      <w:color w:val="auto"/>
                    </w:rPr>
                  </w:pPr>
                  <w:r>
                    <w:rPr>
                      <w:color w:val="auto"/>
                    </w:rPr>
                    <w:t>760</w:t>
                  </w:r>
                </w:p>
              </w:tc>
            </w:tr>
            <w:tr w14:paraId="6F32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33560114">
                  <w:pPr>
                    <w:pStyle w:val="57"/>
                    <w:bidi w:val="0"/>
                    <w:rPr>
                      <w:color w:val="auto"/>
                    </w:rPr>
                  </w:pPr>
                </w:p>
              </w:tc>
              <w:tc>
                <w:tcPr>
                  <w:tcW w:w="394" w:type="pct"/>
                  <w:noWrap w:val="0"/>
                  <w:vAlign w:val="center"/>
                </w:tcPr>
                <w:p w14:paraId="7B7FAE2B">
                  <w:pPr>
                    <w:pStyle w:val="57"/>
                    <w:bidi w:val="0"/>
                    <w:rPr>
                      <w:color w:val="auto"/>
                    </w:rPr>
                  </w:pPr>
                  <w:r>
                    <w:rPr>
                      <w:color w:val="auto"/>
                    </w:rPr>
                    <w:t>12.3</w:t>
                  </w:r>
                </w:p>
              </w:tc>
              <w:tc>
                <w:tcPr>
                  <w:tcW w:w="428" w:type="pct"/>
                  <w:noWrap w:val="0"/>
                  <w:vAlign w:val="center"/>
                </w:tcPr>
                <w:p w14:paraId="529F2370">
                  <w:pPr>
                    <w:pStyle w:val="57"/>
                    <w:bidi w:val="0"/>
                    <w:rPr>
                      <w:color w:val="auto"/>
                    </w:rPr>
                  </w:pPr>
                  <w:r>
                    <w:rPr>
                      <w:color w:val="auto"/>
                    </w:rPr>
                    <w:t>7.2</w:t>
                  </w:r>
                </w:p>
              </w:tc>
              <w:tc>
                <w:tcPr>
                  <w:tcW w:w="311" w:type="pct"/>
                  <w:noWrap w:val="0"/>
                  <w:vAlign w:val="center"/>
                </w:tcPr>
                <w:p w14:paraId="10B56B49">
                  <w:pPr>
                    <w:pStyle w:val="57"/>
                    <w:bidi w:val="0"/>
                    <w:rPr>
                      <w:color w:val="auto"/>
                    </w:rPr>
                  </w:pPr>
                  <w:r>
                    <w:rPr>
                      <w:color w:val="auto"/>
                    </w:rPr>
                    <w:t>33</w:t>
                  </w:r>
                </w:p>
              </w:tc>
              <w:tc>
                <w:tcPr>
                  <w:tcW w:w="415" w:type="pct"/>
                  <w:noWrap w:val="0"/>
                  <w:vAlign w:val="center"/>
                </w:tcPr>
                <w:p w14:paraId="563211E3">
                  <w:pPr>
                    <w:pStyle w:val="57"/>
                    <w:bidi w:val="0"/>
                    <w:rPr>
                      <w:color w:val="auto"/>
                    </w:rPr>
                  </w:pPr>
                  <w:r>
                    <w:rPr>
                      <w:color w:val="auto"/>
                    </w:rPr>
                    <w:t>28</w:t>
                  </w:r>
                </w:p>
              </w:tc>
              <w:tc>
                <w:tcPr>
                  <w:tcW w:w="463" w:type="pct"/>
                  <w:noWrap w:val="0"/>
                  <w:vAlign w:val="center"/>
                </w:tcPr>
                <w:p w14:paraId="22256FED">
                  <w:pPr>
                    <w:pStyle w:val="57"/>
                    <w:bidi w:val="0"/>
                    <w:rPr>
                      <w:color w:val="auto"/>
                    </w:rPr>
                  </w:pPr>
                  <w:r>
                    <w:rPr>
                      <w:color w:val="auto"/>
                    </w:rPr>
                    <w:t>8.9</w:t>
                  </w:r>
                </w:p>
              </w:tc>
              <w:tc>
                <w:tcPr>
                  <w:tcW w:w="470" w:type="pct"/>
                  <w:noWrap w:val="0"/>
                  <w:vAlign w:val="center"/>
                </w:tcPr>
                <w:p w14:paraId="08BA490E">
                  <w:pPr>
                    <w:pStyle w:val="57"/>
                    <w:bidi w:val="0"/>
                    <w:rPr>
                      <w:color w:val="auto"/>
                    </w:rPr>
                  </w:pPr>
                  <w:r>
                    <w:rPr>
                      <w:color w:val="auto"/>
                    </w:rPr>
                    <w:t>0.859</w:t>
                  </w:r>
                </w:p>
              </w:tc>
              <w:tc>
                <w:tcPr>
                  <w:tcW w:w="402" w:type="pct"/>
                  <w:noWrap w:val="0"/>
                  <w:vAlign w:val="center"/>
                </w:tcPr>
                <w:p w14:paraId="599B3708">
                  <w:pPr>
                    <w:pStyle w:val="57"/>
                    <w:bidi w:val="0"/>
                    <w:rPr>
                      <w:color w:val="auto"/>
                    </w:rPr>
                  </w:pPr>
                  <w:r>
                    <w:rPr>
                      <w:color w:val="auto"/>
                    </w:rPr>
                    <w:t>0.19</w:t>
                  </w:r>
                </w:p>
              </w:tc>
              <w:tc>
                <w:tcPr>
                  <w:tcW w:w="420" w:type="pct"/>
                  <w:noWrap w:val="0"/>
                  <w:vAlign w:val="center"/>
                </w:tcPr>
                <w:p w14:paraId="00AD462F">
                  <w:pPr>
                    <w:pStyle w:val="57"/>
                    <w:bidi w:val="0"/>
                    <w:rPr>
                      <w:color w:val="auto"/>
                    </w:rPr>
                  </w:pPr>
                  <w:r>
                    <w:rPr>
                      <w:color w:val="auto"/>
                    </w:rPr>
                    <w:t>1.89</w:t>
                  </w:r>
                </w:p>
              </w:tc>
              <w:tc>
                <w:tcPr>
                  <w:tcW w:w="436" w:type="pct"/>
                  <w:noWrap w:val="0"/>
                  <w:vAlign w:val="center"/>
                </w:tcPr>
                <w:p w14:paraId="1D3E9BD8">
                  <w:pPr>
                    <w:pStyle w:val="57"/>
                    <w:bidi w:val="0"/>
                    <w:rPr>
                      <w:color w:val="auto"/>
                    </w:rPr>
                  </w:pPr>
                  <w:r>
                    <w:rPr>
                      <w:color w:val="auto"/>
                    </w:rPr>
                    <w:t>8.63</w:t>
                  </w:r>
                </w:p>
              </w:tc>
              <w:tc>
                <w:tcPr>
                  <w:tcW w:w="385" w:type="pct"/>
                  <w:noWrap w:val="0"/>
                  <w:vAlign w:val="center"/>
                </w:tcPr>
                <w:p w14:paraId="5BE8796B">
                  <w:pPr>
                    <w:pStyle w:val="57"/>
                    <w:bidi w:val="0"/>
                    <w:rPr>
                      <w:color w:val="auto"/>
                    </w:rPr>
                  </w:pPr>
                  <w:r>
                    <w:rPr>
                      <w:color w:val="auto"/>
                    </w:rPr>
                    <w:t>0.05</w:t>
                  </w:r>
                </w:p>
              </w:tc>
              <w:tc>
                <w:tcPr>
                  <w:tcW w:w="471" w:type="pct"/>
                  <w:noWrap w:val="0"/>
                  <w:vAlign w:val="center"/>
                </w:tcPr>
                <w:p w14:paraId="3008A9CF">
                  <w:pPr>
                    <w:pStyle w:val="57"/>
                    <w:bidi w:val="0"/>
                    <w:rPr>
                      <w:color w:val="auto"/>
                    </w:rPr>
                  </w:pPr>
                  <w:r>
                    <w:rPr>
                      <w:color w:val="auto"/>
                    </w:rPr>
                    <w:t>690</w:t>
                  </w:r>
                </w:p>
              </w:tc>
            </w:tr>
            <w:tr w14:paraId="668E7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restart"/>
                  <w:noWrap w:val="0"/>
                  <w:vAlign w:val="center"/>
                </w:tcPr>
                <w:p w14:paraId="2A5DD4AA">
                  <w:pPr>
                    <w:pStyle w:val="57"/>
                    <w:bidi w:val="0"/>
                    <w:rPr>
                      <w:color w:val="auto"/>
                    </w:rPr>
                  </w:pPr>
                  <w:r>
                    <w:rPr>
                      <w:color w:val="auto"/>
                    </w:rPr>
                    <w:t>W5</w:t>
                  </w:r>
                </w:p>
              </w:tc>
              <w:tc>
                <w:tcPr>
                  <w:tcW w:w="394" w:type="pct"/>
                  <w:noWrap w:val="0"/>
                  <w:vAlign w:val="center"/>
                </w:tcPr>
                <w:p w14:paraId="47EB944A">
                  <w:pPr>
                    <w:pStyle w:val="57"/>
                    <w:bidi w:val="0"/>
                    <w:rPr>
                      <w:color w:val="auto"/>
                    </w:rPr>
                  </w:pPr>
                  <w:r>
                    <w:rPr>
                      <w:color w:val="auto"/>
                    </w:rPr>
                    <w:t>12.1</w:t>
                  </w:r>
                </w:p>
              </w:tc>
              <w:tc>
                <w:tcPr>
                  <w:tcW w:w="428" w:type="pct"/>
                  <w:noWrap w:val="0"/>
                  <w:vAlign w:val="center"/>
                </w:tcPr>
                <w:p w14:paraId="39A51172">
                  <w:pPr>
                    <w:pStyle w:val="57"/>
                    <w:bidi w:val="0"/>
                    <w:rPr>
                      <w:color w:val="auto"/>
                    </w:rPr>
                  </w:pPr>
                  <w:r>
                    <w:rPr>
                      <w:color w:val="auto"/>
                    </w:rPr>
                    <w:t>7.1</w:t>
                  </w:r>
                </w:p>
              </w:tc>
              <w:tc>
                <w:tcPr>
                  <w:tcW w:w="311" w:type="pct"/>
                  <w:noWrap w:val="0"/>
                  <w:vAlign w:val="center"/>
                </w:tcPr>
                <w:p w14:paraId="5201607B">
                  <w:pPr>
                    <w:pStyle w:val="57"/>
                    <w:bidi w:val="0"/>
                    <w:rPr>
                      <w:color w:val="auto"/>
                    </w:rPr>
                  </w:pPr>
                  <w:r>
                    <w:rPr>
                      <w:color w:val="auto"/>
                    </w:rPr>
                    <w:t>24</w:t>
                  </w:r>
                </w:p>
              </w:tc>
              <w:tc>
                <w:tcPr>
                  <w:tcW w:w="415" w:type="pct"/>
                  <w:noWrap w:val="0"/>
                  <w:vAlign w:val="center"/>
                </w:tcPr>
                <w:p w14:paraId="2383F23B">
                  <w:pPr>
                    <w:pStyle w:val="57"/>
                    <w:bidi w:val="0"/>
                    <w:rPr>
                      <w:color w:val="auto"/>
                    </w:rPr>
                  </w:pPr>
                  <w:r>
                    <w:rPr>
                      <w:color w:val="auto"/>
                    </w:rPr>
                    <w:t>26</w:t>
                  </w:r>
                </w:p>
              </w:tc>
              <w:tc>
                <w:tcPr>
                  <w:tcW w:w="463" w:type="pct"/>
                  <w:noWrap w:val="0"/>
                  <w:vAlign w:val="center"/>
                </w:tcPr>
                <w:p w14:paraId="50E7286E">
                  <w:pPr>
                    <w:pStyle w:val="57"/>
                    <w:bidi w:val="0"/>
                    <w:rPr>
                      <w:color w:val="auto"/>
                    </w:rPr>
                  </w:pPr>
                  <w:r>
                    <w:rPr>
                      <w:color w:val="auto"/>
                    </w:rPr>
                    <w:t>7.3</w:t>
                  </w:r>
                </w:p>
              </w:tc>
              <w:tc>
                <w:tcPr>
                  <w:tcW w:w="470" w:type="pct"/>
                  <w:noWrap w:val="0"/>
                  <w:vAlign w:val="center"/>
                </w:tcPr>
                <w:p w14:paraId="24D635F8">
                  <w:pPr>
                    <w:pStyle w:val="57"/>
                    <w:bidi w:val="0"/>
                    <w:rPr>
                      <w:color w:val="auto"/>
                    </w:rPr>
                  </w:pPr>
                  <w:r>
                    <w:rPr>
                      <w:color w:val="auto"/>
                    </w:rPr>
                    <w:t>0.722</w:t>
                  </w:r>
                </w:p>
              </w:tc>
              <w:tc>
                <w:tcPr>
                  <w:tcW w:w="402" w:type="pct"/>
                  <w:noWrap w:val="0"/>
                  <w:vAlign w:val="center"/>
                </w:tcPr>
                <w:p w14:paraId="6AA59819">
                  <w:pPr>
                    <w:pStyle w:val="57"/>
                    <w:bidi w:val="0"/>
                    <w:rPr>
                      <w:color w:val="auto"/>
                    </w:rPr>
                  </w:pPr>
                  <w:r>
                    <w:rPr>
                      <w:color w:val="auto"/>
                    </w:rPr>
                    <w:t>0.16</w:t>
                  </w:r>
                </w:p>
              </w:tc>
              <w:tc>
                <w:tcPr>
                  <w:tcW w:w="420" w:type="pct"/>
                  <w:noWrap w:val="0"/>
                  <w:vAlign w:val="center"/>
                </w:tcPr>
                <w:p w14:paraId="7B549924">
                  <w:pPr>
                    <w:pStyle w:val="57"/>
                    <w:bidi w:val="0"/>
                    <w:rPr>
                      <w:color w:val="auto"/>
                    </w:rPr>
                  </w:pPr>
                  <w:r>
                    <w:rPr>
                      <w:color w:val="auto"/>
                    </w:rPr>
                    <w:t>1.63</w:t>
                  </w:r>
                </w:p>
              </w:tc>
              <w:tc>
                <w:tcPr>
                  <w:tcW w:w="436" w:type="pct"/>
                  <w:noWrap w:val="0"/>
                  <w:vAlign w:val="center"/>
                </w:tcPr>
                <w:p w14:paraId="7893A4DB">
                  <w:pPr>
                    <w:pStyle w:val="57"/>
                    <w:bidi w:val="0"/>
                    <w:rPr>
                      <w:color w:val="auto"/>
                    </w:rPr>
                  </w:pPr>
                  <w:r>
                    <w:rPr>
                      <w:color w:val="auto"/>
                    </w:rPr>
                    <w:t>6.82</w:t>
                  </w:r>
                </w:p>
              </w:tc>
              <w:tc>
                <w:tcPr>
                  <w:tcW w:w="385" w:type="pct"/>
                  <w:noWrap w:val="0"/>
                  <w:vAlign w:val="center"/>
                </w:tcPr>
                <w:p w14:paraId="725CE0C4">
                  <w:pPr>
                    <w:pStyle w:val="57"/>
                    <w:bidi w:val="0"/>
                    <w:rPr>
                      <w:color w:val="auto"/>
                    </w:rPr>
                  </w:pPr>
                  <w:r>
                    <w:rPr>
                      <w:color w:val="auto"/>
                    </w:rPr>
                    <w:t>0.03</w:t>
                  </w:r>
                </w:p>
              </w:tc>
              <w:tc>
                <w:tcPr>
                  <w:tcW w:w="471" w:type="pct"/>
                  <w:noWrap w:val="0"/>
                  <w:vAlign w:val="center"/>
                </w:tcPr>
                <w:p w14:paraId="0FC86350">
                  <w:pPr>
                    <w:pStyle w:val="57"/>
                    <w:bidi w:val="0"/>
                    <w:rPr>
                      <w:color w:val="auto"/>
                    </w:rPr>
                  </w:pPr>
                  <w:r>
                    <w:rPr>
                      <w:color w:val="auto"/>
                    </w:rPr>
                    <w:t>410</w:t>
                  </w:r>
                </w:p>
              </w:tc>
            </w:tr>
            <w:tr w14:paraId="20D64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3EB0F708">
                  <w:pPr>
                    <w:pStyle w:val="57"/>
                    <w:bidi w:val="0"/>
                    <w:rPr>
                      <w:color w:val="auto"/>
                    </w:rPr>
                  </w:pPr>
                </w:p>
              </w:tc>
              <w:tc>
                <w:tcPr>
                  <w:tcW w:w="394" w:type="pct"/>
                  <w:noWrap w:val="0"/>
                  <w:vAlign w:val="center"/>
                </w:tcPr>
                <w:p w14:paraId="5E693170">
                  <w:pPr>
                    <w:pStyle w:val="57"/>
                    <w:bidi w:val="0"/>
                    <w:rPr>
                      <w:color w:val="auto"/>
                    </w:rPr>
                  </w:pPr>
                  <w:r>
                    <w:rPr>
                      <w:color w:val="auto"/>
                    </w:rPr>
                    <w:t>12.2</w:t>
                  </w:r>
                </w:p>
              </w:tc>
              <w:tc>
                <w:tcPr>
                  <w:tcW w:w="428" w:type="pct"/>
                  <w:noWrap w:val="0"/>
                  <w:vAlign w:val="center"/>
                </w:tcPr>
                <w:p w14:paraId="327BF7D1">
                  <w:pPr>
                    <w:pStyle w:val="57"/>
                    <w:bidi w:val="0"/>
                    <w:rPr>
                      <w:color w:val="auto"/>
                    </w:rPr>
                  </w:pPr>
                  <w:r>
                    <w:rPr>
                      <w:color w:val="auto"/>
                    </w:rPr>
                    <w:t>7.1</w:t>
                  </w:r>
                </w:p>
              </w:tc>
              <w:tc>
                <w:tcPr>
                  <w:tcW w:w="311" w:type="pct"/>
                  <w:noWrap w:val="0"/>
                  <w:vAlign w:val="center"/>
                </w:tcPr>
                <w:p w14:paraId="591449E6">
                  <w:pPr>
                    <w:pStyle w:val="57"/>
                    <w:bidi w:val="0"/>
                    <w:rPr>
                      <w:color w:val="auto"/>
                    </w:rPr>
                  </w:pPr>
                  <w:r>
                    <w:rPr>
                      <w:color w:val="auto"/>
                    </w:rPr>
                    <w:t>25</w:t>
                  </w:r>
                </w:p>
              </w:tc>
              <w:tc>
                <w:tcPr>
                  <w:tcW w:w="415" w:type="pct"/>
                  <w:noWrap w:val="0"/>
                  <w:vAlign w:val="center"/>
                </w:tcPr>
                <w:p w14:paraId="51E4B4C5">
                  <w:pPr>
                    <w:pStyle w:val="57"/>
                    <w:bidi w:val="0"/>
                    <w:rPr>
                      <w:color w:val="auto"/>
                    </w:rPr>
                  </w:pPr>
                  <w:r>
                    <w:rPr>
                      <w:color w:val="auto"/>
                    </w:rPr>
                    <w:t>24</w:t>
                  </w:r>
                </w:p>
              </w:tc>
              <w:tc>
                <w:tcPr>
                  <w:tcW w:w="463" w:type="pct"/>
                  <w:noWrap w:val="0"/>
                  <w:vAlign w:val="center"/>
                </w:tcPr>
                <w:p w14:paraId="080C2917">
                  <w:pPr>
                    <w:pStyle w:val="57"/>
                    <w:bidi w:val="0"/>
                    <w:rPr>
                      <w:color w:val="auto"/>
                    </w:rPr>
                  </w:pPr>
                  <w:r>
                    <w:rPr>
                      <w:color w:val="auto"/>
                    </w:rPr>
                    <w:t>7.2</w:t>
                  </w:r>
                </w:p>
              </w:tc>
              <w:tc>
                <w:tcPr>
                  <w:tcW w:w="470" w:type="pct"/>
                  <w:noWrap w:val="0"/>
                  <w:vAlign w:val="center"/>
                </w:tcPr>
                <w:p w14:paraId="64A4FC3C">
                  <w:pPr>
                    <w:pStyle w:val="57"/>
                    <w:bidi w:val="0"/>
                    <w:rPr>
                      <w:color w:val="auto"/>
                    </w:rPr>
                  </w:pPr>
                  <w:r>
                    <w:rPr>
                      <w:color w:val="auto"/>
                    </w:rPr>
                    <w:t>0.684</w:t>
                  </w:r>
                </w:p>
              </w:tc>
              <w:tc>
                <w:tcPr>
                  <w:tcW w:w="402" w:type="pct"/>
                  <w:noWrap w:val="0"/>
                  <w:vAlign w:val="center"/>
                </w:tcPr>
                <w:p w14:paraId="2125EA92">
                  <w:pPr>
                    <w:pStyle w:val="57"/>
                    <w:bidi w:val="0"/>
                    <w:rPr>
                      <w:color w:val="auto"/>
                    </w:rPr>
                  </w:pPr>
                  <w:r>
                    <w:rPr>
                      <w:color w:val="auto"/>
                    </w:rPr>
                    <w:t>0.17</w:t>
                  </w:r>
                </w:p>
              </w:tc>
              <w:tc>
                <w:tcPr>
                  <w:tcW w:w="420" w:type="pct"/>
                  <w:noWrap w:val="0"/>
                  <w:vAlign w:val="center"/>
                </w:tcPr>
                <w:p w14:paraId="55F356E2">
                  <w:pPr>
                    <w:pStyle w:val="57"/>
                    <w:bidi w:val="0"/>
                    <w:rPr>
                      <w:color w:val="auto"/>
                    </w:rPr>
                  </w:pPr>
                  <w:r>
                    <w:rPr>
                      <w:color w:val="auto"/>
                    </w:rPr>
                    <w:t>1.64</w:t>
                  </w:r>
                </w:p>
              </w:tc>
              <w:tc>
                <w:tcPr>
                  <w:tcW w:w="436" w:type="pct"/>
                  <w:noWrap w:val="0"/>
                  <w:vAlign w:val="center"/>
                </w:tcPr>
                <w:p w14:paraId="5BC27148">
                  <w:pPr>
                    <w:pStyle w:val="57"/>
                    <w:bidi w:val="0"/>
                    <w:rPr>
                      <w:color w:val="auto"/>
                    </w:rPr>
                  </w:pPr>
                  <w:r>
                    <w:rPr>
                      <w:color w:val="auto"/>
                    </w:rPr>
                    <w:t>7.24</w:t>
                  </w:r>
                </w:p>
              </w:tc>
              <w:tc>
                <w:tcPr>
                  <w:tcW w:w="385" w:type="pct"/>
                  <w:noWrap w:val="0"/>
                  <w:vAlign w:val="center"/>
                </w:tcPr>
                <w:p w14:paraId="1FC1DDB2">
                  <w:pPr>
                    <w:pStyle w:val="57"/>
                    <w:bidi w:val="0"/>
                    <w:rPr>
                      <w:color w:val="auto"/>
                    </w:rPr>
                  </w:pPr>
                  <w:r>
                    <w:rPr>
                      <w:color w:val="auto"/>
                    </w:rPr>
                    <w:t>0.02</w:t>
                  </w:r>
                </w:p>
              </w:tc>
              <w:tc>
                <w:tcPr>
                  <w:tcW w:w="471" w:type="pct"/>
                  <w:noWrap w:val="0"/>
                  <w:vAlign w:val="center"/>
                </w:tcPr>
                <w:p w14:paraId="293D7E35">
                  <w:pPr>
                    <w:pStyle w:val="57"/>
                    <w:bidi w:val="0"/>
                    <w:rPr>
                      <w:color w:val="auto"/>
                    </w:rPr>
                  </w:pPr>
                  <w:r>
                    <w:rPr>
                      <w:color w:val="auto"/>
                    </w:rPr>
                    <w:t>420</w:t>
                  </w:r>
                </w:p>
              </w:tc>
            </w:tr>
            <w:tr w14:paraId="04C41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97" w:type="pct"/>
                  <w:vMerge w:val="continue"/>
                  <w:noWrap w:val="0"/>
                  <w:vAlign w:val="center"/>
                </w:tcPr>
                <w:p w14:paraId="7601D6E6">
                  <w:pPr>
                    <w:pStyle w:val="57"/>
                    <w:bidi w:val="0"/>
                    <w:rPr>
                      <w:color w:val="auto"/>
                    </w:rPr>
                  </w:pPr>
                </w:p>
              </w:tc>
              <w:tc>
                <w:tcPr>
                  <w:tcW w:w="394" w:type="pct"/>
                  <w:noWrap w:val="0"/>
                  <w:vAlign w:val="center"/>
                </w:tcPr>
                <w:p w14:paraId="1AD9598F">
                  <w:pPr>
                    <w:pStyle w:val="57"/>
                    <w:bidi w:val="0"/>
                    <w:rPr>
                      <w:color w:val="auto"/>
                    </w:rPr>
                  </w:pPr>
                  <w:r>
                    <w:rPr>
                      <w:color w:val="auto"/>
                    </w:rPr>
                    <w:t>12.3</w:t>
                  </w:r>
                </w:p>
              </w:tc>
              <w:tc>
                <w:tcPr>
                  <w:tcW w:w="428" w:type="pct"/>
                  <w:noWrap w:val="0"/>
                  <w:vAlign w:val="center"/>
                </w:tcPr>
                <w:p w14:paraId="40E40FC4">
                  <w:pPr>
                    <w:pStyle w:val="57"/>
                    <w:bidi w:val="0"/>
                    <w:rPr>
                      <w:color w:val="auto"/>
                    </w:rPr>
                  </w:pPr>
                  <w:r>
                    <w:rPr>
                      <w:color w:val="auto"/>
                    </w:rPr>
                    <w:t>7.2</w:t>
                  </w:r>
                </w:p>
              </w:tc>
              <w:tc>
                <w:tcPr>
                  <w:tcW w:w="311" w:type="pct"/>
                  <w:noWrap w:val="0"/>
                  <w:vAlign w:val="center"/>
                </w:tcPr>
                <w:p w14:paraId="495550AF">
                  <w:pPr>
                    <w:pStyle w:val="57"/>
                    <w:bidi w:val="0"/>
                    <w:rPr>
                      <w:color w:val="auto"/>
                    </w:rPr>
                  </w:pPr>
                  <w:r>
                    <w:rPr>
                      <w:color w:val="auto"/>
                    </w:rPr>
                    <w:t>26</w:t>
                  </w:r>
                </w:p>
              </w:tc>
              <w:tc>
                <w:tcPr>
                  <w:tcW w:w="415" w:type="pct"/>
                  <w:noWrap w:val="0"/>
                  <w:vAlign w:val="center"/>
                </w:tcPr>
                <w:p w14:paraId="266EA022">
                  <w:pPr>
                    <w:pStyle w:val="57"/>
                    <w:bidi w:val="0"/>
                    <w:rPr>
                      <w:color w:val="auto"/>
                    </w:rPr>
                  </w:pPr>
                  <w:r>
                    <w:rPr>
                      <w:color w:val="auto"/>
                    </w:rPr>
                    <w:t>25</w:t>
                  </w:r>
                </w:p>
              </w:tc>
              <w:tc>
                <w:tcPr>
                  <w:tcW w:w="463" w:type="pct"/>
                  <w:noWrap w:val="0"/>
                  <w:vAlign w:val="center"/>
                </w:tcPr>
                <w:p w14:paraId="52E30A8D">
                  <w:pPr>
                    <w:pStyle w:val="57"/>
                    <w:bidi w:val="0"/>
                    <w:rPr>
                      <w:color w:val="auto"/>
                    </w:rPr>
                  </w:pPr>
                  <w:r>
                    <w:rPr>
                      <w:color w:val="auto"/>
                    </w:rPr>
                    <w:t>7.4</w:t>
                  </w:r>
                </w:p>
              </w:tc>
              <w:tc>
                <w:tcPr>
                  <w:tcW w:w="470" w:type="pct"/>
                  <w:noWrap w:val="0"/>
                  <w:vAlign w:val="center"/>
                </w:tcPr>
                <w:p w14:paraId="78224DBC">
                  <w:pPr>
                    <w:pStyle w:val="57"/>
                    <w:bidi w:val="0"/>
                    <w:rPr>
                      <w:color w:val="auto"/>
                    </w:rPr>
                  </w:pPr>
                  <w:r>
                    <w:rPr>
                      <w:color w:val="auto"/>
                    </w:rPr>
                    <w:t>0.716</w:t>
                  </w:r>
                </w:p>
              </w:tc>
              <w:tc>
                <w:tcPr>
                  <w:tcW w:w="402" w:type="pct"/>
                  <w:noWrap w:val="0"/>
                  <w:vAlign w:val="center"/>
                </w:tcPr>
                <w:p w14:paraId="6ACD81DF">
                  <w:pPr>
                    <w:pStyle w:val="57"/>
                    <w:bidi w:val="0"/>
                    <w:rPr>
                      <w:color w:val="auto"/>
                    </w:rPr>
                  </w:pPr>
                  <w:r>
                    <w:rPr>
                      <w:color w:val="auto"/>
                    </w:rPr>
                    <w:t>0.16</w:t>
                  </w:r>
                </w:p>
              </w:tc>
              <w:tc>
                <w:tcPr>
                  <w:tcW w:w="420" w:type="pct"/>
                  <w:noWrap w:val="0"/>
                  <w:vAlign w:val="center"/>
                </w:tcPr>
                <w:p w14:paraId="7A397437">
                  <w:pPr>
                    <w:pStyle w:val="57"/>
                    <w:bidi w:val="0"/>
                    <w:rPr>
                      <w:color w:val="auto"/>
                    </w:rPr>
                  </w:pPr>
                  <w:r>
                    <w:rPr>
                      <w:color w:val="auto"/>
                    </w:rPr>
                    <w:t>1.57</w:t>
                  </w:r>
                </w:p>
              </w:tc>
              <w:tc>
                <w:tcPr>
                  <w:tcW w:w="436" w:type="pct"/>
                  <w:noWrap w:val="0"/>
                  <w:vAlign w:val="center"/>
                </w:tcPr>
                <w:p w14:paraId="57548889">
                  <w:pPr>
                    <w:pStyle w:val="57"/>
                    <w:bidi w:val="0"/>
                    <w:rPr>
                      <w:color w:val="auto"/>
                    </w:rPr>
                  </w:pPr>
                  <w:r>
                    <w:rPr>
                      <w:color w:val="auto"/>
                    </w:rPr>
                    <w:t>6.95</w:t>
                  </w:r>
                </w:p>
              </w:tc>
              <w:tc>
                <w:tcPr>
                  <w:tcW w:w="385" w:type="pct"/>
                  <w:noWrap w:val="0"/>
                  <w:vAlign w:val="center"/>
                </w:tcPr>
                <w:p w14:paraId="65E9E16D">
                  <w:pPr>
                    <w:pStyle w:val="57"/>
                    <w:bidi w:val="0"/>
                    <w:rPr>
                      <w:color w:val="auto"/>
                    </w:rPr>
                  </w:pPr>
                  <w:r>
                    <w:rPr>
                      <w:color w:val="auto"/>
                    </w:rPr>
                    <w:t>0.03</w:t>
                  </w:r>
                </w:p>
              </w:tc>
              <w:tc>
                <w:tcPr>
                  <w:tcW w:w="471" w:type="pct"/>
                  <w:noWrap w:val="0"/>
                  <w:vAlign w:val="center"/>
                </w:tcPr>
                <w:p w14:paraId="73B1FE00">
                  <w:pPr>
                    <w:pStyle w:val="57"/>
                    <w:bidi w:val="0"/>
                    <w:rPr>
                      <w:color w:val="auto"/>
                    </w:rPr>
                  </w:pPr>
                  <w:r>
                    <w:rPr>
                      <w:color w:val="auto"/>
                    </w:rPr>
                    <w:t>380</w:t>
                  </w:r>
                </w:p>
              </w:tc>
            </w:tr>
          </w:tbl>
          <w:p w14:paraId="3F126C0E">
            <w:pPr>
              <w:ind w:firstLine="482"/>
              <w:rPr>
                <w:b w:val="0"/>
                <w:bCs/>
                <w:color w:val="auto"/>
              </w:rPr>
            </w:pPr>
            <w:r>
              <w:rPr>
                <w:b w:val="0"/>
                <w:bCs/>
                <w:color w:val="auto"/>
              </w:rPr>
              <w:t>从上表可看出，地表水运粮河均满足《地表水环境质量标准》（GB3838-2002）V类水标准要求。</w:t>
            </w:r>
          </w:p>
          <w:p w14:paraId="403B3B67">
            <w:pPr>
              <w:ind w:firstLine="482"/>
              <w:rPr>
                <w:b/>
                <w:bCs/>
                <w:color w:val="auto"/>
              </w:rPr>
            </w:pPr>
            <w:r>
              <w:rPr>
                <w:b/>
                <w:bCs/>
                <w:color w:val="auto"/>
              </w:rPr>
              <w:t>3、声环境质量现状</w:t>
            </w:r>
          </w:p>
          <w:p w14:paraId="39364149">
            <w:pPr>
              <w:ind w:firstLine="480"/>
              <w:rPr>
                <w:rFonts w:hint="eastAsia" w:ascii="宋体" w:hAnsi="宋体" w:cs="宋体"/>
                <w:b/>
                <w:bCs/>
                <w:color w:val="auto"/>
                <w:kern w:val="0"/>
              </w:rPr>
            </w:pPr>
            <w:r>
              <w:rPr>
                <w:rFonts w:hint="eastAsia"/>
                <w:color w:val="auto"/>
              </w:rPr>
              <w:t>本项目厂界外5</w:t>
            </w:r>
            <w:r>
              <w:rPr>
                <w:color w:val="auto"/>
              </w:rPr>
              <w:t>0m</w:t>
            </w:r>
            <w:r>
              <w:rPr>
                <w:rFonts w:hint="eastAsia"/>
                <w:color w:val="auto"/>
              </w:rPr>
              <w:t>范围内无声环境保护目标，根据《建设项目环境影响报告表编制技术指南》（污染影响类）可不开展现状调查。</w:t>
            </w:r>
          </w:p>
          <w:p w14:paraId="4F8F7777">
            <w:pPr>
              <w:widowControl/>
              <w:ind w:firstLine="482"/>
              <w:jc w:val="left"/>
              <w:rPr>
                <w:color w:val="auto"/>
              </w:rPr>
            </w:pPr>
            <w:r>
              <w:rPr>
                <w:rFonts w:hint="eastAsia" w:ascii="宋体" w:hAnsi="宋体" w:cs="宋体"/>
                <w:b/>
                <w:bCs/>
                <w:color w:val="auto"/>
                <w:kern w:val="0"/>
              </w:rPr>
              <w:t>4、生态环境质量现状</w:t>
            </w:r>
          </w:p>
          <w:p w14:paraId="3F6797D0">
            <w:pPr>
              <w:widowControl/>
              <w:ind w:firstLine="480"/>
              <w:jc w:val="left"/>
              <w:rPr>
                <w:color w:val="auto"/>
              </w:rPr>
            </w:pPr>
            <w:r>
              <w:rPr>
                <w:rFonts w:hint="eastAsia" w:ascii="宋体" w:hAnsi="宋体" w:cs="宋体"/>
                <w:color w:val="auto"/>
                <w:kern w:val="0"/>
              </w:rPr>
              <w:t>项目选址</w:t>
            </w:r>
            <w:r>
              <w:rPr>
                <w:color w:val="auto"/>
                <w:kern w:val="0"/>
              </w:rPr>
              <w:t>位于</w:t>
            </w:r>
            <w:r>
              <w:rPr>
                <w:rFonts w:hint="eastAsia"/>
                <w:color w:val="auto"/>
                <w:kern w:val="0"/>
                <w:lang w:val="en-US" w:eastAsia="zh-CN"/>
              </w:rPr>
              <w:t>宿州经开</w:t>
            </w:r>
            <w:r>
              <w:rPr>
                <w:rFonts w:hint="eastAsia"/>
                <w:color w:val="auto"/>
                <w:kern w:val="0"/>
              </w:rPr>
              <w:t>区陈河路与鞋城八路交叉口东南角</w:t>
            </w:r>
            <w:r>
              <w:rPr>
                <w:color w:val="auto"/>
                <w:kern w:val="0"/>
              </w:rPr>
              <w:t>内，用地范</w:t>
            </w:r>
            <w:r>
              <w:rPr>
                <w:rFonts w:hint="eastAsia" w:ascii="宋体" w:hAnsi="宋体" w:cs="宋体"/>
                <w:color w:val="auto"/>
                <w:kern w:val="0"/>
              </w:rPr>
              <w:t>围内无生态环境保护目标，无需进行生态环境现状调查。</w:t>
            </w:r>
          </w:p>
          <w:p w14:paraId="7854D46B">
            <w:pPr>
              <w:widowControl/>
              <w:ind w:firstLine="482"/>
              <w:jc w:val="left"/>
              <w:rPr>
                <w:color w:val="auto"/>
              </w:rPr>
            </w:pPr>
            <w:r>
              <w:rPr>
                <w:rFonts w:hint="eastAsia" w:ascii="宋体" w:hAnsi="宋体" w:cs="宋体"/>
                <w:b/>
                <w:bCs/>
                <w:color w:val="auto"/>
                <w:kern w:val="0"/>
              </w:rPr>
              <w:t>5、电磁辐射现状</w:t>
            </w:r>
          </w:p>
          <w:p w14:paraId="3EA92FF5">
            <w:pPr>
              <w:widowControl/>
              <w:ind w:firstLine="480"/>
              <w:jc w:val="left"/>
              <w:rPr>
                <w:color w:val="auto"/>
              </w:rPr>
            </w:pPr>
            <w:r>
              <w:rPr>
                <w:rFonts w:hint="eastAsia" w:ascii="宋体" w:hAnsi="宋体" w:cs="宋体"/>
                <w:color w:val="auto"/>
                <w:kern w:val="0"/>
              </w:rPr>
              <w:t>项目不属于电磁辐射类项目，无需进行电磁辐射现状监测与评价。</w:t>
            </w:r>
          </w:p>
          <w:p w14:paraId="2B05FA96">
            <w:pPr>
              <w:widowControl/>
              <w:ind w:firstLine="482"/>
              <w:jc w:val="left"/>
              <w:rPr>
                <w:color w:val="auto"/>
              </w:rPr>
            </w:pPr>
            <w:r>
              <w:rPr>
                <w:rFonts w:hint="eastAsia" w:ascii="宋体" w:hAnsi="宋体" w:cs="宋体"/>
                <w:b/>
                <w:bCs/>
                <w:color w:val="auto"/>
                <w:kern w:val="0"/>
              </w:rPr>
              <w:t>6、地下水、土壤环境质量现状</w:t>
            </w:r>
          </w:p>
          <w:p w14:paraId="734F4970">
            <w:pPr>
              <w:widowControl/>
              <w:ind w:firstLine="480"/>
              <w:jc w:val="left"/>
              <w:rPr>
                <w:rFonts w:hint="eastAsia" w:ascii="宋体" w:hAnsi="宋体" w:cs="宋体"/>
                <w:color w:val="auto"/>
                <w:kern w:val="0"/>
              </w:rPr>
            </w:pPr>
            <w:r>
              <w:rPr>
                <w:rFonts w:hint="eastAsia" w:ascii="宋体" w:hAnsi="宋体" w:cs="宋体"/>
                <w:color w:val="auto"/>
                <w:kern w:val="0"/>
              </w:rPr>
              <w:t>根据《建设项目环境影响报告表编制技术指南（污染影响类）（试行）》中“地下水、土壤环境原则上不开展环境质量现状调查”，本项目运行期间不涉及重金属及持久性难降解污染物，厂房地面均已硬化并采取分区防控措施。因此，不进行地下水及土壤环境质量现状评价。</w:t>
            </w:r>
          </w:p>
          <w:p w14:paraId="0EA74E2F">
            <w:pPr>
              <w:ind w:firstLine="480"/>
              <w:rPr>
                <w:rFonts w:hint="eastAsia"/>
                <w:color w:val="auto"/>
              </w:rPr>
            </w:pPr>
          </w:p>
          <w:p w14:paraId="4C985B0E">
            <w:pPr>
              <w:ind w:firstLine="480"/>
              <w:rPr>
                <w:rFonts w:hint="eastAsia"/>
                <w:color w:val="auto"/>
              </w:rPr>
            </w:pPr>
          </w:p>
          <w:p w14:paraId="3BBAB835">
            <w:pPr>
              <w:ind w:firstLine="480"/>
              <w:rPr>
                <w:rFonts w:hint="eastAsia"/>
                <w:color w:val="auto"/>
              </w:rPr>
            </w:pPr>
          </w:p>
          <w:p w14:paraId="041F249B">
            <w:pPr>
              <w:ind w:firstLine="0" w:firstLineChars="0"/>
              <w:rPr>
                <w:rFonts w:hint="eastAsia"/>
                <w:color w:val="auto"/>
              </w:rPr>
            </w:pPr>
          </w:p>
          <w:p w14:paraId="48B66034">
            <w:pPr>
              <w:ind w:firstLine="0" w:firstLineChars="0"/>
              <w:rPr>
                <w:rFonts w:hint="eastAsia"/>
                <w:color w:val="auto"/>
              </w:rPr>
            </w:pPr>
          </w:p>
          <w:p w14:paraId="7E03E766">
            <w:pPr>
              <w:ind w:firstLine="0" w:firstLineChars="0"/>
              <w:rPr>
                <w:rFonts w:hint="eastAsia"/>
                <w:color w:val="auto"/>
              </w:rPr>
            </w:pPr>
          </w:p>
          <w:p w14:paraId="5CC246F0">
            <w:pPr>
              <w:ind w:firstLine="0" w:firstLineChars="0"/>
              <w:rPr>
                <w:rFonts w:hint="eastAsia"/>
                <w:color w:val="auto"/>
              </w:rPr>
            </w:pPr>
          </w:p>
          <w:p w14:paraId="4DAEF596">
            <w:pPr>
              <w:ind w:firstLine="0" w:firstLineChars="0"/>
              <w:rPr>
                <w:rFonts w:hint="eastAsia"/>
                <w:color w:val="auto"/>
              </w:rPr>
            </w:pPr>
          </w:p>
          <w:p w14:paraId="2E0B37D5">
            <w:pPr>
              <w:ind w:firstLine="0" w:firstLineChars="0"/>
              <w:rPr>
                <w:rFonts w:hint="eastAsia"/>
                <w:color w:val="auto"/>
              </w:rPr>
            </w:pPr>
          </w:p>
          <w:p w14:paraId="65276027">
            <w:pPr>
              <w:ind w:firstLine="0" w:firstLineChars="0"/>
              <w:rPr>
                <w:rFonts w:hint="eastAsia"/>
                <w:color w:val="auto"/>
              </w:rPr>
            </w:pPr>
          </w:p>
          <w:p w14:paraId="072AEAE0">
            <w:pPr>
              <w:ind w:firstLine="0" w:firstLineChars="0"/>
              <w:rPr>
                <w:rFonts w:hint="eastAsia"/>
                <w:color w:val="auto"/>
              </w:rPr>
            </w:pPr>
          </w:p>
          <w:p w14:paraId="4AF71459">
            <w:pPr>
              <w:pStyle w:val="2"/>
              <w:rPr>
                <w:rFonts w:hint="eastAsia"/>
                <w:color w:val="auto"/>
              </w:rPr>
            </w:pPr>
          </w:p>
          <w:p w14:paraId="0CA88F0F">
            <w:pPr>
              <w:rPr>
                <w:rFonts w:hint="eastAsia"/>
                <w:color w:val="auto"/>
              </w:rPr>
            </w:pPr>
          </w:p>
          <w:p w14:paraId="6C9A9971">
            <w:pPr>
              <w:pStyle w:val="2"/>
              <w:rPr>
                <w:rFonts w:hint="eastAsia"/>
                <w:color w:val="auto"/>
              </w:rPr>
            </w:pPr>
          </w:p>
          <w:p w14:paraId="30D14E3E">
            <w:pPr>
              <w:rPr>
                <w:rFonts w:hint="eastAsia"/>
                <w:color w:val="auto"/>
              </w:rPr>
            </w:pPr>
          </w:p>
          <w:p w14:paraId="7BF17F8F">
            <w:pPr>
              <w:ind w:firstLine="0" w:firstLineChars="0"/>
              <w:rPr>
                <w:rFonts w:hint="eastAsia"/>
                <w:color w:val="auto"/>
              </w:rPr>
            </w:pPr>
          </w:p>
          <w:p w14:paraId="4C8C491E">
            <w:pPr>
              <w:ind w:firstLine="0" w:firstLineChars="0"/>
              <w:rPr>
                <w:color w:val="auto"/>
              </w:rPr>
            </w:pPr>
          </w:p>
        </w:tc>
      </w:tr>
      <w:tr w14:paraId="7D40B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36" w:hRule="atLeast"/>
          <w:jc w:val="center"/>
        </w:trPr>
        <w:tc>
          <w:tcPr>
            <w:tcW w:w="401" w:type="pct"/>
            <w:vAlign w:val="center"/>
          </w:tcPr>
          <w:p w14:paraId="34E9C26F">
            <w:pPr>
              <w:adjustRightInd w:val="0"/>
              <w:snapToGrid w:val="0"/>
              <w:spacing w:line="240" w:lineRule="auto"/>
              <w:ind w:firstLine="0" w:firstLineChars="0"/>
              <w:jc w:val="center"/>
              <w:rPr>
                <w:b/>
                <w:bCs/>
                <w:color w:val="auto"/>
                <w:kern w:val="0"/>
              </w:rPr>
            </w:pPr>
            <w:r>
              <w:rPr>
                <w:b/>
                <w:bCs/>
                <w:color w:val="auto"/>
                <w:kern w:val="0"/>
              </w:rPr>
              <w:t>环境</w:t>
            </w:r>
          </w:p>
          <w:p w14:paraId="3E084B83">
            <w:pPr>
              <w:adjustRightInd w:val="0"/>
              <w:snapToGrid w:val="0"/>
              <w:spacing w:line="240" w:lineRule="auto"/>
              <w:ind w:firstLine="0" w:firstLineChars="0"/>
              <w:jc w:val="center"/>
              <w:rPr>
                <w:b/>
                <w:bCs/>
                <w:color w:val="auto"/>
                <w:kern w:val="0"/>
              </w:rPr>
            </w:pPr>
            <w:r>
              <w:rPr>
                <w:b/>
                <w:bCs/>
                <w:color w:val="auto"/>
                <w:kern w:val="0"/>
              </w:rPr>
              <w:t>保护</w:t>
            </w:r>
          </w:p>
          <w:p w14:paraId="0D5A5B0D">
            <w:pPr>
              <w:adjustRightInd w:val="0"/>
              <w:snapToGrid w:val="0"/>
              <w:spacing w:line="240" w:lineRule="auto"/>
              <w:ind w:firstLine="0" w:firstLineChars="0"/>
              <w:jc w:val="center"/>
              <w:rPr>
                <w:color w:val="auto"/>
                <w:kern w:val="0"/>
              </w:rPr>
            </w:pPr>
            <w:r>
              <w:rPr>
                <w:b/>
                <w:bCs/>
                <w:color w:val="auto"/>
                <w:kern w:val="0"/>
              </w:rPr>
              <w:t>目标</w:t>
            </w:r>
          </w:p>
        </w:tc>
        <w:tc>
          <w:tcPr>
            <w:tcW w:w="4598" w:type="pct"/>
            <w:vAlign w:val="center"/>
          </w:tcPr>
          <w:p w14:paraId="08ED76F2">
            <w:pPr>
              <w:pStyle w:val="14"/>
              <w:ind w:left="480"/>
              <w:rPr>
                <w:color w:val="auto"/>
              </w:rPr>
            </w:pPr>
          </w:p>
          <w:p w14:paraId="4B5B6C15">
            <w:pPr>
              <w:ind w:firstLine="480"/>
              <w:rPr>
                <w:color w:val="auto"/>
              </w:rPr>
            </w:pPr>
          </w:p>
          <w:p w14:paraId="066670FA">
            <w:pPr>
              <w:ind w:firstLine="480"/>
              <w:rPr>
                <w:color w:val="auto"/>
              </w:rPr>
            </w:pPr>
          </w:p>
          <w:p w14:paraId="41CB5C30">
            <w:pPr>
              <w:ind w:firstLine="480"/>
              <w:rPr>
                <w:color w:val="auto"/>
              </w:rPr>
            </w:pPr>
          </w:p>
          <w:p w14:paraId="48AD2C39">
            <w:pPr>
              <w:adjustRightInd w:val="0"/>
              <w:snapToGrid w:val="0"/>
              <w:ind w:firstLine="482"/>
              <w:rPr>
                <w:b/>
                <w:bCs/>
                <w:color w:val="auto"/>
              </w:rPr>
            </w:pPr>
            <w:r>
              <w:rPr>
                <w:b/>
                <w:bCs/>
                <w:color w:val="auto"/>
              </w:rPr>
              <w:t>1、大气环境</w:t>
            </w:r>
          </w:p>
          <w:p w14:paraId="38938763">
            <w:pPr>
              <w:adjustRightInd w:val="0"/>
              <w:snapToGrid w:val="0"/>
              <w:ind w:firstLine="480"/>
              <w:rPr>
                <w:color w:val="auto"/>
              </w:rPr>
            </w:pPr>
            <w:r>
              <w:rPr>
                <w:color w:val="auto"/>
              </w:rPr>
              <w:t>经实地调查，项目厂界外500米范围</w:t>
            </w:r>
            <w:r>
              <w:rPr>
                <w:rFonts w:hint="eastAsia"/>
                <w:color w:val="auto"/>
              </w:rPr>
              <w:t>存在</w:t>
            </w:r>
            <w:r>
              <w:rPr>
                <w:color w:val="auto"/>
              </w:rPr>
              <w:t>大气环境保护目标</w:t>
            </w:r>
            <w:r>
              <w:rPr>
                <w:rFonts w:hint="eastAsia"/>
                <w:color w:val="auto"/>
              </w:rPr>
              <w:t>。</w:t>
            </w:r>
          </w:p>
          <w:p w14:paraId="3C25C4FC">
            <w:pPr>
              <w:adjustRightInd w:val="0"/>
              <w:snapToGrid w:val="0"/>
              <w:ind w:firstLine="482"/>
              <w:rPr>
                <w:b/>
                <w:bCs/>
                <w:color w:val="auto"/>
              </w:rPr>
            </w:pPr>
            <w:r>
              <w:rPr>
                <w:b/>
                <w:bCs/>
                <w:color w:val="auto"/>
              </w:rPr>
              <w:t>2、声环境</w:t>
            </w:r>
          </w:p>
          <w:p w14:paraId="2F7E434F">
            <w:pPr>
              <w:adjustRightInd w:val="0"/>
              <w:snapToGrid w:val="0"/>
              <w:ind w:firstLine="480"/>
              <w:rPr>
                <w:color w:val="auto"/>
              </w:rPr>
            </w:pPr>
            <w:r>
              <w:rPr>
                <w:color w:val="auto"/>
              </w:rPr>
              <w:t>本项目厂界外50米范围</w:t>
            </w:r>
            <w:r>
              <w:rPr>
                <w:rFonts w:hint="eastAsia"/>
                <w:color w:val="auto"/>
              </w:rPr>
              <w:t>无</w:t>
            </w:r>
            <w:r>
              <w:rPr>
                <w:color w:val="auto"/>
              </w:rPr>
              <w:t>声环境保护目标。</w:t>
            </w:r>
          </w:p>
          <w:p w14:paraId="276C8570">
            <w:pPr>
              <w:adjustRightInd w:val="0"/>
              <w:snapToGrid w:val="0"/>
              <w:ind w:firstLine="482"/>
              <w:rPr>
                <w:b/>
                <w:bCs/>
                <w:color w:val="auto"/>
              </w:rPr>
            </w:pPr>
            <w:r>
              <w:rPr>
                <w:b/>
                <w:bCs/>
                <w:color w:val="auto"/>
              </w:rPr>
              <w:t>3、地下水环境</w:t>
            </w:r>
          </w:p>
          <w:p w14:paraId="4D0C45A9">
            <w:pPr>
              <w:adjustRightInd w:val="0"/>
              <w:snapToGrid w:val="0"/>
              <w:ind w:firstLine="480"/>
              <w:rPr>
                <w:color w:val="auto"/>
              </w:rPr>
            </w:pPr>
            <w:r>
              <w:rPr>
                <w:color w:val="auto"/>
              </w:rPr>
              <w:t>厂界外500m范围内无地下水集中式使用水水源和热水、矿泉水、温泉等特殊地下水资源。</w:t>
            </w:r>
          </w:p>
          <w:p w14:paraId="5D42CB87">
            <w:pPr>
              <w:adjustRightInd w:val="0"/>
              <w:snapToGrid w:val="0"/>
              <w:ind w:firstLine="482"/>
              <w:rPr>
                <w:b/>
                <w:bCs/>
                <w:color w:val="auto"/>
              </w:rPr>
            </w:pPr>
            <w:r>
              <w:rPr>
                <w:b/>
                <w:bCs/>
                <w:color w:val="auto"/>
              </w:rPr>
              <w:t>4、生态环境保护目标</w:t>
            </w:r>
          </w:p>
          <w:p w14:paraId="6BABF351">
            <w:pPr>
              <w:adjustRightInd w:val="0"/>
              <w:snapToGrid w:val="0"/>
              <w:ind w:firstLine="480"/>
              <w:rPr>
                <w:color w:val="auto"/>
              </w:rPr>
            </w:pPr>
            <w:r>
              <w:rPr>
                <w:color w:val="auto"/>
              </w:rPr>
              <w:t>本项目位于</w:t>
            </w:r>
            <w:r>
              <w:rPr>
                <w:rFonts w:hint="eastAsia"/>
                <w:color w:val="auto"/>
              </w:rPr>
              <w:t>安徽省</w:t>
            </w:r>
            <w:r>
              <w:rPr>
                <w:rFonts w:hint="eastAsia"/>
                <w:color w:val="auto"/>
                <w:lang w:eastAsia="zh-CN"/>
              </w:rPr>
              <w:t>宿州市经济开发区陈河路与鞋</w:t>
            </w:r>
            <w:r>
              <w:rPr>
                <w:rFonts w:hint="eastAsia"/>
                <w:color w:val="auto"/>
              </w:rPr>
              <w:t>城八路交叉口东南角，属于园区内企业，项目用地为工业用地，项目周边无</w:t>
            </w:r>
            <w:r>
              <w:rPr>
                <w:color w:val="auto"/>
              </w:rPr>
              <w:t>生态环境保护目标</w:t>
            </w:r>
            <w:r>
              <w:rPr>
                <w:rFonts w:hint="eastAsia"/>
                <w:color w:val="auto"/>
              </w:rPr>
              <w:t>。</w:t>
            </w:r>
          </w:p>
          <w:p w14:paraId="22944D9C">
            <w:pPr>
              <w:pStyle w:val="133"/>
              <w:ind w:firstLine="422"/>
              <w:rPr>
                <w:color w:val="auto"/>
              </w:rPr>
            </w:pPr>
            <w:r>
              <w:rPr>
                <w:color w:val="auto"/>
              </w:rPr>
              <w:t>表3</w:t>
            </w:r>
            <w:r>
              <w:rPr>
                <w:rFonts w:hint="eastAsia"/>
                <w:color w:val="auto"/>
              </w:rPr>
              <w:t>-</w:t>
            </w:r>
            <w:r>
              <w:rPr>
                <w:rFonts w:hint="eastAsia"/>
                <w:color w:val="auto"/>
                <w:lang w:val="en-US" w:eastAsia="zh-CN"/>
              </w:rPr>
              <w:t>6</w:t>
            </w:r>
            <w:r>
              <w:rPr>
                <w:color w:val="auto"/>
              </w:rPr>
              <w:t>本项目周边环境敏感点分布情况一览表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85"/>
              <w:gridCol w:w="751"/>
              <w:gridCol w:w="683"/>
              <w:gridCol w:w="649"/>
              <w:gridCol w:w="1415"/>
              <w:gridCol w:w="1647"/>
              <w:gridCol w:w="948"/>
              <w:gridCol w:w="1041"/>
            </w:tblGrid>
            <w:tr w14:paraId="3C8C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restart"/>
                  <w:vAlign w:val="center"/>
                </w:tcPr>
                <w:p w14:paraId="7AD0D303">
                  <w:pPr>
                    <w:pStyle w:val="57"/>
                    <w:rPr>
                      <w:b/>
                      <w:bCs w:val="0"/>
                      <w:color w:val="auto"/>
                    </w:rPr>
                  </w:pPr>
                  <w:r>
                    <w:rPr>
                      <w:b/>
                      <w:bCs w:val="0"/>
                      <w:color w:val="auto"/>
                    </w:rPr>
                    <w:t>环境</w:t>
                  </w:r>
                </w:p>
                <w:p w14:paraId="569EE496">
                  <w:pPr>
                    <w:pStyle w:val="57"/>
                    <w:rPr>
                      <w:b/>
                      <w:bCs w:val="0"/>
                      <w:color w:val="auto"/>
                    </w:rPr>
                  </w:pPr>
                  <w:r>
                    <w:rPr>
                      <w:b/>
                      <w:bCs w:val="0"/>
                      <w:color w:val="auto"/>
                    </w:rPr>
                    <w:t>要素</w:t>
                  </w:r>
                </w:p>
              </w:tc>
              <w:tc>
                <w:tcPr>
                  <w:tcW w:w="397" w:type="pct"/>
                  <w:vMerge w:val="restart"/>
                  <w:vAlign w:val="center"/>
                </w:tcPr>
                <w:p w14:paraId="2DBF9BA1">
                  <w:pPr>
                    <w:pStyle w:val="57"/>
                    <w:rPr>
                      <w:b/>
                      <w:bCs w:val="0"/>
                      <w:color w:val="auto"/>
                    </w:rPr>
                  </w:pPr>
                  <w:r>
                    <w:rPr>
                      <w:b/>
                      <w:bCs w:val="0"/>
                      <w:color w:val="auto"/>
                    </w:rPr>
                    <w:t>名称</w:t>
                  </w:r>
                </w:p>
              </w:tc>
              <w:tc>
                <w:tcPr>
                  <w:tcW w:w="831" w:type="pct"/>
                  <w:gridSpan w:val="2"/>
                  <w:vAlign w:val="center"/>
                </w:tcPr>
                <w:p w14:paraId="13C398AF">
                  <w:pPr>
                    <w:pStyle w:val="57"/>
                    <w:rPr>
                      <w:b/>
                      <w:bCs w:val="0"/>
                      <w:color w:val="auto"/>
                    </w:rPr>
                  </w:pPr>
                  <w:r>
                    <w:rPr>
                      <w:b/>
                      <w:bCs w:val="0"/>
                      <w:color w:val="auto"/>
                    </w:rPr>
                    <w:t>坐标，m</w:t>
                  </w:r>
                </w:p>
              </w:tc>
              <w:tc>
                <w:tcPr>
                  <w:tcW w:w="376" w:type="pct"/>
                  <w:vMerge w:val="restart"/>
                  <w:vAlign w:val="center"/>
                </w:tcPr>
                <w:p w14:paraId="650B4CEF">
                  <w:pPr>
                    <w:pStyle w:val="57"/>
                    <w:rPr>
                      <w:b/>
                      <w:bCs w:val="0"/>
                      <w:color w:val="auto"/>
                    </w:rPr>
                  </w:pPr>
                  <w:r>
                    <w:rPr>
                      <w:b/>
                      <w:bCs w:val="0"/>
                      <w:color w:val="auto"/>
                    </w:rPr>
                    <w:t>保护对象</w:t>
                  </w:r>
                </w:p>
              </w:tc>
              <w:tc>
                <w:tcPr>
                  <w:tcW w:w="820" w:type="pct"/>
                  <w:vMerge w:val="restart"/>
                  <w:vAlign w:val="center"/>
                </w:tcPr>
                <w:p w14:paraId="69B44FE5">
                  <w:pPr>
                    <w:pStyle w:val="57"/>
                    <w:rPr>
                      <w:b/>
                      <w:bCs w:val="0"/>
                      <w:color w:val="auto"/>
                    </w:rPr>
                  </w:pPr>
                  <w:r>
                    <w:rPr>
                      <w:b/>
                      <w:bCs w:val="0"/>
                      <w:color w:val="auto"/>
                    </w:rPr>
                    <w:t>保护内容</w:t>
                  </w:r>
                </w:p>
              </w:tc>
              <w:tc>
                <w:tcPr>
                  <w:tcW w:w="954" w:type="pct"/>
                  <w:vMerge w:val="restart"/>
                  <w:vAlign w:val="center"/>
                </w:tcPr>
                <w:p w14:paraId="1401451D">
                  <w:pPr>
                    <w:pStyle w:val="57"/>
                    <w:rPr>
                      <w:b/>
                      <w:bCs w:val="0"/>
                      <w:color w:val="auto"/>
                    </w:rPr>
                  </w:pPr>
                  <w:r>
                    <w:rPr>
                      <w:b/>
                      <w:bCs w:val="0"/>
                      <w:color w:val="auto"/>
                    </w:rPr>
                    <w:t>环境功能区</w:t>
                  </w:r>
                </w:p>
              </w:tc>
              <w:tc>
                <w:tcPr>
                  <w:tcW w:w="549" w:type="pct"/>
                  <w:vMerge w:val="restart"/>
                  <w:vAlign w:val="center"/>
                </w:tcPr>
                <w:p w14:paraId="52828A66">
                  <w:pPr>
                    <w:pStyle w:val="57"/>
                    <w:rPr>
                      <w:b/>
                      <w:bCs w:val="0"/>
                      <w:color w:val="auto"/>
                    </w:rPr>
                  </w:pPr>
                  <w:r>
                    <w:rPr>
                      <w:b/>
                      <w:bCs w:val="0"/>
                      <w:color w:val="auto"/>
                    </w:rPr>
                    <w:t>相对厂址方位</w:t>
                  </w:r>
                </w:p>
              </w:tc>
              <w:tc>
                <w:tcPr>
                  <w:tcW w:w="600" w:type="pct"/>
                  <w:vMerge w:val="restart"/>
                  <w:vAlign w:val="center"/>
                </w:tcPr>
                <w:p w14:paraId="6E36BD91">
                  <w:pPr>
                    <w:pStyle w:val="57"/>
                    <w:rPr>
                      <w:b/>
                      <w:bCs w:val="0"/>
                      <w:color w:val="auto"/>
                    </w:rPr>
                  </w:pPr>
                  <w:r>
                    <w:rPr>
                      <w:b/>
                      <w:bCs w:val="0"/>
                      <w:color w:val="auto"/>
                    </w:rPr>
                    <w:t>相对厂界距离m</w:t>
                  </w:r>
                </w:p>
              </w:tc>
            </w:tr>
            <w:tr w14:paraId="2B78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Merge w:val="continue"/>
                  <w:vAlign w:val="center"/>
                </w:tcPr>
                <w:p w14:paraId="0D25EFE7">
                  <w:pPr>
                    <w:pStyle w:val="57"/>
                    <w:rPr>
                      <w:color w:val="auto"/>
                    </w:rPr>
                  </w:pPr>
                </w:p>
              </w:tc>
              <w:tc>
                <w:tcPr>
                  <w:tcW w:w="397" w:type="pct"/>
                  <w:vMerge w:val="continue"/>
                  <w:vAlign w:val="center"/>
                </w:tcPr>
                <w:p w14:paraId="2C8963F6">
                  <w:pPr>
                    <w:pStyle w:val="57"/>
                    <w:rPr>
                      <w:color w:val="auto"/>
                    </w:rPr>
                  </w:pPr>
                </w:p>
              </w:tc>
              <w:tc>
                <w:tcPr>
                  <w:tcW w:w="435" w:type="pct"/>
                  <w:vAlign w:val="center"/>
                </w:tcPr>
                <w:p w14:paraId="6FEC7F0B">
                  <w:pPr>
                    <w:pStyle w:val="57"/>
                    <w:rPr>
                      <w:b/>
                      <w:bCs w:val="0"/>
                      <w:color w:val="auto"/>
                    </w:rPr>
                  </w:pPr>
                  <w:r>
                    <w:rPr>
                      <w:b/>
                      <w:bCs w:val="0"/>
                      <w:color w:val="auto"/>
                    </w:rPr>
                    <w:t>X</w:t>
                  </w:r>
                </w:p>
              </w:tc>
              <w:tc>
                <w:tcPr>
                  <w:tcW w:w="395" w:type="pct"/>
                  <w:vAlign w:val="center"/>
                </w:tcPr>
                <w:p w14:paraId="7FF370C7">
                  <w:pPr>
                    <w:pStyle w:val="57"/>
                    <w:rPr>
                      <w:b/>
                      <w:bCs w:val="0"/>
                      <w:color w:val="auto"/>
                    </w:rPr>
                  </w:pPr>
                  <w:r>
                    <w:rPr>
                      <w:b/>
                      <w:bCs w:val="0"/>
                      <w:color w:val="auto"/>
                    </w:rPr>
                    <w:t>Y</w:t>
                  </w:r>
                </w:p>
              </w:tc>
              <w:tc>
                <w:tcPr>
                  <w:tcW w:w="376" w:type="pct"/>
                  <w:vMerge w:val="continue"/>
                  <w:vAlign w:val="center"/>
                </w:tcPr>
                <w:p w14:paraId="6D7D66AA">
                  <w:pPr>
                    <w:pStyle w:val="57"/>
                    <w:rPr>
                      <w:color w:val="auto"/>
                    </w:rPr>
                  </w:pPr>
                </w:p>
              </w:tc>
              <w:tc>
                <w:tcPr>
                  <w:tcW w:w="820" w:type="pct"/>
                  <w:vMerge w:val="continue"/>
                  <w:vAlign w:val="center"/>
                </w:tcPr>
                <w:p w14:paraId="02B69893">
                  <w:pPr>
                    <w:pStyle w:val="57"/>
                    <w:rPr>
                      <w:color w:val="auto"/>
                    </w:rPr>
                  </w:pPr>
                </w:p>
              </w:tc>
              <w:tc>
                <w:tcPr>
                  <w:tcW w:w="954" w:type="pct"/>
                  <w:vMerge w:val="continue"/>
                  <w:vAlign w:val="center"/>
                </w:tcPr>
                <w:p w14:paraId="54ED6803">
                  <w:pPr>
                    <w:pStyle w:val="57"/>
                    <w:rPr>
                      <w:color w:val="auto"/>
                    </w:rPr>
                  </w:pPr>
                </w:p>
              </w:tc>
              <w:tc>
                <w:tcPr>
                  <w:tcW w:w="549" w:type="pct"/>
                  <w:vMerge w:val="continue"/>
                  <w:vAlign w:val="center"/>
                </w:tcPr>
                <w:p w14:paraId="2E41539D">
                  <w:pPr>
                    <w:pStyle w:val="57"/>
                    <w:rPr>
                      <w:color w:val="auto"/>
                    </w:rPr>
                  </w:pPr>
                </w:p>
              </w:tc>
              <w:tc>
                <w:tcPr>
                  <w:tcW w:w="600" w:type="pct"/>
                  <w:vMerge w:val="continue"/>
                  <w:vAlign w:val="center"/>
                </w:tcPr>
                <w:p w14:paraId="109F3EE1">
                  <w:pPr>
                    <w:pStyle w:val="57"/>
                    <w:rPr>
                      <w:color w:val="auto"/>
                    </w:rPr>
                  </w:pPr>
                </w:p>
              </w:tc>
            </w:tr>
            <w:tr w14:paraId="54BF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0" w:type="pct"/>
                  <w:vAlign w:val="center"/>
                </w:tcPr>
                <w:p w14:paraId="47F98463">
                  <w:pPr>
                    <w:pStyle w:val="57"/>
                    <w:rPr>
                      <w:color w:val="auto"/>
                    </w:rPr>
                  </w:pPr>
                  <w:r>
                    <w:rPr>
                      <w:color w:val="auto"/>
                    </w:rPr>
                    <w:t>大气环境</w:t>
                  </w:r>
                </w:p>
              </w:tc>
              <w:tc>
                <w:tcPr>
                  <w:tcW w:w="397" w:type="pct"/>
                  <w:vAlign w:val="center"/>
                </w:tcPr>
                <w:p w14:paraId="013534B5">
                  <w:pPr>
                    <w:pStyle w:val="57"/>
                    <w:rPr>
                      <w:color w:val="auto"/>
                    </w:rPr>
                  </w:pPr>
                  <w:r>
                    <w:rPr>
                      <w:rFonts w:hint="eastAsia"/>
                      <w:color w:val="auto"/>
                    </w:rPr>
                    <w:t>洪学庄</w:t>
                  </w:r>
                </w:p>
              </w:tc>
              <w:tc>
                <w:tcPr>
                  <w:tcW w:w="435" w:type="pct"/>
                  <w:vAlign w:val="center"/>
                </w:tcPr>
                <w:p w14:paraId="52D7239C">
                  <w:pPr>
                    <w:pStyle w:val="57"/>
                    <w:rPr>
                      <w:color w:val="auto"/>
                    </w:rPr>
                  </w:pPr>
                  <w:r>
                    <w:rPr>
                      <w:rFonts w:hint="eastAsia"/>
                      <w:color w:val="auto"/>
                    </w:rPr>
                    <w:t>177</w:t>
                  </w:r>
                </w:p>
              </w:tc>
              <w:tc>
                <w:tcPr>
                  <w:tcW w:w="395" w:type="pct"/>
                  <w:vAlign w:val="center"/>
                </w:tcPr>
                <w:p w14:paraId="4A418847">
                  <w:pPr>
                    <w:pStyle w:val="57"/>
                    <w:rPr>
                      <w:color w:val="auto"/>
                    </w:rPr>
                  </w:pPr>
                  <w:r>
                    <w:rPr>
                      <w:rFonts w:hint="eastAsia"/>
                      <w:color w:val="auto"/>
                    </w:rPr>
                    <w:t>326</w:t>
                  </w:r>
                </w:p>
              </w:tc>
              <w:tc>
                <w:tcPr>
                  <w:tcW w:w="376" w:type="pct"/>
                  <w:vAlign w:val="center"/>
                </w:tcPr>
                <w:p w14:paraId="7C54262F">
                  <w:pPr>
                    <w:pStyle w:val="57"/>
                    <w:rPr>
                      <w:rFonts w:hint="eastAsia"/>
                      <w:color w:val="auto"/>
                    </w:rPr>
                  </w:pPr>
                  <w:r>
                    <w:rPr>
                      <w:color w:val="auto"/>
                    </w:rPr>
                    <w:t>居</w:t>
                  </w:r>
                  <w:r>
                    <w:rPr>
                      <w:rFonts w:hint="eastAsia"/>
                      <w:color w:val="auto"/>
                    </w:rPr>
                    <w:t>民</w:t>
                  </w:r>
                </w:p>
              </w:tc>
              <w:tc>
                <w:tcPr>
                  <w:tcW w:w="820" w:type="pct"/>
                  <w:vAlign w:val="center"/>
                </w:tcPr>
                <w:p w14:paraId="180A0A7B">
                  <w:pPr>
                    <w:pStyle w:val="57"/>
                    <w:rPr>
                      <w:rFonts w:hint="eastAsia"/>
                      <w:color w:val="auto"/>
                    </w:rPr>
                  </w:pPr>
                  <w:r>
                    <w:rPr>
                      <w:rFonts w:hint="eastAsia"/>
                      <w:color w:val="auto"/>
                    </w:rPr>
                    <w:t>59户</w:t>
                  </w:r>
                </w:p>
                <w:p w14:paraId="32AD50E6">
                  <w:pPr>
                    <w:pStyle w:val="57"/>
                    <w:rPr>
                      <w:color w:val="auto"/>
                    </w:rPr>
                  </w:pPr>
                  <w:r>
                    <w:rPr>
                      <w:rFonts w:hint="eastAsia"/>
                      <w:color w:val="auto"/>
                    </w:rPr>
                    <w:t>（188人）</w:t>
                  </w:r>
                </w:p>
              </w:tc>
              <w:tc>
                <w:tcPr>
                  <w:tcW w:w="954" w:type="pct"/>
                  <w:vAlign w:val="center"/>
                </w:tcPr>
                <w:p w14:paraId="21165D37">
                  <w:pPr>
                    <w:pStyle w:val="57"/>
                    <w:rPr>
                      <w:color w:val="auto"/>
                    </w:rPr>
                  </w:pPr>
                  <w:r>
                    <w:rPr>
                      <w:color w:val="auto"/>
                    </w:rPr>
                    <w:t>环境空气二类区</w:t>
                  </w:r>
                </w:p>
              </w:tc>
              <w:tc>
                <w:tcPr>
                  <w:tcW w:w="549" w:type="pct"/>
                  <w:vAlign w:val="center"/>
                </w:tcPr>
                <w:p w14:paraId="1768CA16">
                  <w:pPr>
                    <w:pStyle w:val="57"/>
                    <w:rPr>
                      <w:color w:val="auto"/>
                    </w:rPr>
                  </w:pPr>
                  <w:r>
                    <w:rPr>
                      <w:rFonts w:hint="eastAsia"/>
                      <w:color w:val="auto"/>
                    </w:rPr>
                    <w:t>NE</w:t>
                  </w:r>
                </w:p>
              </w:tc>
              <w:tc>
                <w:tcPr>
                  <w:tcW w:w="600" w:type="pct"/>
                  <w:vAlign w:val="center"/>
                </w:tcPr>
                <w:p w14:paraId="79BADFD3">
                  <w:pPr>
                    <w:pStyle w:val="57"/>
                    <w:rPr>
                      <w:color w:val="auto"/>
                    </w:rPr>
                  </w:pPr>
                  <w:r>
                    <w:rPr>
                      <w:rFonts w:hint="eastAsia"/>
                      <w:color w:val="auto"/>
                    </w:rPr>
                    <w:t>319</w:t>
                  </w:r>
                </w:p>
              </w:tc>
            </w:tr>
            <w:tr w14:paraId="7EF8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14:paraId="7D34F167">
                  <w:pPr>
                    <w:pStyle w:val="57"/>
                    <w:rPr>
                      <w:color w:val="auto"/>
                    </w:rPr>
                  </w:pPr>
                  <w:r>
                    <w:rPr>
                      <w:rFonts w:hint="eastAsia"/>
                      <w:color w:val="auto"/>
                    </w:rPr>
                    <w:t>地表水</w:t>
                  </w:r>
                </w:p>
              </w:tc>
              <w:tc>
                <w:tcPr>
                  <w:tcW w:w="397" w:type="pct"/>
                  <w:vAlign w:val="center"/>
                </w:tcPr>
                <w:p w14:paraId="41E59DBE">
                  <w:pPr>
                    <w:pStyle w:val="57"/>
                    <w:rPr>
                      <w:rFonts w:hint="eastAsia"/>
                      <w:color w:val="auto"/>
                    </w:rPr>
                  </w:pPr>
                  <w:r>
                    <w:rPr>
                      <w:rFonts w:hint="eastAsia"/>
                      <w:color w:val="auto"/>
                    </w:rPr>
                    <w:t>运粮河</w:t>
                  </w:r>
                </w:p>
              </w:tc>
              <w:tc>
                <w:tcPr>
                  <w:tcW w:w="435" w:type="pct"/>
                  <w:vAlign w:val="center"/>
                </w:tcPr>
                <w:p w14:paraId="6EE81ADD">
                  <w:pPr>
                    <w:pStyle w:val="57"/>
                    <w:rPr>
                      <w:color w:val="auto"/>
                    </w:rPr>
                  </w:pPr>
                  <w:r>
                    <w:rPr>
                      <w:rFonts w:hint="eastAsia"/>
                      <w:color w:val="auto"/>
                    </w:rPr>
                    <w:t>1902</w:t>
                  </w:r>
                </w:p>
              </w:tc>
              <w:tc>
                <w:tcPr>
                  <w:tcW w:w="395" w:type="pct"/>
                  <w:vAlign w:val="center"/>
                </w:tcPr>
                <w:p w14:paraId="7E1EF429">
                  <w:pPr>
                    <w:pStyle w:val="57"/>
                    <w:rPr>
                      <w:color w:val="auto"/>
                    </w:rPr>
                  </w:pPr>
                  <w:r>
                    <w:rPr>
                      <w:rFonts w:hint="eastAsia"/>
                      <w:color w:val="auto"/>
                    </w:rPr>
                    <w:t>0</w:t>
                  </w:r>
                </w:p>
              </w:tc>
              <w:tc>
                <w:tcPr>
                  <w:tcW w:w="376" w:type="pct"/>
                  <w:vAlign w:val="center"/>
                </w:tcPr>
                <w:p w14:paraId="12FBD48F">
                  <w:pPr>
                    <w:pStyle w:val="57"/>
                    <w:rPr>
                      <w:color w:val="auto"/>
                    </w:rPr>
                  </w:pPr>
                  <w:r>
                    <w:rPr>
                      <w:rFonts w:hint="eastAsia"/>
                      <w:color w:val="auto"/>
                    </w:rPr>
                    <w:t>河流</w:t>
                  </w:r>
                </w:p>
              </w:tc>
              <w:tc>
                <w:tcPr>
                  <w:tcW w:w="820" w:type="pct"/>
                  <w:vAlign w:val="center"/>
                </w:tcPr>
                <w:p w14:paraId="3AA8F99A">
                  <w:pPr>
                    <w:pStyle w:val="57"/>
                    <w:rPr>
                      <w:rFonts w:hint="eastAsia"/>
                      <w:color w:val="auto"/>
                    </w:rPr>
                  </w:pPr>
                  <w:r>
                    <w:rPr>
                      <w:rFonts w:hint="eastAsia"/>
                      <w:color w:val="auto"/>
                    </w:rPr>
                    <w:t>\</w:t>
                  </w:r>
                </w:p>
              </w:tc>
              <w:tc>
                <w:tcPr>
                  <w:tcW w:w="954" w:type="pct"/>
                  <w:vAlign w:val="center"/>
                </w:tcPr>
                <w:p w14:paraId="2DE88D5C">
                  <w:pPr>
                    <w:pStyle w:val="57"/>
                    <w:rPr>
                      <w:rFonts w:hint="eastAsia"/>
                      <w:color w:val="auto"/>
                    </w:rPr>
                  </w:pPr>
                  <w:r>
                    <w:rPr>
                      <w:color w:val="auto"/>
                    </w:rPr>
                    <w:t>地表水环境质量标准（GB3838-2002）IV类</w:t>
                  </w:r>
                  <w:r>
                    <w:rPr>
                      <w:rFonts w:hint="eastAsia"/>
                      <w:color w:val="auto"/>
                    </w:rPr>
                    <w:t>标准</w:t>
                  </w:r>
                </w:p>
              </w:tc>
              <w:tc>
                <w:tcPr>
                  <w:tcW w:w="549" w:type="pct"/>
                  <w:vAlign w:val="center"/>
                </w:tcPr>
                <w:p w14:paraId="557C63E0">
                  <w:pPr>
                    <w:pStyle w:val="57"/>
                    <w:rPr>
                      <w:rFonts w:hint="eastAsia"/>
                      <w:color w:val="auto"/>
                    </w:rPr>
                  </w:pPr>
                  <w:r>
                    <w:rPr>
                      <w:rFonts w:hint="eastAsia"/>
                      <w:color w:val="auto"/>
                    </w:rPr>
                    <w:t>E</w:t>
                  </w:r>
                </w:p>
              </w:tc>
              <w:tc>
                <w:tcPr>
                  <w:tcW w:w="600" w:type="pct"/>
                  <w:vAlign w:val="center"/>
                </w:tcPr>
                <w:p w14:paraId="60A9E7EA">
                  <w:pPr>
                    <w:pStyle w:val="57"/>
                    <w:rPr>
                      <w:color w:val="auto"/>
                    </w:rPr>
                  </w:pPr>
                  <w:r>
                    <w:rPr>
                      <w:rFonts w:hint="eastAsia"/>
                      <w:color w:val="auto"/>
                    </w:rPr>
                    <w:t>1887</w:t>
                  </w:r>
                </w:p>
              </w:tc>
            </w:tr>
            <w:tr w14:paraId="2C25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14:paraId="1785F958">
                  <w:pPr>
                    <w:pStyle w:val="57"/>
                    <w:rPr>
                      <w:rFonts w:hint="eastAsia"/>
                      <w:color w:val="auto"/>
                    </w:rPr>
                  </w:pPr>
                  <w:r>
                    <w:rPr>
                      <w:rFonts w:hint="eastAsia"/>
                      <w:color w:val="auto"/>
                    </w:rPr>
                    <w:t>声环境</w:t>
                  </w:r>
                </w:p>
              </w:tc>
              <w:tc>
                <w:tcPr>
                  <w:tcW w:w="4529" w:type="pct"/>
                  <w:gridSpan w:val="8"/>
                  <w:vAlign w:val="center"/>
                </w:tcPr>
                <w:p w14:paraId="7C8AFB6A">
                  <w:pPr>
                    <w:pStyle w:val="57"/>
                    <w:rPr>
                      <w:rFonts w:hint="eastAsia"/>
                      <w:color w:val="auto"/>
                    </w:rPr>
                  </w:pPr>
                  <w:r>
                    <w:rPr>
                      <w:color w:val="auto"/>
                    </w:rPr>
                    <w:t>厂界外50米范围</w:t>
                  </w:r>
                  <w:r>
                    <w:rPr>
                      <w:rFonts w:hint="eastAsia"/>
                      <w:color w:val="auto"/>
                    </w:rPr>
                    <w:t>无</w:t>
                  </w:r>
                  <w:r>
                    <w:rPr>
                      <w:color w:val="auto"/>
                    </w:rPr>
                    <w:t>声环境保护目标</w:t>
                  </w:r>
                </w:p>
              </w:tc>
            </w:tr>
            <w:tr w14:paraId="29C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9"/>
                  <w:vAlign w:val="center"/>
                </w:tcPr>
                <w:p w14:paraId="508D4EBB">
                  <w:pPr>
                    <w:pStyle w:val="57"/>
                    <w:jc w:val="both"/>
                    <w:rPr>
                      <w:rFonts w:hint="eastAsia"/>
                      <w:color w:val="auto"/>
                    </w:rPr>
                  </w:pPr>
                  <w:r>
                    <w:rPr>
                      <w:color w:val="auto"/>
                    </w:rPr>
                    <w:t>注：以项目选址的中心为原点</w:t>
                  </w:r>
                </w:p>
              </w:tc>
            </w:tr>
          </w:tbl>
          <w:p w14:paraId="2471BACD">
            <w:pPr>
              <w:pStyle w:val="30"/>
              <w:ind w:firstLine="0" w:firstLineChars="0"/>
              <w:rPr>
                <w:rFonts w:hint="eastAsia"/>
                <w:color w:val="auto"/>
              </w:rPr>
            </w:pPr>
          </w:p>
          <w:p w14:paraId="3E2870CE">
            <w:pPr>
              <w:pStyle w:val="30"/>
              <w:ind w:firstLine="0" w:firstLineChars="0"/>
              <w:rPr>
                <w:color w:val="auto"/>
              </w:rPr>
            </w:pPr>
          </w:p>
          <w:p w14:paraId="614D2EB6">
            <w:pPr>
              <w:ind w:firstLine="480"/>
              <w:rPr>
                <w:color w:val="auto"/>
              </w:rPr>
            </w:pPr>
          </w:p>
          <w:p w14:paraId="18E4D755">
            <w:pPr>
              <w:pStyle w:val="19"/>
              <w:ind w:firstLine="360"/>
              <w:rPr>
                <w:color w:val="auto"/>
              </w:rPr>
            </w:pPr>
          </w:p>
          <w:p w14:paraId="044DE414">
            <w:pPr>
              <w:pStyle w:val="20"/>
              <w:ind w:firstLine="480"/>
              <w:rPr>
                <w:color w:val="auto"/>
              </w:rPr>
            </w:pPr>
          </w:p>
          <w:p w14:paraId="6C6FB2C6">
            <w:pPr>
              <w:pStyle w:val="54"/>
              <w:ind w:firstLine="480"/>
              <w:rPr>
                <w:color w:val="auto"/>
              </w:rPr>
            </w:pPr>
          </w:p>
          <w:p w14:paraId="1949AA30">
            <w:pPr>
              <w:pStyle w:val="54"/>
              <w:ind w:firstLine="480"/>
              <w:rPr>
                <w:color w:val="auto"/>
              </w:rPr>
            </w:pPr>
          </w:p>
          <w:p w14:paraId="50F0C6C5">
            <w:pPr>
              <w:pStyle w:val="54"/>
              <w:ind w:firstLine="480"/>
              <w:rPr>
                <w:color w:val="auto"/>
              </w:rPr>
            </w:pPr>
          </w:p>
          <w:p w14:paraId="4A655C1A">
            <w:pPr>
              <w:pStyle w:val="54"/>
              <w:ind w:firstLine="480"/>
              <w:rPr>
                <w:color w:val="auto"/>
              </w:rPr>
            </w:pPr>
          </w:p>
        </w:tc>
      </w:tr>
      <w:tr w14:paraId="0ED46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401" w:type="pct"/>
            <w:tcMar>
              <w:left w:w="28" w:type="dxa"/>
              <w:right w:w="28" w:type="dxa"/>
            </w:tcMar>
            <w:vAlign w:val="center"/>
          </w:tcPr>
          <w:p w14:paraId="016038D6">
            <w:pPr>
              <w:adjustRightInd w:val="0"/>
              <w:snapToGrid w:val="0"/>
              <w:spacing w:line="240" w:lineRule="auto"/>
              <w:ind w:firstLine="0" w:firstLineChars="0"/>
              <w:jc w:val="center"/>
              <w:rPr>
                <w:b/>
                <w:bCs/>
                <w:color w:val="auto"/>
                <w:kern w:val="0"/>
              </w:rPr>
            </w:pPr>
            <w:r>
              <w:rPr>
                <w:b/>
                <w:bCs/>
                <w:color w:val="auto"/>
                <w:kern w:val="0"/>
              </w:rPr>
              <w:t>污染</w:t>
            </w:r>
          </w:p>
          <w:p w14:paraId="230EDA7B">
            <w:pPr>
              <w:adjustRightInd w:val="0"/>
              <w:snapToGrid w:val="0"/>
              <w:spacing w:line="240" w:lineRule="auto"/>
              <w:ind w:firstLine="0" w:firstLineChars="0"/>
              <w:jc w:val="center"/>
              <w:rPr>
                <w:b/>
                <w:bCs/>
                <w:color w:val="auto"/>
                <w:kern w:val="0"/>
              </w:rPr>
            </w:pPr>
            <w:r>
              <w:rPr>
                <w:b/>
                <w:bCs/>
                <w:color w:val="auto"/>
                <w:kern w:val="0"/>
              </w:rPr>
              <w:t>物排</w:t>
            </w:r>
          </w:p>
          <w:p w14:paraId="248209EC">
            <w:pPr>
              <w:adjustRightInd w:val="0"/>
              <w:snapToGrid w:val="0"/>
              <w:spacing w:line="240" w:lineRule="auto"/>
              <w:ind w:firstLine="0" w:firstLineChars="0"/>
              <w:jc w:val="center"/>
              <w:rPr>
                <w:b/>
                <w:bCs/>
                <w:color w:val="auto"/>
                <w:kern w:val="0"/>
              </w:rPr>
            </w:pPr>
            <w:r>
              <w:rPr>
                <w:b/>
                <w:bCs/>
                <w:color w:val="auto"/>
                <w:kern w:val="0"/>
              </w:rPr>
              <w:t>放控</w:t>
            </w:r>
          </w:p>
          <w:p w14:paraId="5957C475">
            <w:pPr>
              <w:adjustRightInd w:val="0"/>
              <w:snapToGrid w:val="0"/>
              <w:spacing w:line="240" w:lineRule="auto"/>
              <w:ind w:firstLine="0" w:firstLineChars="0"/>
              <w:jc w:val="center"/>
              <w:rPr>
                <w:b/>
                <w:bCs/>
                <w:color w:val="auto"/>
                <w:kern w:val="0"/>
              </w:rPr>
            </w:pPr>
            <w:r>
              <w:rPr>
                <w:b/>
                <w:bCs/>
                <w:color w:val="auto"/>
                <w:kern w:val="0"/>
              </w:rPr>
              <w:t>制标</w:t>
            </w:r>
          </w:p>
          <w:p w14:paraId="1E81361F">
            <w:pPr>
              <w:adjustRightInd w:val="0"/>
              <w:snapToGrid w:val="0"/>
              <w:spacing w:line="240" w:lineRule="auto"/>
              <w:ind w:firstLine="0" w:firstLineChars="0"/>
              <w:jc w:val="center"/>
              <w:rPr>
                <w:color w:val="auto"/>
                <w:kern w:val="0"/>
              </w:rPr>
            </w:pPr>
            <w:r>
              <w:rPr>
                <w:b/>
                <w:bCs/>
                <w:color w:val="auto"/>
                <w:kern w:val="0"/>
              </w:rPr>
              <w:t>准</w:t>
            </w:r>
          </w:p>
        </w:tc>
        <w:tc>
          <w:tcPr>
            <w:tcW w:w="4598" w:type="pct"/>
            <w:vAlign w:val="center"/>
          </w:tcPr>
          <w:p w14:paraId="5AA168AB">
            <w:pPr>
              <w:ind w:firstLine="482"/>
              <w:rPr>
                <w:b/>
                <w:bCs/>
                <w:color w:val="auto"/>
              </w:rPr>
            </w:pPr>
            <w:r>
              <w:rPr>
                <w:b/>
                <w:bCs/>
                <w:color w:val="auto"/>
                <w:kern w:val="0"/>
              </w:rPr>
              <w:t>1、</w:t>
            </w:r>
            <w:r>
              <w:rPr>
                <w:b/>
                <w:bCs/>
                <w:color w:val="auto"/>
              </w:rPr>
              <w:t>大气污染物排放标准</w:t>
            </w:r>
          </w:p>
          <w:p w14:paraId="28B11367">
            <w:pPr>
              <w:widowControl/>
              <w:wordWrap w:val="0"/>
              <w:ind w:firstLine="480"/>
              <w:jc w:val="left"/>
              <w:rPr>
                <w:rFonts w:hint="eastAsia" w:eastAsia="宋体"/>
                <w:color w:val="auto"/>
                <w:lang w:eastAsia="zh-CN"/>
              </w:rPr>
            </w:pPr>
            <w:r>
              <w:rPr>
                <w:color w:val="auto"/>
              </w:rPr>
              <w:t>本项目</w:t>
            </w:r>
            <w:r>
              <w:rPr>
                <w:rFonts w:hint="eastAsia"/>
                <w:color w:val="auto"/>
              </w:rPr>
              <w:t>非甲烷总烃</w:t>
            </w:r>
            <w:r>
              <w:rPr>
                <w:rFonts w:hint="eastAsia"/>
                <w:color w:val="auto"/>
                <w:lang w:val="en-US" w:eastAsia="zh-CN"/>
              </w:rPr>
              <w:t>有组织</w:t>
            </w:r>
            <w:r>
              <w:rPr>
                <w:color w:val="auto"/>
              </w:rPr>
              <w:t>排放执行</w:t>
            </w:r>
            <w:r>
              <w:rPr>
                <w:rFonts w:hint="eastAsia"/>
                <w:color w:val="auto"/>
              </w:rPr>
              <w:t>《合成树脂工业污染物排放标准》（GB31572-2015）</w:t>
            </w:r>
            <w:r>
              <w:rPr>
                <w:color w:val="auto"/>
              </w:rPr>
              <w:t>中</w:t>
            </w:r>
            <w:r>
              <w:rPr>
                <w:rFonts w:hint="eastAsia"/>
                <w:color w:val="auto"/>
              </w:rPr>
              <w:t>表5大气污染物特别排放限值、安徽省地方标准《固定源挥发性有机物综合排放标准第6部分:其他行业》（DB34/4812.6-2024）表1挥发性有机物基本污染物项目排放限值及安徽省地方标准《固定源挥发性有机物综合排放标准第4部分:印刷工业》（DB34/4812.4-2024</w:t>
            </w:r>
            <w:r>
              <w:rPr>
                <w:rFonts w:hint="eastAsia"/>
                <w:color w:val="auto"/>
              </w:rPr>
              <w:t>）</w:t>
            </w:r>
            <w:r>
              <w:rPr>
                <w:rFonts w:hint="eastAsia"/>
                <w:color w:val="auto"/>
                <w:lang w:val="en-US" w:eastAsia="zh-CN"/>
              </w:rPr>
              <w:t>最</w:t>
            </w:r>
            <w:r>
              <w:rPr>
                <w:rFonts w:hint="eastAsia"/>
                <w:color w:val="auto"/>
              </w:rPr>
              <w:t>严值</w:t>
            </w:r>
            <w:r>
              <w:rPr>
                <w:rFonts w:hint="eastAsia"/>
                <w:color w:val="auto"/>
                <w:lang w:eastAsia="zh-CN"/>
              </w:rPr>
              <w:t>；</w:t>
            </w:r>
            <w:r>
              <w:rPr>
                <w:rFonts w:hint="eastAsia"/>
                <w:color w:val="auto"/>
              </w:rPr>
              <w:t>非甲烷总烃</w:t>
            </w:r>
            <w:r>
              <w:rPr>
                <w:rFonts w:hint="eastAsia"/>
                <w:color w:val="auto"/>
                <w:lang w:val="en-US" w:eastAsia="zh-CN"/>
              </w:rPr>
              <w:t>厂界无组织</w:t>
            </w:r>
            <w:r>
              <w:rPr>
                <w:color w:val="auto"/>
              </w:rPr>
              <w:t>排放执</w:t>
            </w:r>
            <w:r>
              <w:rPr>
                <w:color w:val="auto"/>
              </w:rPr>
              <w:t>行</w:t>
            </w:r>
            <w:r>
              <w:rPr>
                <w:rFonts w:hint="eastAsia"/>
                <w:color w:val="auto"/>
              </w:rPr>
              <w:t>《合成树脂工业污染物排放标准》（GB31572-2015）表9企业边界大气污染物浓度限值</w:t>
            </w:r>
            <w:r>
              <w:rPr>
                <w:rFonts w:hint="eastAsia"/>
                <w:color w:val="auto"/>
                <w:lang w:eastAsia="zh-CN"/>
              </w:rPr>
              <w:t>。</w:t>
            </w:r>
          </w:p>
          <w:p w14:paraId="59E96433">
            <w:pPr>
              <w:pStyle w:val="58"/>
              <w:ind w:firstLine="422"/>
              <w:rPr>
                <w:color w:val="auto"/>
              </w:rPr>
            </w:pPr>
            <w:r>
              <w:rPr>
                <w:color w:val="auto"/>
              </w:rPr>
              <w:t>表</w:t>
            </w:r>
            <w:r>
              <w:rPr>
                <w:rFonts w:hint="eastAsia"/>
                <w:color w:val="auto"/>
              </w:rPr>
              <w:t>3-</w:t>
            </w:r>
            <w:r>
              <w:rPr>
                <w:rFonts w:hint="eastAsia"/>
                <w:color w:val="auto"/>
                <w:lang w:val="en-US" w:eastAsia="zh-CN"/>
              </w:rPr>
              <w:t>7</w:t>
            </w:r>
            <w:r>
              <w:rPr>
                <w:rFonts w:hint="eastAsia"/>
                <w:color w:val="auto"/>
              </w:rPr>
              <w:t>废气排放标准</w:t>
            </w:r>
          </w:p>
          <w:tbl>
            <w:tblPr>
              <w:tblStyle w:val="37"/>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928"/>
              <w:gridCol w:w="1134"/>
              <w:gridCol w:w="990"/>
              <w:gridCol w:w="1321"/>
              <w:gridCol w:w="851"/>
              <w:gridCol w:w="1168"/>
            </w:tblGrid>
            <w:tr w14:paraId="53A44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288" w:type="pct"/>
                  <w:vMerge w:val="restart"/>
                  <w:tcBorders>
                    <w:tl2br w:val="nil"/>
                    <w:tr2bl w:val="nil"/>
                  </w:tcBorders>
                  <w:vAlign w:val="center"/>
                </w:tcPr>
                <w:p w14:paraId="5AB11117">
                  <w:pPr>
                    <w:pStyle w:val="101"/>
                    <w:spacing w:line="240" w:lineRule="auto"/>
                    <w:ind w:firstLine="0" w:firstLineChars="0"/>
                    <w:rPr>
                      <w:rFonts w:hint="eastAsia"/>
                      <w:b/>
                      <w:bCs/>
                      <w:color w:val="auto"/>
                      <w:sz w:val="21"/>
                    </w:rPr>
                  </w:pPr>
                  <w:r>
                    <w:rPr>
                      <w:rFonts w:hint="eastAsia"/>
                      <w:b/>
                      <w:bCs/>
                      <w:color w:val="auto"/>
                      <w:sz w:val="21"/>
                    </w:rPr>
                    <w:t>标准</w:t>
                  </w:r>
                </w:p>
              </w:tc>
              <w:tc>
                <w:tcPr>
                  <w:tcW w:w="538" w:type="pct"/>
                  <w:vMerge w:val="restart"/>
                  <w:tcBorders>
                    <w:tl2br w:val="nil"/>
                    <w:tr2bl w:val="nil"/>
                  </w:tcBorders>
                  <w:vAlign w:val="center"/>
                </w:tcPr>
                <w:p w14:paraId="33E92ED4">
                  <w:pPr>
                    <w:pStyle w:val="101"/>
                    <w:spacing w:line="240" w:lineRule="auto"/>
                    <w:ind w:firstLine="0" w:firstLineChars="0"/>
                    <w:rPr>
                      <w:b/>
                      <w:bCs/>
                      <w:color w:val="auto"/>
                      <w:sz w:val="21"/>
                    </w:rPr>
                  </w:pPr>
                  <w:r>
                    <w:rPr>
                      <w:b/>
                      <w:bCs/>
                      <w:color w:val="auto"/>
                      <w:sz w:val="21"/>
                    </w:rPr>
                    <w:t>污染物名称</w:t>
                  </w:r>
                </w:p>
              </w:tc>
              <w:tc>
                <w:tcPr>
                  <w:tcW w:w="658" w:type="pct"/>
                  <w:vMerge w:val="restart"/>
                  <w:tcBorders>
                    <w:tl2br w:val="nil"/>
                    <w:tr2bl w:val="nil"/>
                  </w:tcBorders>
                  <w:vAlign w:val="center"/>
                </w:tcPr>
                <w:p w14:paraId="1F556914">
                  <w:pPr>
                    <w:pStyle w:val="101"/>
                    <w:spacing w:line="240" w:lineRule="auto"/>
                    <w:ind w:firstLine="0" w:firstLineChars="0"/>
                    <w:rPr>
                      <w:b/>
                      <w:bCs/>
                      <w:color w:val="auto"/>
                      <w:sz w:val="21"/>
                    </w:rPr>
                  </w:pPr>
                  <w:r>
                    <w:rPr>
                      <w:b/>
                      <w:bCs/>
                      <w:color w:val="auto"/>
                      <w:sz w:val="21"/>
                    </w:rPr>
                    <w:t>最高允许排放浓度（mg/</w:t>
                  </w:r>
                  <w:r>
                    <w:rPr>
                      <w:rFonts w:hint="eastAsia"/>
                      <w:b/>
                      <w:bCs/>
                      <w:color w:val="auto"/>
                      <w:sz w:val="21"/>
                    </w:rPr>
                    <w:t>m</w:t>
                  </w:r>
                  <w:r>
                    <w:rPr>
                      <w:rFonts w:hint="eastAsia"/>
                      <w:b/>
                      <w:bCs/>
                      <w:color w:val="auto"/>
                      <w:sz w:val="21"/>
                      <w:vertAlign w:val="superscript"/>
                    </w:rPr>
                    <w:t>3</w:t>
                  </w:r>
                  <w:r>
                    <w:rPr>
                      <w:b/>
                      <w:bCs/>
                      <w:color w:val="auto"/>
                      <w:sz w:val="21"/>
                    </w:rPr>
                    <w:t>）</w:t>
                  </w:r>
                </w:p>
              </w:tc>
              <w:tc>
                <w:tcPr>
                  <w:tcW w:w="575" w:type="pct"/>
                  <w:vMerge w:val="restart"/>
                  <w:tcBorders>
                    <w:tl2br w:val="nil"/>
                    <w:tr2bl w:val="nil"/>
                  </w:tcBorders>
                  <w:vAlign w:val="center"/>
                </w:tcPr>
                <w:p w14:paraId="1F1B44F4">
                  <w:pPr>
                    <w:pStyle w:val="101"/>
                    <w:spacing w:line="240" w:lineRule="auto"/>
                    <w:ind w:firstLine="0" w:firstLineChars="0"/>
                    <w:rPr>
                      <w:b/>
                      <w:bCs/>
                      <w:color w:val="auto"/>
                      <w:sz w:val="21"/>
                    </w:rPr>
                  </w:pPr>
                  <w:r>
                    <w:rPr>
                      <w:rFonts w:hint="eastAsia"/>
                      <w:b/>
                      <w:bCs/>
                      <w:color w:val="auto"/>
                      <w:sz w:val="21"/>
                    </w:rPr>
                    <w:t>排放速率（kg/h）</w:t>
                  </w:r>
                </w:p>
              </w:tc>
              <w:tc>
                <w:tcPr>
                  <w:tcW w:w="767" w:type="pct"/>
                  <w:vMerge w:val="restart"/>
                  <w:tcBorders>
                    <w:tl2br w:val="nil"/>
                    <w:tr2bl w:val="nil"/>
                  </w:tcBorders>
                  <w:vAlign w:val="center"/>
                </w:tcPr>
                <w:p w14:paraId="32C6FD5A">
                  <w:pPr>
                    <w:pStyle w:val="101"/>
                    <w:spacing w:line="240" w:lineRule="auto"/>
                    <w:ind w:firstLine="0" w:firstLineChars="0"/>
                    <w:rPr>
                      <w:b/>
                      <w:bCs/>
                      <w:color w:val="auto"/>
                      <w:sz w:val="21"/>
                    </w:rPr>
                  </w:pPr>
                  <w:r>
                    <w:rPr>
                      <w:b/>
                      <w:bCs/>
                      <w:color w:val="auto"/>
                      <w:sz w:val="21"/>
                    </w:rPr>
                    <w:t>污染物排放</w:t>
                  </w:r>
                </w:p>
                <w:p w14:paraId="1B8582AB">
                  <w:pPr>
                    <w:pStyle w:val="101"/>
                    <w:spacing w:line="240" w:lineRule="auto"/>
                    <w:ind w:firstLine="0" w:firstLineChars="0"/>
                    <w:rPr>
                      <w:b/>
                      <w:bCs/>
                      <w:color w:val="auto"/>
                      <w:sz w:val="21"/>
                    </w:rPr>
                  </w:pPr>
                  <w:r>
                    <w:rPr>
                      <w:b/>
                      <w:bCs/>
                      <w:color w:val="auto"/>
                      <w:sz w:val="21"/>
                    </w:rPr>
                    <w:t>监控位置</w:t>
                  </w:r>
                </w:p>
              </w:tc>
              <w:tc>
                <w:tcPr>
                  <w:tcW w:w="1172" w:type="pct"/>
                  <w:gridSpan w:val="2"/>
                  <w:tcBorders>
                    <w:bottom w:val="single" w:color="auto" w:sz="4" w:space="0"/>
                    <w:tl2br w:val="nil"/>
                    <w:tr2bl w:val="nil"/>
                  </w:tcBorders>
                  <w:vAlign w:val="center"/>
                </w:tcPr>
                <w:p w14:paraId="0C5AA311">
                  <w:pPr>
                    <w:pStyle w:val="101"/>
                    <w:spacing w:line="240" w:lineRule="auto"/>
                    <w:ind w:firstLine="0" w:firstLineChars="0"/>
                    <w:rPr>
                      <w:b/>
                      <w:bCs/>
                      <w:color w:val="auto"/>
                      <w:sz w:val="21"/>
                    </w:rPr>
                  </w:pPr>
                  <w:r>
                    <w:rPr>
                      <w:b/>
                      <w:bCs/>
                      <w:color w:val="auto"/>
                      <w:sz w:val="21"/>
                    </w:rPr>
                    <w:t>企业边界大气污染物浓度限值</w:t>
                  </w:r>
                </w:p>
              </w:tc>
            </w:tr>
            <w:tr w14:paraId="19BB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288" w:type="pct"/>
                  <w:vMerge w:val="continue"/>
                  <w:tcBorders>
                    <w:tl2br w:val="nil"/>
                    <w:tr2bl w:val="nil"/>
                  </w:tcBorders>
                  <w:vAlign w:val="center"/>
                </w:tcPr>
                <w:p w14:paraId="0977D078">
                  <w:pPr>
                    <w:pStyle w:val="101"/>
                    <w:spacing w:line="240" w:lineRule="auto"/>
                    <w:ind w:firstLine="0" w:firstLineChars="0"/>
                    <w:rPr>
                      <w:b/>
                      <w:bCs/>
                      <w:color w:val="auto"/>
                      <w:sz w:val="21"/>
                    </w:rPr>
                  </w:pPr>
                </w:p>
              </w:tc>
              <w:tc>
                <w:tcPr>
                  <w:tcW w:w="538" w:type="pct"/>
                  <w:vMerge w:val="continue"/>
                  <w:tcBorders>
                    <w:tl2br w:val="nil"/>
                    <w:tr2bl w:val="nil"/>
                  </w:tcBorders>
                  <w:vAlign w:val="center"/>
                </w:tcPr>
                <w:p w14:paraId="5A57FD1A">
                  <w:pPr>
                    <w:pStyle w:val="101"/>
                    <w:spacing w:line="240" w:lineRule="auto"/>
                    <w:ind w:firstLine="0" w:firstLineChars="0"/>
                    <w:rPr>
                      <w:b/>
                      <w:bCs/>
                      <w:color w:val="auto"/>
                      <w:sz w:val="21"/>
                    </w:rPr>
                  </w:pPr>
                </w:p>
              </w:tc>
              <w:tc>
                <w:tcPr>
                  <w:tcW w:w="658" w:type="pct"/>
                  <w:vMerge w:val="continue"/>
                  <w:tcBorders>
                    <w:tl2br w:val="nil"/>
                    <w:tr2bl w:val="nil"/>
                  </w:tcBorders>
                  <w:vAlign w:val="center"/>
                </w:tcPr>
                <w:p w14:paraId="570D7892">
                  <w:pPr>
                    <w:pStyle w:val="101"/>
                    <w:spacing w:line="240" w:lineRule="auto"/>
                    <w:ind w:firstLine="0" w:firstLineChars="0"/>
                    <w:rPr>
                      <w:b/>
                      <w:bCs/>
                      <w:color w:val="auto"/>
                      <w:sz w:val="21"/>
                    </w:rPr>
                  </w:pPr>
                </w:p>
              </w:tc>
              <w:tc>
                <w:tcPr>
                  <w:tcW w:w="575" w:type="pct"/>
                  <w:vMerge w:val="continue"/>
                  <w:tcBorders>
                    <w:tl2br w:val="nil"/>
                    <w:tr2bl w:val="nil"/>
                  </w:tcBorders>
                  <w:vAlign w:val="center"/>
                </w:tcPr>
                <w:p w14:paraId="0064B028">
                  <w:pPr>
                    <w:pStyle w:val="101"/>
                    <w:spacing w:line="240" w:lineRule="auto"/>
                    <w:ind w:firstLine="0" w:firstLineChars="0"/>
                    <w:rPr>
                      <w:b/>
                      <w:bCs/>
                      <w:color w:val="auto"/>
                      <w:sz w:val="21"/>
                    </w:rPr>
                  </w:pPr>
                </w:p>
              </w:tc>
              <w:tc>
                <w:tcPr>
                  <w:tcW w:w="767" w:type="pct"/>
                  <w:vMerge w:val="continue"/>
                  <w:tcBorders>
                    <w:tl2br w:val="nil"/>
                    <w:tr2bl w:val="nil"/>
                  </w:tcBorders>
                  <w:vAlign w:val="center"/>
                </w:tcPr>
                <w:p w14:paraId="359A0BD6">
                  <w:pPr>
                    <w:pStyle w:val="101"/>
                    <w:spacing w:line="240" w:lineRule="auto"/>
                    <w:ind w:firstLine="0" w:firstLineChars="0"/>
                    <w:rPr>
                      <w:b/>
                      <w:bCs/>
                      <w:color w:val="auto"/>
                      <w:sz w:val="21"/>
                    </w:rPr>
                  </w:pPr>
                </w:p>
              </w:tc>
              <w:tc>
                <w:tcPr>
                  <w:tcW w:w="494" w:type="pct"/>
                  <w:tcBorders>
                    <w:top w:val="single" w:color="auto" w:sz="4" w:space="0"/>
                    <w:right w:val="single" w:color="auto" w:sz="4" w:space="0"/>
                    <w:tl2br w:val="nil"/>
                    <w:tr2bl w:val="nil"/>
                  </w:tcBorders>
                  <w:vAlign w:val="center"/>
                </w:tcPr>
                <w:p w14:paraId="4FF393CD">
                  <w:pPr>
                    <w:pStyle w:val="101"/>
                    <w:spacing w:line="240" w:lineRule="auto"/>
                    <w:ind w:firstLine="0" w:firstLineChars="0"/>
                    <w:rPr>
                      <w:b/>
                      <w:bCs/>
                      <w:color w:val="auto"/>
                      <w:sz w:val="21"/>
                    </w:rPr>
                  </w:pPr>
                  <w:r>
                    <w:rPr>
                      <w:b/>
                      <w:bCs/>
                      <w:color w:val="auto"/>
                      <w:sz w:val="21"/>
                    </w:rPr>
                    <w:t>监控点</w:t>
                  </w:r>
                </w:p>
              </w:tc>
              <w:tc>
                <w:tcPr>
                  <w:tcW w:w="678" w:type="pct"/>
                  <w:tcBorders>
                    <w:top w:val="single" w:color="auto" w:sz="4" w:space="0"/>
                    <w:left w:val="single" w:color="auto" w:sz="4" w:space="0"/>
                    <w:tl2br w:val="nil"/>
                    <w:tr2bl w:val="nil"/>
                  </w:tcBorders>
                  <w:vAlign w:val="center"/>
                </w:tcPr>
                <w:p w14:paraId="56461F16">
                  <w:pPr>
                    <w:pStyle w:val="101"/>
                    <w:spacing w:line="240" w:lineRule="auto"/>
                    <w:ind w:firstLine="0" w:firstLineChars="0"/>
                    <w:rPr>
                      <w:b/>
                      <w:bCs/>
                      <w:color w:val="auto"/>
                      <w:sz w:val="21"/>
                    </w:rPr>
                  </w:pPr>
                  <w:r>
                    <w:rPr>
                      <w:b/>
                      <w:bCs/>
                      <w:color w:val="auto"/>
                      <w:sz w:val="21"/>
                    </w:rPr>
                    <w:t>浓度（mg/</w:t>
                  </w:r>
                  <w:r>
                    <w:rPr>
                      <w:rFonts w:hint="eastAsia"/>
                      <w:b/>
                      <w:bCs/>
                      <w:color w:val="auto"/>
                      <w:sz w:val="21"/>
                    </w:rPr>
                    <w:t>m</w:t>
                  </w:r>
                  <w:r>
                    <w:rPr>
                      <w:rFonts w:hint="eastAsia"/>
                      <w:b/>
                      <w:bCs/>
                      <w:color w:val="auto"/>
                      <w:sz w:val="21"/>
                      <w:vertAlign w:val="superscript"/>
                    </w:rPr>
                    <w:t>3</w:t>
                  </w:r>
                  <w:r>
                    <w:rPr>
                      <w:b/>
                      <w:bCs/>
                      <w:color w:val="auto"/>
                      <w:sz w:val="21"/>
                    </w:rPr>
                    <w:t>）</w:t>
                  </w:r>
                </w:p>
              </w:tc>
            </w:tr>
            <w:tr w14:paraId="1353A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88" w:type="pct"/>
                  <w:tcBorders>
                    <w:tl2br w:val="nil"/>
                    <w:tr2bl w:val="nil"/>
                  </w:tcBorders>
                  <w:vAlign w:val="center"/>
                </w:tcPr>
                <w:p w14:paraId="0305E44A">
                  <w:pPr>
                    <w:pStyle w:val="101"/>
                    <w:spacing w:line="240" w:lineRule="auto"/>
                    <w:ind w:firstLine="0" w:firstLineChars="0"/>
                    <w:rPr>
                      <w:color w:val="auto"/>
                      <w:sz w:val="21"/>
                    </w:rPr>
                  </w:pPr>
                  <w:r>
                    <w:rPr>
                      <w:color w:val="auto"/>
                      <w:sz w:val="21"/>
                    </w:rPr>
                    <w:t>《合成树脂工业污染物排放标准》(GB31572-2015)</w:t>
                  </w:r>
                </w:p>
              </w:tc>
              <w:tc>
                <w:tcPr>
                  <w:tcW w:w="538" w:type="pct"/>
                  <w:tcBorders>
                    <w:tl2br w:val="nil"/>
                    <w:tr2bl w:val="nil"/>
                  </w:tcBorders>
                  <w:vAlign w:val="center"/>
                </w:tcPr>
                <w:p w14:paraId="3EFDD152">
                  <w:pPr>
                    <w:pStyle w:val="57"/>
                    <w:rPr>
                      <w:color w:val="auto"/>
                    </w:rPr>
                  </w:pPr>
                  <w:r>
                    <w:rPr>
                      <w:color w:val="auto"/>
                    </w:rPr>
                    <w:t>非甲烷总烃</w:t>
                  </w:r>
                </w:p>
              </w:tc>
              <w:tc>
                <w:tcPr>
                  <w:tcW w:w="658" w:type="pct"/>
                  <w:tcBorders>
                    <w:tl2br w:val="nil"/>
                    <w:tr2bl w:val="nil"/>
                  </w:tcBorders>
                  <w:vAlign w:val="center"/>
                </w:tcPr>
                <w:p w14:paraId="5FC936F1">
                  <w:pPr>
                    <w:pStyle w:val="57"/>
                    <w:rPr>
                      <w:color w:val="auto"/>
                    </w:rPr>
                  </w:pPr>
                  <w:r>
                    <w:rPr>
                      <w:rFonts w:hint="eastAsia"/>
                      <w:color w:val="auto"/>
                    </w:rPr>
                    <w:t>60</w:t>
                  </w:r>
                </w:p>
              </w:tc>
              <w:tc>
                <w:tcPr>
                  <w:tcW w:w="575" w:type="pct"/>
                  <w:tcBorders>
                    <w:tl2br w:val="nil"/>
                    <w:tr2bl w:val="nil"/>
                  </w:tcBorders>
                  <w:vAlign w:val="center"/>
                </w:tcPr>
                <w:p w14:paraId="47FDB7C9">
                  <w:pPr>
                    <w:pStyle w:val="57"/>
                    <w:rPr>
                      <w:rFonts w:hint="eastAsia"/>
                      <w:color w:val="auto"/>
                    </w:rPr>
                  </w:pPr>
                  <w:r>
                    <w:rPr>
                      <w:color w:val="auto"/>
                    </w:rPr>
                    <w:t>/</w:t>
                  </w:r>
                </w:p>
              </w:tc>
              <w:tc>
                <w:tcPr>
                  <w:tcW w:w="767" w:type="pct"/>
                  <w:tcBorders>
                    <w:tl2br w:val="nil"/>
                    <w:tr2bl w:val="nil"/>
                  </w:tcBorders>
                  <w:vAlign w:val="center"/>
                </w:tcPr>
                <w:p w14:paraId="67BBF512">
                  <w:pPr>
                    <w:pStyle w:val="57"/>
                    <w:rPr>
                      <w:color w:val="auto"/>
                    </w:rPr>
                  </w:pPr>
                  <w:r>
                    <w:rPr>
                      <w:color w:val="auto"/>
                    </w:rPr>
                    <w:t>车间或生产设施排气筒</w:t>
                  </w:r>
                </w:p>
              </w:tc>
              <w:tc>
                <w:tcPr>
                  <w:tcW w:w="494" w:type="pct"/>
                  <w:tcBorders>
                    <w:right w:val="single" w:color="auto" w:sz="4" w:space="0"/>
                    <w:tl2br w:val="nil"/>
                    <w:tr2bl w:val="nil"/>
                  </w:tcBorders>
                  <w:vAlign w:val="center"/>
                </w:tcPr>
                <w:p w14:paraId="07052E0B">
                  <w:pPr>
                    <w:pStyle w:val="57"/>
                    <w:rPr>
                      <w:rFonts w:hint="eastAsia"/>
                      <w:color w:val="auto"/>
                    </w:rPr>
                  </w:pPr>
                  <w:r>
                    <w:rPr>
                      <w:rFonts w:hint="eastAsia"/>
                      <w:color w:val="auto"/>
                    </w:rPr>
                    <w:t>企业边界</w:t>
                  </w:r>
                </w:p>
              </w:tc>
              <w:tc>
                <w:tcPr>
                  <w:tcW w:w="678" w:type="pct"/>
                  <w:tcBorders>
                    <w:left w:val="single" w:color="auto" w:sz="4" w:space="0"/>
                    <w:tl2br w:val="nil"/>
                    <w:tr2bl w:val="nil"/>
                  </w:tcBorders>
                  <w:vAlign w:val="center"/>
                </w:tcPr>
                <w:p w14:paraId="3EBB5925">
                  <w:pPr>
                    <w:pStyle w:val="57"/>
                    <w:rPr>
                      <w:color w:val="auto"/>
                    </w:rPr>
                  </w:pPr>
                  <w:r>
                    <w:rPr>
                      <w:rFonts w:hint="eastAsia"/>
                      <w:color w:val="auto"/>
                    </w:rPr>
                    <w:t>4.0</w:t>
                  </w:r>
                </w:p>
              </w:tc>
            </w:tr>
            <w:tr w14:paraId="586E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88" w:type="pct"/>
                  <w:tcBorders>
                    <w:tl2br w:val="nil"/>
                    <w:tr2bl w:val="nil"/>
                  </w:tcBorders>
                  <w:vAlign w:val="center"/>
                </w:tcPr>
                <w:p w14:paraId="04308090">
                  <w:pPr>
                    <w:pStyle w:val="101"/>
                    <w:spacing w:line="240" w:lineRule="auto"/>
                    <w:ind w:firstLine="0" w:firstLineChars="0"/>
                    <w:rPr>
                      <w:color w:val="auto"/>
                      <w:sz w:val="21"/>
                    </w:rPr>
                  </w:pPr>
                  <w:r>
                    <w:rPr>
                      <w:color w:val="auto"/>
                      <w:sz w:val="21"/>
                    </w:rPr>
                    <w:t>《固定源挥发性有机物综合排放标准第6部分:其他行业》（DB34/4812.6-2024）</w:t>
                  </w:r>
                </w:p>
              </w:tc>
              <w:tc>
                <w:tcPr>
                  <w:tcW w:w="538" w:type="pct"/>
                  <w:tcBorders>
                    <w:tl2br w:val="nil"/>
                    <w:tr2bl w:val="nil"/>
                  </w:tcBorders>
                  <w:vAlign w:val="center"/>
                </w:tcPr>
                <w:p w14:paraId="7401D3E2">
                  <w:pPr>
                    <w:pStyle w:val="57"/>
                    <w:rPr>
                      <w:color w:val="auto"/>
                    </w:rPr>
                  </w:pPr>
                  <w:r>
                    <w:rPr>
                      <w:color w:val="auto"/>
                    </w:rPr>
                    <w:t>非甲烷总烃</w:t>
                  </w:r>
                </w:p>
              </w:tc>
              <w:tc>
                <w:tcPr>
                  <w:tcW w:w="658" w:type="pct"/>
                  <w:tcBorders>
                    <w:tl2br w:val="nil"/>
                    <w:tr2bl w:val="nil"/>
                  </w:tcBorders>
                  <w:vAlign w:val="center"/>
                </w:tcPr>
                <w:p w14:paraId="4258DE00">
                  <w:pPr>
                    <w:pStyle w:val="57"/>
                    <w:rPr>
                      <w:color w:val="auto"/>
                    </w:rPr>
                  </w:pPr>
                  <w:r>
                    <w:rPr>
                      <w:rFonts w:hint="eastAsia"/>
                      <w:color w:val="auto"/>
                    </w:rPr>
                    <w:t>40</w:t>
                  </w:r>
                </w:p>
              </w:tc>
              <w:tc>
                <w:tcPr>
                  <w:tcW w:w="575" w:type="pct"/>
                  <w:tcBorders>
                    <w:tl2br w:val="nil"/>
                    <w:tr2bl w:val="nil"/>
                  </w:tcBorders>
                  <w:vAlign w:val="center"/>
                </w:tcPr>
                <w:p w14:paraId="5399D1F1">
                  <w:pPr>
                    <w:pStyle w:val="57"/>
                    <w:rPr>
                      <w:color w:val="auto"/>
                    </w:rPr>
                  </w:pPr>
                  <w:r>
                    <w:rPr>
                      <w:rFonts w:hint="eastAsia"/>
                      <w:color w:val="auto"/>
                    </w:rPr>
                    <w:t>1.6</w:t>
                  </w:r>
                </w:p>
              </w:tc>
              <w:tc>
                <w:tcPr>
                  <w:tcW w:w="767" w:type="pct"/>
                  <w:tcBorders>
                    <w:tl2br w:val="nil"/>
                    <w:tr2bl w:val="nil"/>
                  </w:tcBorders>
                  <w:vAlign w:val="center"/>
                </w:tcPr>
                <w:p w14:paraId="79A646A3">
                  <w:pPr>
                    <w:pStyle w:val="57"/>
                    <w:rPr>
                      <w:color w:val="auto"/>
                    </w:rPr>
                  </w:pPr>
                  <w:r>
                    <w:rPr>
                      <w:color w:val="auto"/>
                    </w:rPr>
                    <w:t>车间或生产设施排气筒</w:t>
                  </w:r>
                </w:p>
              </w:tc>
              <w:tc>
                <w:tcPr>
                  <w:tcW w:w="494" w:type="pct"/>
                  <w:tcBorders>
                    <w:right w:val="single" w:color="auto" w:sz="4" w:space="0"/>
                    <w:tl2br w:val="nil"/>
                    <w:tr2bl w:val="nil"/>
                  </w:tcBorders>
                  <w:vAlign w:val="center"/>
                </w:tcPr>
                <w:p w14:paraId="667A593B">
                  <w:pPr>
                    <w:pStyle w:val="57"/>
                    <w:rPr>
                      <w:rFonts w:hint="eastAsia"/>
                      <w:color w:val="auto"/>
                    </w:rPr>
                  </w:pPr>
                  <w:r>
                    <w:rPr>
                      <w:color w:val="auto"/>
                    </w:rPr>
                    <w:t>/</w:t>
                  </w:r>
                </w:p>
              </w:tc>
              <w:tc>
                <w:tcPr>
                  <w:tcW w:w="678" w:type="pct"/>
                  <w:tcBorders>
                    <w:left w:val="single" w:color="auto" w:sz="4" w:space="0"/>
                    <w:tl2br w:val="nil"/>
                    <w:tr2bl w:val="nil"/>
                  </w:tcBorders>
                  <w:vAlign w:val="center"/>
                </w:tcPr>
                <w:p w14:paraId="36616F95">
                  <w:pPr>
                    <w:pStyle w:val="57"/>
                    <w:rPr>
                      <w:rFonts w:hint="eastAsia"/>
                      <w:color w:val="auto"/>
                    </w:rPr>
                  </w:pPr>
                  <w:r>
                    <w:rPr>
                      <w:color w:val="auto"/>
                    </w:rPr>
                    <w:t>/</w:t>
                  </w:r>
                </w:p>
              </w:tc>
            </w:tr>
            <w:tr w14:paraId="777A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88" w:type="pct"/>
                  <w:tcBorders>
                    <w:tl2br w:val="nil"/>
                    <w:tr2bl w:val="nil"/>
                  </w:tcBorders>
                  <w:vAlign w:val="center"/>
                </w:tcPr>
                <w:p w14:paraId="47295236">
                  <w:pPr>
                    <w:pStyle w:val="101"/>
                    <w:spacing w:line="240" w:lineRule="auto"/>
                    <w:ind w:firstLine="0" w:firstLineChars="0"/>
                    <w:rPr>
                      <w:rFonts w:hint="eastAsia"/>
                      <w:color w:val="auto"/>
                      <w:sz w:val="21"/>
                    </w:rPr>
                  </w:pPr>
                  <w:r>
                    <w:rPr>
                      <w:rFonts w:hint="eastAsia"/>
                      <w:color w:val="auto"/>
                      <w:sz w:val="21"/>
                    </w:rPr>
                    <w:t>安徽省地方标准《固定源挥发性有机物综合排放标准第4部分:印刷工业》（DB34/4812.4-2024）</w:t>
                  </w:r>
                </w:p>
              </w:tc>
              <w:tc>
                <w:tcPr>
                  <w:tcW w:w="538" w:type="pct"/>
                  <w:tcBorders>
                    <w:tl2br w:val="nil"/>
                    <w:tr2bl w:val="nil"/>
                  </w:tcBorders>
                  <w:vAlign w:val="center"/>
                </w:tcPr>
                <w:p w14:paraId="6DE08CF0">
                  <w:pPr>
                    <w:pStyle w:val="57"/>
                    <w:rPr>
                      <w:color w:val="auto"/>
                    </w:rPr>
                  </w:pPr>
                  <w:r>
                    <w:rPr>
                      <w:color w:val="auto"/>
                    </w:rPr>
                    <w:t>非甲烷总烃</w:t>
                  </w:r>
                </w:p>
              </w:tc>
              <w:tc>
                <w:tcPr>
                  <w:tcW w:w="658" w:type="pct"/>
                  <w:tcBorders>
                    <w:tl2br w:val="nil"/>
                    <w:tr2bl w:val="nil"/>
                  </w:tcBorders>
                  <w:vAlign w:val="center"/>
                </w:tcPr>
                <w:p w14:paraId="5A24540E">
                  <w:pPr>
                    <w:pStyle w:val="57"/>
                    <w:rPr>
                      <w:color w:val="auto"/>
                    </w:rPr>
                  </w:pPr>
                  <w:r>
                    <w:rPr>
                      <w:rFonts w:hint="eastAsia"/>
                      <w:color w:val="auto"/>
                    </w:rPr>
                    <w:t>50</w:t>
                  </w:r>
                </w:p>
              </w:tc>
              <w:tc>
                <w:tcPr>
                  <w:tcW w:w="575" w:type="pct"/>
                  <w:tcBorders>
                    <w:tl2br w:val="nil"/>
                    <w:tr2bl w:val="nil"/>
                  </w:tcBorders>
                  <w:vAlign w:val="center"/>
                </w:tcPr>
                <w:p w14:paraId="5B2D8346">
                  <w:pPr>
                    <w:pStyle w:val="57"/>
                    <w:rPr>
                      <w:color w:val="auto"/>
                    </w:rPr>
                  </w:pPr>
                  <w:r>
                    <w:rPr>
                      <w:rFonts w:hint="eastAsia"/>
                      <w:color w:val="auto"/>
                    </w:rPr>
                    <w:t>1.5</w:t>
                  </w:r>
                </w:p>
              </w:tc>
              <w:tc>
                <w:tcPr>
                  <w:tcW w:w="767" w:type="pct"/>
                  <w:tcBorders>
                    <w:tl2br w:val="nil"/>
                    <w:tr2bl w:val="nil"/>
                  </w:tcBorders>
                  <w:vAlign w:val="center"/>
                </w:tcPr>
                <w:p w14:paraId="7AD79E42">
                  <w:pPr>
                    <w:pStyle w:val="57"/>
                    <w:rPr>
                      <w:color w:val="auto"/>
                    </w:rPr>
                  </w:pPr>
                  <w:r>
                    <w:rPr>
                      <w:color w:val="auto"/>
                    </w:rPr>
                    <w:t>车间或生产设施排气筒</w:t>
                  </w:r>
                </w:p>
              </w:tc>
              <w:tc>
                <w:tcPr>
                  <w:tcW w:w="494" w:type="pct"/>
                  <w:tcBorders>
                    <w:right w:val="single" w:color="auto" w:sz="4" w:space="0"/>
                    <w:tl2br w:val="nil"/>
                    <w:tr2bl w:val="nil"/>
                  </w:tcBorders>
                  <w:vAlign w:val="center"/>
                </w:tcPr>
                <w:p w14:paraId="4DEBB2C2">
                  <w:pPr>
                    <w:pStyle w:val="57"/>
                    <w:rPr>
                      <w:rFonts w:hint="eastAsia"/>
                      <w:color w:val="auto"/>
                    </w:rPr>
                  </w:pPr>
                  <w:r>
                    <w:rPr>
                      <w:color w:val="auto"/>
                    </w:rPr>
                    <w:t>/</w:t>
                  </w:r>
                </w:p>
              </w:tc>
              <w:tc>
                <w:tcPr>
                  <w:tcW w:w="678" w:type="pct"/>
                  <w:tcBorders>
                    <w:left w:val="single" w:color="auto" w:sz="4" w:space="0"/>
                    <w:tl2br w:val="nil"/>
                    <w:tr2bl w:val="nil"/>
                  </w:tcBorders>
                  <w:vAlign w:val="center"/>
                </w:tcPr>
                <w:p w14:paraId="63FDE4D9">
                  <w:pPr>
                    <w:pStyle w:val="57"/>
                    <w:rPr>
                      <w:rFonts w:hint="eastAsia"/>
                      <w:color w:val="auto"/>
                    </w:rPr>
                  </w:pPr>
                  <w:r>
                    <w:rPr>
                      <w:color w:val="auto"/>
                    </w:rPr>
                    <w:t>/</w:t>
                  </w:r>
                </w:p>
              </w:tc>
            </w:tr>
            <w:tr w14:paraId="3639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88" w:type="pct"/>
                  <w:tcBorders>
                    <w:tl2br w:val="nil"/>
                    <w:tr2bl w:val="nil"/>
                  </w:tcBorders>
                  <w:vAlign w:val="center"/>
                </w:tcPr>
                <w:p w14:paraId="60CAEFDB">
                  <w:pPr>
                    <w:pStyle w:val="101"/>
                    <w:spacing w:line="240" w:lineRule="auto"/>
                    <w:ind w:firstLine="0" w:firstLineChars="0"/>
                    <w:rPr>
                      <w:color w:val="auto"/>
                      <w:sz w:val="21"/>
                    </w:rPr>
                  </w:pPr>
                  <w:r>
                    <w:rPr>
                      <w:rFonts w:hint="eastAsia"/>
                      <w:color w:val="auto"/>
                      <w:sz w:val="21"/>
                    </w:rPr>
                    <w:t>本项目执行标准</w:t>
                  </w:r>
                </w:p>
              </w:tc>
              <w:tc>
                <w:tcPr>
                  <w:tcW w:w="538" w:type="pct"/>
                  <w:tcBorders>
                    <w:tl2br w:val="nil"/>
                    <w:tr2bl w:val="nil"/>
                  </w:tcBorders>
                  <w:vAlign w:val="center"/>
                </w:tcPr>
                <w:p w14:paraId="4DED57B5">
                  <w:pPr>
                    <w:pStyle w:val="57"/>
                    <w:rPr>
                      <w:rFonts w:hint="eastAsia"/>
                      <w:color w:val="auto"/>
                    </w:rPr>
                  </w:pPr>
                  <w:r>
                    <w:rPr>
                      <w:color w:val="auto"/>
                    </w:rPr>
                    <w:t>非甲烷总烃</w:t>
                  </w:r>
                </w:p>
              </w:tc>
              <w:tc>
                <w:tcPr>
                  <w:tcW w:w="658" w:type="pct"/>
                  <w:tcBorders>
                    <w:tl2br w:val="nil"/>
                    <w:tr2bl w:val="nil"/>
                  </w:tcBorders>
                  <w:vAlign w:val="center"/>
                </w:tcPr>
                <w:p w14:paraId="42CB0162">
                  <w:pPr>
                    <w:pStyle w:val="57"/>
                    <w:rPr>
                      <w:rFonts w:hint="eastAsia"/>
                      <w:color w:val="auto"/>
                    </w:rPr>
                  </w:pPr>
                  <w:r>
                    <w:rPr>
                      <w:rFonts w:hint="eastAsia"/>
                      <w:color w:val="auto"/>
                    </w:rPr>
                    <w:t>40</w:t>
                  </w:r>
                </w:p>
              </w:tc>
              <w:tc>
                <w:tcPr>
                  <w:tcW w:w="575" w:type="pct"/>
                  <w:tcBorders>
                    <w:tl2br w:val="nil"/>
                    <w:tr2bl w:val="nil"/>
                  </w:tcBorders>
                  <w:vAlign w:val="center"/>
                </w:tcPr>
                <w:p w14:paraId="0081B37A">
                  <w:pPr>
                    <w:pStyle w:val="57"/>
                    <w:rPr>
                      <w:color w:val="auto"/>
                    </w:rPr>
                  </w:pPr>
                  <w:r>
                    <w:rPr>
                      <w:rFonts w:hint="eastAsia"/>
                      <w:color w:val="auto"/>
                    </w:rPr>
                    <w:t>1.5</w:t>
                  </w:r>
                </w:p>
              </w:tc>
              <w:tc>
                <w:tcPr>
                  <w:tcW w:w="767" w:type="pct"/>
                  <w:tcBorders>
                    <w:tl2br w:val="nil"/>
                    <w:tr2bl w:val="nil"/>
                  </w:tcBorders>
                  <w:vAlign w:val="center"/>
                </w:tcPr>
                <w:p w14:paraId="0CD1E12B">
                  <w:pPr>
                    <w:pStyle w:val="57"/>
                    <w:rPr>
                      <w:color w:val="auto"/>
                    </w:rPr>
                  </w:pPr>
                  <w:r>
                    <w:rPr>
                      <w:color w:val="auto"/>
                    </w:rPr>
                    <w:t>车间或生产设施排气筒</w:t>
                  </w:r>
                </w:p>
              </w:tc>
              <w:tc>
                <w:tcPr>
                  <w:tcW w:w="494" w:type="pct"/>
                  <w:tcBorders>
                    <w:right w:val="single" w:color="auto" w:sz="4" w:space="0"/>
                    <w:tl2br w:val="nil"/>
                    <w:tr2bl w:val="nil"/>
                  </w:tcBorders>
                  <w:vAlign w:val="center"/>
                </w:tcPr>
                <w:p w14:paraId="4CFED8FB">
                  <w:pPr>
                    <w:pStyle w:val="57"/>
                    <w:rPr>
                      <w:color w:val="auto"/>
                    </w:rPr>
                  </w:pPr>
                  <w:r>
                    <w:rPr>
                      <w:rFonts w:hint="eastAsia"/>
                      <w:color w:val="auto"/>
                    </w:rPr>
                    <w:t>企业边界</w:t>
                  </w:r>
                </w:p>
              </w:tc>
              <w:tc>
                <w:tcPr>
                  <w:tcW w:w="678" w:type="pct"/>
                  <w:tcBorders>
                    <w:left w:val="single" w:color="auto" w:sz="4" w:space="0"/>
                    <w:tl2br w:val="nil"/>
                    <w:tr2bl w:val="nil"/>
                  </w:tcBorders>
                  <w:vAlign w:val="center"/>
                </w:tcPr>
                <w:p w14:paraId="4C89EBE8">
                  <w:pPr>
                    <w:pStyle w:val="57"/>
                    <w:rPr>
                      <w:color w:val="auto"/>
                    </w:rPr>
                  </w:pPr>
                  <w:r>
                    <w:rPr>
                      <w:rFonts w:hint="eastAsia"/>
                      <w:color w:val="auto"/>
                    </w:rPr>
                    <w:t>4.0</w:t>
                  </w:r>
                </w:p>
              </w:tc>
            </w:tr>
          </w:tbl>
          <w:p w14:paraId="197106A7">
            <w:pPr>
              <w:widowControl/>
              <w:ind w:firstLine="480"/>
              <w:jc w:val="left"/>
              <w:rPr>
                <w:color w:val="auto"/>
              </w:rPr>
            </w:pPr>
            <w:r>
              <w:rPr>
                <w:color w:val="auto"/>
              </w:rPr>
              <w:t>厂区内VOCs无组织排放执行安徽省地方标准《固定源挥发性有机物综合排放标准第6部分:其他行业》（DB34/4812.6-2024）表4厂区内VOCs无组织排放限值，具体排放标准限值如下表所示。</w:t>
            </w:r>
          </w:p>
          <w:p w14:paraId="7EF6645A">
            <w:pPr>
              <w:pStyle w:val="58"/>
              <w:ind w:firstLine="422"/>
              <w:rPr>
                <w:color w:val="auto"/>
              </w:rPr>
            </w:pPr>
            <w:r>
              <w:rPr>
                <w:color w:val="auto"/>
              </w:rPr>
              <w:t>表3-</w:t>
            </w:r>
            <w:r>
              <w:rPr>
                <w:rFonts w:hint="eastAsia"/>
                <w:color w:val="auto"/>
                <w:lang w:val="en-US" w:eastAsia="zh-CN"/>
              </w:rPr>
              <w:t>8</w:t>
            </w:r>
            <w:r>
              <w:rPr>
                <w:color w:val="auto"/>
              </w:rPr>
              <w:t>《固定源挥发性有机物综合排放标准第6部分:其他行业》（DB34/4812.6-2024）</w:t>
            </w:r>
          </w:p>
          <w:tbl>
            <w:tblPr>
              <w:tblStyle w:val="3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1620"/>
              <w:gridCol w:w="3230"/>
              <w:gridCol w:w="2426"/>
            </w:tblGrid>
            <w:tr w14:paraId="2953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83" w:type="pct"/>
                  <w:vAlign w:val="center"/>
                </w:tcPr>
                <w:p w14:paraId="369F8C6C">
                  <w:pPr>
                    <w:pStyle w:val="57"/>
                    <w:rPr>
                      <w:b/>
                      <w:bCs w:val="0"/>
                      <w:color w:val="auto"/>
                    </w:rPr>
                  </w:pPr>
                  <w:r>
                    <w:rPr>
                      <w:b/>
                      <w:bCs w:val="0"/>
                      <w:color w:val="auto"/>
                    </w:rPr>
                    <w:t>污染物</w:t>
                  </w:r>
                </w:p>
              </w:tc>
              <w:tc>
                <w:tcPr>
                  <w:tcW w:w="939" w:type="pct"/>
                  <w:vAlign w:val="center"/>
                </w:tcPr>
                <w:p w14:paraId="71B7464A">
                  <w:pPr>
                    <w:pStyle w:val="57"/>
                    <w:rPr>
                      <w:b/>
                      <w:bCs w:val="0"/>
                      <w:color w:val="auto"/>
                    </w:rPr>
                  </w:pPr>
                  <w:r>
                    <w:rPr>
                      <w:b/>
                      <w:bCs w:val="0"/>
                      <w:color w:val="auto"/>
                    </w:rPr>
                    <w:t>特别排放限值</w:t>
                  </w:r>
                </w:p>
                <w:p w14:paraId="573FFB50">
                  <w:pPr>
                    <w:pStyle w:val="57"/>
                    <w:rPr>
                      <w:b/>
                      <w:bCs w:val="0"/>
                      <w:color w:val="auto"/>
                    </w:rPr>
                  </w:pPr>
                  <w:r>
                    <w:rPr>
                      <w:b/>
                      <w:bCs w:val="0"/>
                      <w:color w:val="auto"/>
                    </w:rPr>
                    <w:t>(mg/</w:t>
                  </w:r>
                  <w:r>
                    <w:rPr>
                      <w:rFonts w:hint="eastAsia"/>
                      <w:b/>
                      <w:bCs w:val="0"/>
                      <w:color w:val="auto"/>
                    </w:rPr>
                    <w:t>m</w:t>
                  </w:r>
                  <w:r>
                    <w:rPr>
                      <w:rFonts w:hint="eastAsia"/>
                      <w:b/>
                      <w:bCs w:val="0"/>
                      <w:color w:val="auto"/>
                      <w:vertAlign w:val="superscript"/>
                    </w:rPr>
                    <w:t>3</w:t>
                  </w:r>
                  <w:r>
                    <w:rPr>
                      <w:b/>
                      <w:bCs w:val="0"/>
                      <w:color w:val="auto"/>
                    </w:rPr>
                    <w:t>)</w:t>
                  </w:r>
                </w:p>
              </w:tc>
              <w:tc>
                <w:tcPr>
                  <w:tcW w:w="1871" w:type="pct"/>
                  <w:vAlign w:val="center"/>
                </w:tcPr>
                <w:p w14:paraId="354B6887">
                  <w:pPr>
                    <w:pStyle w:val="57"/>
                    <w:rPr>
                      <w:b/>
                      <w:bCs w:val="0"/>
                      <w:color w:val="auto"/>
                    </w:rPr>
                  </w:pPr>
                  <w:r>
                    <w:rPr>
                      <w:b/>
                      <w:bCs w:val="0"/>
                      <w:color w:val="auto"/>
                    </w:rPr>
                    <w:t>限值含义</w:t>
                  </w:r>
                </w:p>
              </w:tc>
              <w:tc>
                <w:tcPr>
                  <w:tcW w:w="1405" w:type="pct"/>
                  <w:vAlign w:val="center"/>
                </w:tcPr>
                <w:p w14:paraId="14A62F3A">
                  <w:pPr>
                    <w:pStyle w:val="57"/>
                    <w:rPr>
                      <w:b/>
                      <w:bCs w:val="0"/>
                      <w:color w:val="auto"/>
                    </w:rPr>
                  </w:pPr>
                  <w:r>
                    <w:rPr>
                      <w:b/>
                      <w:bCs w:val="0"/>
                      <w:color w:val="auto"/>
                    </w:rPr>
                    <w:t>无组织排放监控位置</w:t>
                  </w:r>
                </w:p>
              </w:tc>
            </w:tr>
            <w:tr w14:paraId="07DB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83" w:type="pct"/>
                  <w:vMerge w:val="restart"/>
                  <w:vAlign w:val="center"/>
                </w:tcPr>
                <w:p w14:paraId="502B6B3B">
                  <w:pPr>
                    <w:pStyle w:val="57"/>
                    <w:rPr>
                      <w:color w:val="auto"/>
                    </w:rPr>
                  </w:pPr>
                  <w:r>
                    <w:rPr>
                      <w:color w:val="auto"/>
                    </w:rPr>
                    <w:t>非甲烷总烃</w:t>
                  </w:r>
                </w:p>
              </w:tc>
              <w:tc>
                <w:tcPr>
                  <w:tcW w:w="939" w:type="pct"/>
                  <w:vAlign w:val="center"/>
                </w:tcPr>
                <w:p w14:paraId="7A3558A7">
                  <w:pPr>
                    <w:pStyle w:val="57"/>
                    <w:rPr>
                      <w:color w:val="auto"/>
                    </w:rPr>
                  </w:pPr>
                  <w:r>
                    <w:rPr>
                      <w:color w:val="auto"/>
                    </w:rPr>
                    <w:t>6</w:t>
                  </w:r>
                </w:p>
              </w:tc>
              <w:tc>
                <w:tcPr>
                  <w:tcW w:w="1871" w:type="pct"/>
                  <w:vAlign w:val="center"/>
                </w:tcPr>
                <w:p w14:paraId="5025BBB6">
                  <w:pPr>
                    <w:pStyle w:val="57"/>
                    <w:rPr>
                      <w:color w:val="auto"/>
                    </w:rPr>
                  </w:pPr>
                  <w:r>
                    <w:rPr>
                      <w:color w:val="auto"/>
                    </w:rPr>
                    <w:t>监控点处1h平均浓度限值</w:t>
                  </w:r>
                </w:p>
              </w:tc>
              <w:tc>
                <w:tcPr>
                  <w:tcW w:w="1405" w:type="pct"/>
                  <w:vMerge w:val="restart"/>
                  <w:vAlign w:val="center"/>
                </w:tcPr>
                <w:p w14:paraId="5714AC14">
                  <w:pPr>
                    <w:pStyle w:val="57"/>
                    <w:rPr>
                      <w:color w:val="auto"/>
                    </w:rPr>
                  </w:pPr>
                  <w:r>
                    <w:rPr>
                      <w:color w:val="auto"/>
                    </w:rPr>
                    <w:t>在厂房外设置监控点</w:t>
                  </w:r>
                </w:p>
              </w:tc>
            </w:tr>
            <w:tr w14:paraId="2D76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83" w:type="pct"/>
                  <w:vMerge w:val="continue"/>
                  <w:tcBorders>
                    <w:top w:val="nil"/>
                  </w:tcBorders>
                  <w:vAlign w:val="center"/>
                </w:tcPr>
                <w:p w14:paraId="7620A410">
                  <w:pPr>
                    <w:pStyle w:val="57"/>
                    <w:rPr>
                      <w:color w:val="auto"/>
                    </w:rPr>
                  </w:pPr>
                </w:p>
              </w:tc>
              <w:tc>
                <w:tcPr>
                  <w:tcW w:w="939" w:type="pct"/>
                  <w:vAlign w:val="center"/>
                </w:tcPr>
                <w:p w14:paraId="781CA485">
                  <w:pPr>
                    <w:pStyle w:val="57"/>
                    <w:rPr>
                      <w:color w:val="auto"/>
                    </w:rPr>
                  </w:pPr>
                  <w:r>
                    <w:rPr>
                      <w:color w:val="auto"/>
                    </w:rPr>
                    <w:t>20</w:t>
                  </w:r>
                </w:p>
              </w:tc>
              <w:tc>
                <w:tcPr>
                  <w:tcW w:w="1871" w:type="pct"/>
                  <w:vAlign w:val="center"/>
                </w:tcPr>
                <w:p w14:paraId="5225675A">
                  <w:pPr>
                    <w:pStyle w:val="57"/>
                    <w:rPr>
                      <w:color w:val="auto"/>
                    </w:rPr>
                  </w:pPr>
                  <w:r>
                    <w:rPr>
                      <w:color w:val="auto"/>
                    </w:rPr>
                    <w:t>监控点处任意一次浓度值</w:t>
                  </w:r>
                </w:p>
              </w:tc>
              <w:tc>
                <w:tcPr>
                  <w:tcW w:w="1405" w:type="pct"/>
                  <w:vMerge w:val="continue"/>
                  <w:tcBorders>
                    <w:top w:val="nil"/>
                  </w:tcBorders>
                  <w:vAlign w:val="center"/>
                </w:tcPr>
                <w:p w14:paraId="449EA270">
                  <w:pPr>
                    <w:pStyle w:val="57"/>
                    <w:rPr>
                      <w:color w:val="auto"/>
                    </w:rPr>
                  </w:pPr>
                </w:p>
              </w:tc>
            </w:tr>
          </w:tbl>
          <w:p w14:paraId="742C6351">
            <w:pPr>
              <w:widowControl/>
              <w:ind w:firstLine="482"/>
              <w:jc w:val="left"/>
              <w:rPr>
                <w:b/>
                <w:bCs/>
                <w:color w:val="auto"/>
              </w:rPr>
            </w:pPr>
            <w:r>
              <w:rPr>
                <w:b/>
                <w:bCs/>
                <w:color w:val="auto"/>
              </w:rPr>
              <w:t>2、废水排放标准</w:t>
            </w:r>
          </w:p>
          <w:p w14:paraId="170F62A2">
            <w:pPr>
              <w:ind w:firstLine="480"/>
              <w:rPr>
                <w:color w:val="auto"/>
              </w:rPr>
            </w:pPr>
            <w:r>
              <w:rPr>
                <w:rFonts w:hint="eastAsia"/>
                <w:color w:val="auto"/>
              </w:rPr>
              <w:t>本项目生活污水经化粪池预处理后达城南污水处理厂接管标准，接管城南污水处理厂处理，污水处理厂尾水执行《城镇污水处理厂污染物排放标准》（GB18918-2002）中一级A标准，最终外排至运粮河</w:t>
            </w:r>
            <w:r>
              <w:rPr>
                <w:color w:val="auto"/>
              </w:rPr>
              <w:t>。</w:t>
            </w:r>
          </w:p>
          <w:p w14:paraId="0D9148B8">
            <w:pPr>
              <w:pStyle w:val="58"/>
              <w:ind w:firstLine="422"/>
              <w:rPr>
                <w:rFonts w:hint="eastAsia"/>
                <w:color w:val="auto"/>
              </w:rPr>
            </w:pPr>
            <w:r>
              <w:rPr>
                <w:rFonts w:hint="eastAsia"/>
                <w:color w:val="auto"/>
              </w:rPr>
              <w:t>表3-</w:t>
            </w:r>
            <w:r>
              <w:rPr>
                <w:rFonts w:hint="eastAsia"/>
                <w:color w:val="auto"/>
                <w:lang w:val="en-US" w:eastAsia="zh-CN"/>
              </w:rPr>
              <w:t>9</w:t>
            </w:r>
            <w:r>
              <w:rPr>
                <w:rFonts w:hint="eastAsia"/>
                <w:color w:val="auto"/>
              </w:rPr>
              <w:t>废水污染物排放标准主要指标值表单位：mg/L（pH无量纲）</w:t>
            </w:r>
          </w:p>
          <w:tbl>
            <w:tblPr>
              <w:tblStyle w:val="37"/>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5"/>
              <w:gridCol w:w="969"/>
              <w:gridCol w:w="1079"/>
              <w:gridCol w:w="1016"/>
              <w:gridCol w:w="1011"/>
              <w:gridCol w:w="1123"/>
            </w:tblGrid>
            <w:tr w14:paraId="1C558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981" w:type="pct"/>
                  <w:vAlign w:val="center"/>
                </w:tcPr>
                <w:p w14:paraId="05F1B168">
                  <w:pPr>
                    <w:pStyle w:val="57"/>
                    <w:rPr>
                      <w:b/>
                      <w:bCs w:val="0"/>
                      <w:color w:val="auto"/>
                      <w:szCs w:val="21"/>
                    </w:rPr>
                  </w:pPr>
                  <w:r>
                    <w:rPr>
                      <w:b/>
                      <w:bCs w:val="0"/>
                      <w:color w:val="auto"/>
                      <w:szCs w:val="21"/>
                    </w:rPr>
                    <w:t>标准类别</w:t>
                  </w:r>
                </w:p>
              </w:tc>
              <w:tc>
                <w:tcPr>
                  <w:tcW w:w="562" w:type="pct"/>
                  <w:vAlign w:val="center"/>
                </w:tcPr>
                <w:p w14:paraId="5774A1E6">
                  <w:pPr>
                    <w:pStyle w:val="57"/>
                    <w:rPr>
                      <w:b/>
                      <w:bCs w:val="0"/>
                      <w:color w:val="auto"/>
                      <w:szCs w:val="21"/>
                    </w:rPr>
                  </w:pPr>
                  <w:r>
                    <w:rPr>
                      <w:b/>
                      <w:bCs w:val="0"/>
                      <w:color w:val="auto"/>
                      <w:szCs w:val="21"/>
                    </w:rPr>
                    <w:t>pH</w:t>
                  </w:r>
                </w:p>
              </w:tc>
              <w:tc>
                <w:tcPr>
                  <w:tcW w:w="626" w:type="pct"/>
                  <w:vAlign w:val="center"/>
                </w:tcPr>
                <w:p w14:paraId="37DE69D8">
                  <w:pPr>
                    <w:pStyle w:val="57"/>
                    <w:rPr>
                      <w:b/>
                      <w:bCs w:val="0"/>
                      <w:color w:val="auto"/>
                      <w:szCs w:val="21"/>
                    </w:rPr>
                  </w:pPr>
                  <w:r>
                    <w:rPr>
                      <w:b/>
                      <w:bCs w:val="0"/>
                      <w:color w:val="auto"/>
                      <w:szCs w:val="21"/>
                    </w:rPr>
                    <w:t>COD</w:t>
                  </w:r>
                </w:p>
              </w:tc>
              <w:tc>
                <w:tcPr>
                  <w:tcW w:w="589" w:type="pct"/>
                  <w:vAlign w:val="center"/>
                </w:tcPr>
                <w:p w14:paraId="1FCF3056">
                  <w:pPr>
                    <w:pStyle w:val="57"/>
                    <w:rPr>
                      <w:b/>
                      <w:bCs w:val="0"/>
                      <w:color w:val="auto"/>
                      <w:szCs w:val="21"/>
                    </w:rPr>
                  </w:pPr>
                  <w:r>
                    <w:rPr>
                      <w:b/>
                      <w:bCs w:val="0"/>
                      <w:color w:val="auto"/>
                      <w:szCs w:val="21"/>
                    </w:rPr>
                    <w:t>BOD</w:t>
                  </w:r>
                  <w:r>
                    <w:rPr>
                      <w:b/>
                      <w:bCs w:val="0"/>
                      <w:color w:val="auto"/>
                      <w:szCs w:val="21"/>
                      <w:vertAlign w:val="subscript"/>
                    </w:rPr>
                    <w:t>5</w:t>
                  </w:r>
                </w:p>
              </w:tc>
              <w:tc>
                <w:tcPr>
                  <w:tcW w:w="587" w:type="pct"/>
                  <w:vAlign w:val="center"/>
                </w:tcPr>
                <w:p w14:paraId="596345CF">
                  <w:pPr>
                    <w:pStyle w:val="57"/>
                    <w:rPr>
                      <w:b/>
                      <w:bCs w:val="0"/>
                      <w:color w:val="auto"/>
                      <w:szCs w:val="21"/>
                    </w:rPr>
                  </w:pPr>
                  <w:r>
                    <w:rPr>
                      <w:b/>
                      <w:bCs w:val="0"/>
                      <w:color w:val="auto"/>
                      <w:szCs w:val="21"/>
                    </w:rPr>
                    <w:t>SS</w:t>
                  </w:r>
                </w:p>
              </w:tc>
              <w:tc>
                <w:tcPr>
                  <w:tcW w:w="652" w:type="pct"/>
                  <w:vAlign w:val="center"/>
                </w:tcPr>
                <w:p w14:paraId="146A7463">
                  <w:pPr>
                    <w:pStyle w:val="57"/>
                    <w:rPr>
                      <w:b/>
                      <w:bCs w:val="0"/>
                      <w:color w:val="auto"/>
                      <w:szCs w:val="21"/>
                    </w:rPr>
                  </w:pPr>
                  <w:r>
                    <w:rPr>
                      <w:b/>
                      <w:bCs w:val="0"/>
                      <w:color w:val="auto"/>
                      <w:szCs w:val="21"/>
                    </w:rPr>
                    <w:t>氨氮</w:t>
                  </w:r>
                </w:p>
              </w:tc>
            </w:tr>
            <w:tr w14:paraId="19C3C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81" w:type="pct"/>
                  <w:vAlign w:val="center"/>
                </w:tcPr>
                <w:p w14:paraId="6C8F67D7">
                  <w:pPr>
                    <w:pStyle w:val="57"/>
                    <w:rPr>
                      <w:color w:val="auto"/>
                      <w:szCs w:val="21"/>
                    </w:rPr>
                  </w:pPr>
                  <w:r>
                    <w:rPr>
                      <w:rFonts w:hint="eastAsia"/>
                      <w:color w:val="auto"/>
                      <w:szCs w:val="21"/>
                    </w:rPr>
                    <w:t>城南污水处理厂</w:t>
                  </w:r>
                  <w:r>
                    <w:rPr>
                      <w:color w:val="auto"/>
                      <w:szCs w:val="21"/>
                    </w:rPr>
                    <w:t>接管标准</w:t>
                  </w:r>
                </w:p>
              </w:tc>
              <w:tc>
                <w:tcPr>
                  <w:tcW w:w="562" w:type="pct"/>
                  <w:vAlign w:val="center"/>
                </w:tcPr>
                <w:p w14:paraId="3B0DE66A">
                  <w:pPr>
                    <w:pStyle w:val="57"/>
                    <w:rPr>
                      <w:color w:val="auto"/>
                      <w:szCs w:val="21"/>
                    </w:rPr>
                  </w:pPr>
                  <w:r>
                    <w:rPr>
                      <w:color w:val="auto"/>
                      <w:szCs w:val="21"/>
                    </w:rPr>
                    <w:t>6~9</w:t>
                  </w:r>
                </w:p>
              </w:tc>
              <w:tc>
                <w:tcPr>
                  <w:tcW w:w="626" w:type="pct"/>
                  <w:vAlign w:val="center"/>
                </w:tcPr>
                <w:p w14:paraId="150240CC">
                  <w:pPr>
                    <w:pStyle w:val="57"/>
                    <w:rPr>
                      <w:color w:val="auto"/>
                      <w:szCs w:val="21"/>
                    </w:rPr>
                  </w:pPr>
                  <w:r>
                    <w:rPr>
                      <w:color w:val="auto"/>
                      <w:szCs w:val="21"/>
                    </w:rPr>
                    <w:t>≤</w:t>
                  </w:r>
                  <w:r>
                    <w:rPr>
                      <w:rFonts w:hint="eastAsia"/>
                      <w:color w:val="auto"/>
                      <w:szCs w:val="21"/>
                    </w:rPr>
                    <w:t>400</w:t>
                  </w:r>
                </w:p>
              </w:tc>
              <w:tc>
                <w:tcPr>
                  <w:tcW w:w="589" w:type="pct"/>
                  <w:vAlign w:val="center"/>
                </w:tcPr>
                <w:p w14:paraId="00D56988">
                  <w:pPr>
                    <w:pStyle w:val="57"/>
                    <w:rPr>
                      <w:color w:val="auto"/>
                      <w:szCs w:val="21"/>
                    </w:rPr>
                  </w:pPr>
                  <w:r>
                    <w:rPr>
                      <w:color w:val="auto"/>
                      <w:szCs w:val="21"/>
                    </w:rPr>
                    <w:t>≤1</w:t>
                  </w:r>
                  <w:r>
                    <w:rPr>
                      <w:rFonts w:hint="eastAsia"/>
                      <w:color w:val="auto"/>
                      <w:szCs w:val="21"/>
                    </w:rPr>
                    <w:t>80</w:t>
                  </w:r>
                </w:p>
              </w:tc>
              <w:tc>
                <w:tcPr>
                  <w:tcW w:w="587" w:type="pct"/>
                  <w:vAlign w:val="center"/>
                </w:tcPr>
                <w:p w14:paraId="7056D748">
                  <w:pPr>
                    <w:pStyle w:val="57"/>
                    <w:rPr>
                      <w:color w:val="auto"/>
                      <w:szCs w:val="21"/>
                    </w:rPr>
                  </w:pPr>
                  <w:r>
                    <w:rPr>
                      <w:color w:val="auto"/>
                      <w:szCs w:val="21"/>
                    </w:rPr>
                    <w:t>≤200</w:t>
                  </w:r>
                </w:p>
              </w:tc>
              <w:tc>
                <w:tcPr>
                  <w:tcW w:w="652" w:type="pct"/>
                  <w:vAlign w:val="center"/>
                </w:tcPr>
                <w:p w14:paraId="46ADED66">
                  <w:pPr>
                    <w:pStyle w:val="57"/>
                    <w:rPr>
                      <w:color w:val="auto"/>
                      <w:szCs w:val="21"/>
                    </w:rPr>
                  </w:pPr>
                  <w:r>
                    <w:rPr>
                      <w:color w:val="auto"/>
                      <w:szCs w:val="21"/>
                    </w:rPr>
                    <w:t>≤</w:t>
                  </w:r>
                  <w:r>
                    <w:rPr>
                      <w:rFonts w:hint="eastAsia"/>
                      <w:color w:val="auto"/>
                      <w:szCs w:val="21"/>
                    </w:rPr>
                    <w:t>40</w:t>
                  </w:r>
                </w:p>
              </w:tc>
            </w:tr>
            <w:tr w14:paraId="7D8B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981" w:type="pct"/>
                  <w:vAlign w:val="center"/>
                </w:tcPr>
                <w:p w14:paraId="1ABC41F3">
                  <w:pPr>
                    <w:pStyle w:val="57"/>
                    <w:rPr>
                      <w:color w:val="auto"/>
                      <w:szCs w:val="21"/>
                    </w:rPr>
                  </w:pPr>
                  <w:r>
                    <w:rPr>
                      <w:color w:val="auto"/>
                      <w:szCs w:val="21"/>
                    </w:rPr>
                    <w:t>《城镇污水处理厂污染物排放标准》（GB18918-2002）</w:t>
                  </w:r>
                </w:p>
              </w:tc>
              <w:tc>
                <w:tcPr>
                  <w:tcW w:w="562" w:type="pct"/>
                  <w:vAlign w:val="center"/>
                </w:tcPr>
                <w:p w14:paraId="56C3D9DD">
                  <w:pPr>
                    <w:pStyle w:val="57"/>
                    <w:rPr>
                      <w:color w:val="auto"/>
                      <w:szCs w:val="21"/>
                    </w:rPr>
                  </w:pPr>
                  <w:r>
                    <w:rPr>
                      <w:color w:val="auto"/>
                      <w:szCs w:val="21"/>
                    </w:rPr>
                    <w:t>6~9</w:t>
                  </w:r>
                </w:p>
              </w:tc>
              <w:tc>
                <w:tcPr>
                  <w:tcW w:w="626" w:type="pct"/>
                  <w:vAlign w:val="center"/>
                </w:tcPr>
                <w:p w14:paraId="1CE968E7">
                  <w:pPr>
                    <w:pStyle w:val="57"/>
                    <w:rPr>
                      <w:color w:val="auto"/>
                      <w:szCs w:val="21"/>
                    </w:rPr>
                  </w:pPr>
                  <w:r>
                    <w:rPr>
                      <w:color w:val="auto"/>
                      <w:szCs w:val="21"/>
                    </w:rPr>
                    <w:t>≤50</w:t>
                  </w:r>
                </w:p>
              </w:tc>
              <w:tc>
                <w:tcPr>
                  <w:tcW w:w="589" w:type="pct"/>
                  <w:vAlign w:val="center"/>
                </w:tcPr>
                <w:p w14:paraId="1944B635">
                  <w:pPr>
                    <w:pStyle w:val="57"/>
                    <w:rPr>
                      <w:color w:val="auto"/>
                      <w:szCs w:val="21"/>
                    </w:rPr>
                  </w:pPr>
                  <w:r>
                    <w:rPr>
                      <w:color w:val="auto"/>
                      <w:szCs w:val="21"/>
                    </w:rPr>
                    <w:t>≤10</w:t>
                  </w:r>
                </w:p>
              </w:tc>
              <w:tc>
                <w:tcPr>
                  <w:tcW w:w="587" w:type="pct"/>
                  <w:vAlign w:val="center"/>
                </w:tcPr>
                <w:p w14:paraId="4B5B506D">
                  <w:pPr>
                    <w:pStyle w:val="57"/>
                    <w:rPr>
                      <w:color w:val="auto"/>
                      <w:szCs w:val="21"/>
                    </w:rPr>
                  </w:pPr>
                  <w:r>
                    <w:rPr>
                      <w:color w:val="auto"/>
                      <w:szCs w:val="21"/>
                    </w:rPr>
                    <w:t>≤10</w:t>
                  </w:r>
                </w:p>
              </w:tc>
              <w:tc>
                <w:tcPr>
                  <w:tcW w:w="652" w:type="pct"/>
                  <w:vAlign w:val="center"/>
                </w:tcPr>
                <w:p w14:paraId="7B78D2B4">
                  <w:pPr>
                    <w:pStyle w:val="57"/>
                    <w:rPr>
                      <w:color w:val="auto"/>
                      <w:szCs w:val="21"/>
                    </w:rPr>
                  </w:pPr>
                  <w:r>
                    <w:rPr>
                      <w:color w:val="auto"/>
                      <w:szCs w:val="21"/>
                    </w:rPr>
                    <w:t>≤5</w:t>
                  </w:r>
                </w:p>
              </w:tc>
            </w:tr>
          </w:tbl>
          <w:p w14:paraId="26D93528">
            <w:pPr>
              <w:ind w:firstLine="482"/>
              <w:rPr>
                <w:b/>
                <w:bCs/>
                <w:color w:val="auto"/>
              </w:rPr>
            </w:pPr>
            <w:r>
              <w:rPr>
                <w:b/>
                <w:bCs/>
                <w:color w:val="auto"/>
              </w:rPr>
              <w:t>3、噪声排放标准</w:t>
            </w:r>
          </w:p>
          <w:p w14:paraId="7932E716">
            <w:pPr>
              <w:ind w:firstLine="480"/>
              <w:rPr>
                <w:color w:val="auto"/>
              </w:rPr>
            </w:pPr>
            <w:r>
              <w:rPr>
                <w:color w:val="auto"/>
              </w:rPr>
              <w:t>营运期厂界噪声执行《工业企业厂界环境噪声排放标准》（GB12348-2008）中的</w:t>
            </w:r>
            <w:r>
              <w:rPr>
                <w:rFonts w:hint="eastAsia"/>
                <w:color w:val="auto"/>
              </w:rPr>
              <w:t>3类</w:t>
            </w:r>
            <w:r>
              <w:rPr>
                <w:color w:val="auto"/>
              </w:rPr>
              <w:t>标准，见表3-</w:t>
            </w:r>
            <w:r>
              <w:rPr>
                <w:rFonts w:hint="eastAsia"/>
                <w:color w:val="auto"/>
                <w:lang w:val="en-US" w:eastAsia="zh-CN"/>
              </w:rPr>
              <w:t>10</w:t>
            </w:r>
            <w:r>
              <w:rPr>
                <w:color w:val="auto"/>
              </w:rPr>
              <w:t>。</w:t>
            </w:r>
          </w:p>
          <w:p w14:paraId="0291D7A0">
            <w:pPr>
              <w:pStyle w:val="58"/>
              <w:ind w:firstLine="422"/>
              <w:rPr>
                <w:color w:val="auto"/>
              </w:rPr>
            </w:pPr>
            <w:r>
              <w:rPr>
                <w:color w:val="auto"/>
              </w:rPr>
              <w:t>表3-</w:t>
            </w:r>
            <w:r>
              <w:rPr>
                <w:rFonts w:hint="eastAsia"/>
                <w:color w:val="auto"/>
              </w:rPr>
              <w:t>1</w:t>
            </w:r>
            <w:r>
              <w:rPr>
                <w:rFonts w:hint="eastAsia"/>
                <w:color w:val="auto"/>
                <w:lang w:val="en-US" w:eastAsia="zh-CN"/>
              </w:rPr>
              <w:t>0</w:t>
            </w:r>
            <w:r>
              <w:rPr>
                <w:color w:val="auto"/>
              </w:rPr>
              <w:t>工业企业厂界环境噪声</w:t>
            </w:r>
            <w:r>
              <w:rPr>
                <w:rFonts w:hint="eastAsia"/>
                <w:color w:val="auto"/>
              </w:rPr>
              <w:t>3类</w:t>
            </w:r>
            <w:r>
              <w:rPr>
                <w:color w:val="auto"/>
              </w:rPr>
              <w:t>标准单位：dB(A)</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4486"/>
              <w:gridCol w:w="2060"/>
            </w:tblGrid>
            <w:tr w14:paraId="04F4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6" w:type="pct"/>
                  <w:vMerge w:val="restart"/>
                  <w:tcBorders>
                    <w:tl2br w:val="nil"/>
                    <w:tr2bl w:val="nil"/>
                  </w:tcBorders>
                  <w:vAlign w:val="center"/>
                </w:tcPr>
                <w:p w14:paraId="1B5CE415">
                  <w:pPr>
                    <w:pStyle w:val="57"/>
                    <w:rPr>
                      <w:b/>
                      <w:bCs w:val="0"/>
                      <w:color w:val="auto"/>
                    </w:rPr>
                  </w:pPr>
                  <w:r>
                    <w:rPr>
                      <w:b/>
                      <w:bCs w:val="0"/>
                      <w:color w:val="auto"/>
                    </w:rPr>
                    <w:t>时期</w:t>
                  </w:r>
                </w:p>
              </w:tc>
              <w:tc>
                <w:tcPr>
                  <w:tcW w:w="3793" w:type="pct"/>
                  <w:gridSpan w:val="2"/>
                  <w:tcBorders>
                    <w:tl2br w:val="nil"/>
                    <w:tr2bl w:val="nil"/>
                  </w:tcBorders>
                  <w:vAlign w:val="center"/>
                </w:tcPr>
                <w:p w14:paraId="2DF87876">
                  <w:pPr>
                    <w:pStyle w:val="57"/>
                    <w:rPr>
                      <w:b/>
                      <w:bCs w:val="0"/>
                      <w:color w:val="auto"/>
                    </w:rPr>
                  </w:pPr>
                  <w:r>
                    <w:rPr>
                      <w:b/>
                      <w:bCs w:val="0"/>
                      <w:color w:val="auto"/>
                    </w:rPr>
                    <w:t>标准值</w:t>
                  </w:r>
                </w:p>
              </w:tc>
            </w:tr>
            <w:tr w14:paraId="7461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6" w:type="pct"/>
                  <w:vMerge w:val="continue"/>
                  <w:tcBorders>
                    <w:tl2br w:val="nil"/>
                    <w:tr2bl w:val="nil"/>
                  </w:tcBorders>
                  <w:vAlign w:val="center"/>
                </w:tcPr>
                <w:p w14:paraId="7E7D6CAF">
                  <w:pPr>
                    <w:pStyle w:val="57"/>
                    <w:rPr>
                      <w:b/>
                      <w:bCs w:val="0"/>
                      <w:color w:val="auto"/>
                    </w:rPr>
                  </w:pPr>
                </w:p>
              </w:tc>
              <w:tc>
                <w:tcPr>
                  <w:tcW w:w="2599" w:type="pct"/>
                  <w:tcBorders>
                    <w:tl2br w:val="nil"/>
                    <w:tr2bl w:val="nil"/>
                  </w:tcBorders>
                  <w:vAlign w:val="center"/>
                </w:tcPr>
                <w:p w14:paraId="7279572B">
                  <w:pPr>
                    <w:pStyle w:val="57"/>
                    <w:rPr>
                      <w:b/>
                      <w:bCs w:val="0"/>
                      <w:color w:val="auto"/>
                    </w:rPr>
                  </w:pPr>
                  <w:r>
                    <w:rPr>
                      <w:b/>
                      <w:bCs w:val="0"/>
                      <w:color w:val="auto"/>
                    </w:rPr>
                    <w:t>昼间dB（A）</w:t>
                  </w:r>
                </w:p>
              </w:tc>
              <w:tc>
                <w:tcPr>
                  <w:tcW w:w="1194" w:type="pct"/>
                  <w:tcBorders>
                    <w:tl2br w:val="nil"/>
                    <w:tr2bl w:val="nil"/>
                  </w:tcBorders>
                  <w:vAlign w:val="center"/>
                </w:tcPr>
                <w:p w14:paraId="27DECF4A">
                  <w:pPr>
                    <w:pStyle w:val="57"/>
                    <w:rPr>
                      <w:b/>
                      <w:bCs w:val="0"/>
                      <w:color w:val="auto"/>
                    </w:rPr>
                  </w:pPr>
                  <w:r>
                    <w:rPr>
                      <w:b/>
                      <w:bCs w:val="0"/>
                      <w:color w:val="auto"/>
                    </w:rPr>
                    <w:t>夜间dB（A）</w:t>
                  </w:r>
                </w:p>
              </w:tc>
            </w:tr>
            <w:tr w14:paraId="2DD2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6" w:type="pct"/>
                  <w:tcBorders>
                    <w:tl2br w:val="nil"/>
                    <w:tr2bl w:val="nil"/>
                  </w:tcBorders>
                  <w:vAlign w:val="center"/>
                </w:tcPr>
                <w:p w14:paraId="3AE5AAEE">
                  <w:pPr>
                    <w:pStyle w:val="57"/>
                    <w:rPr>
                      <w:color w:val="auto"/>
                    </w:rPr>
                  </w:pPr>
                  <w:r>
                    <w:rPr>
                      <w:color w:val="auto"/>
                    </w:rPr>
                    <w:t>营运期</w:t>
                  </w:r>
                </w:p>
              </w:tc>
              <w:tc>
                <w:tcPr>
                  <w:tcW w:w="2599" w:type="pct"/>
                  <w:tcBorders>
                    <w:tl2br w:val="nil"/>
                    <w:tr2bl w:val="nil"/>
                  </w:tcBorders>
                  <w:vAlign w:val="center"/>
                </w:tcPr>
                <w:p w14:paraId="2ACA2073">
                  <w:pPr>
                    <w:pStyle w:val="57"/>
                    <w:rPr>
                      <w:color w:val="auto"/>
                    </w:rPr>
                  </w:pPr>
                  <w:r>
                    <w:rPr>
                      <w:color w:val="auto"/>
                    </w:rPr>
                    <w:t>65</w:t>
                  </w:r>
                </w:p>
              </w:tc>
              <w:tc>
                <w:tcPr>
                  <w:tcW w:w="1194" w:type="pct"/>
                  <w:tcBorders>
                    <w:tl2br w:val="nil"/>
                    <w:tr2bl w:val="nil"/>
                  </w:tcBorders>
                  <w:vAlign w:val="center"/>
                </w:tcPr>
                <w:p w14:paraId="55C43458">
                  <w:pPr>
                    <w:pStyle w:val="57"/>
                    <w:rPr>
                      <w:color w:val="auto"/>
                    </w:rPr>
                  </w:pPr>
                  <w:r>
                    <w:rPr>
                      <w:color w:val="auto"/>
                    </w:rPr>
                    <w:t>55</w:t>
                  </w:r>
                </w:p>
              </w:tc>
            </w:tr>
          </w:tbl>
          <w:p w14:paraId="0CF96888">
            <w:pPr>
              <w:ind w:firstLine="482"/>
              <w:rPr>
                <w:b/>
                <w:bCs/>
                <w:color w:val="auto"/>
              </w:rPr>
            </w:pPr>
            <w:r>
              <w:rPr>
                <w:b/>
                <w:bCs/>
                <w:color w:val="auto"/>
              </w:rPr>
              <w:t>4、固废执行标准标准</w:t>
            </w:r>
          </w:p>
          <w:p w14:paraId="1EF4D9B7">
            <w:pPr>
              <w:ind w:firstLine="480"/>
              <w:rPr>
                <w:color w:val="auto"/>
              </w:rPr>
            </w:pPr>
            <w:r>
              <w:rPr>
                <w:color w:val="auto"/>
              </w:rPr>
              <w:t>一般固体废物的贮存执行《一般工业固体废物贮存和填埋污染控制标准》（GB18599-2020）中相关的要求</w:t>
            </w:r>
            <w:r>
              <w:rPr>
                <w:rFonts w:hint="eastAsia"/>
                <w:color w:val="auto"/>
              </w:rPr>
              <w:t>；</w:t>
            </w:r>
            <w:r>
              <w:rPr>
                <w:color w:val="auto"/>
              </w:rPr>
              <w:t>危险废物的贮存执行《危险废物贮存污染控制标准》（GB</w:t>
            </w:r>
            <w:r>
              <w:rPr>
                <w:rFonts w:hint="eastAsia"/>
                <w:color w:val="auto"/>
              </w:rPr>
              <w:t>18597-2023</w:t>
            </w:r>
            <w:r>
              <w:rPr>
                <w:color w:val="auto"/>
              </w:rPr>
              <w:t>）</w:t>
            </w:r>
            <w:r>
              <w:rPr>
                <w:rFonts w:hint="eastAsia"/>
                <w:color w:val="auto"/>
              </w:rPr>
              <w:t>中相关</w:t>
            </w:r>
            <w:r>
              <w:rPr>
                <w:color w:val="auto"/>
              </w:rPr>
              <w:t>的要求</w:t>
            </w:r>
            <w:r>
              <w:rPr>
                <w:rFonts w:hint="eastAsia"/>
                <w:color w:val="auto"/>
              </w:rPr>
              <w:t>。</w:t>
            </w:r>
          </w:p>
        </w:tc>
      </w:tr>
      <w:tr w14:paraId="64EF5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1" w:type="pct"/>
            <w:vAlign w:val="center"/>
          </w:tcPr>
          <w:p w14:paraId="3099B59C">
            <w:pPr>
              <w:adjustRightInd w:val="0"/>
              <w:snapToGrid w:val="0"/>
              <w:spacing w:line="240" w:lineRule="auto"/>
              <w:ind w:firstLine="0" w:firstLineChars="0"/>
              <w:jc w:val="center"/>
              <w:rPr>
                <w:b/>
                <w:bCs/>
                <w:color w:val="auto"/>
                <w:kern w:val="0"/>
              </w:rPr>
            </w:pPr>
            <w:r>
              <w:rPr>
                <w:b/>
                <w:bCs/>
                <w:color w:val="auto"/>
                <w:kern w:val="0"/>
              </w:rPr>
              <w:t>总量</w:t>
            </w:r>
          </w:p>
          <w:p w14:paraId="024A4202">
            <w:pPr>
              <w:adjustRightInd w:val="0"/>
              <w:snapToGrid w:val="0"/>
              <w:spacing w:line="240" w:lineRule="auto"/>
              <w:ind w:firstLine="0" w:firstLineChars="0"/>
              <w:jc w:val="center"/>
              <w:rPr>
                <w:b/>
                <w:bCs/>
                <w:color w:val="auto"/>
                <w:kern w:val="0"/>
              </w:rPr>
            </w:pPr>
            <w:r>
              <w:rPr>
                <w:b/>
                <w:bCs/>
                <w:color w:val="auto"/>
                <w:kern w:val="0"/>
              </w:rPr>
              <w:t>控制</w:t>
            </w:r>
          </w:p>
          <w:p w14:paraId="1A483902">
            <w:pPr>
              <w:adjustRightInd w:val="0"/>
              <w:snapToGrid w:val="0"/>
              <w:spacing w:line="240" w:lineRule="auto"/>
              <w:ind w:firstLine="0" w:firstLineChars="0"/>
              <w:jc w:val="center"/>
              <w:rPr>
                <w:color w:val="auto"/>
                <w:kern w:val="0"/>
              </w:rPr>
            </w:pPr>
            <w:r>
              <w:rPr>
                <w:b/>
                <w:bCs/>
                <w:color w:val="auto"/>
                <w:kern w:val="0"/>
              </w:rPr>
              <w:t>指标</w:t>
            </w:r>
          </w:p>
        </w:tc>
        <w:tc>
          <w:tcPr>
            <w:tcW w:w="4598" w:type="pct"/>
            <w:vAlign w:val="center"/>
          </w:tcPr>
          <w:p w14:paraId="4F6493AF">
            <w:pPr>
              <w:ind w:firstLine="482"/>
              <w:rPr>
                <w:rFonts w:hint="eastAsia"/>
                <w:b/>
                <w:bCs/>
                <w:color w:val="auto"/>
              </w:rPr>
            </w:pPr>
          </w:p>
          <w:p w14:paraId="65187352">
            <w:pPr>
              <w:ind w:firstLine="482"/>
              <w:rPr>
                <w:rFonts w:hint="eastAsia"/>
                <w:b/>
                <w:bCs/>
                <w:color w:val="auto"/>
              </w:rPr>
            </w:pPr>
          </w:p>
          <w:p w14:paraId="70479BDF">
            <w:pPr>
              <w:pStyle w:val="2"/>
              <w:rPr>
                <w:rFonts w:hint="eastAsia"/>
                <w:color w:val="auto"/>
              </w:rPr>
            </w:pPr>
          </w:p>
          <w:p w14:paraId="340FF75E">
            <w:pPr>
              <w:ind w:firstLine="482"/>
              <w:rPr>
                <w:b/>
                <w:bCs/>
                <w:color w:val="auto"/>
              </w:rPr>
            </w:pPr>
            <w:r>
              <w:rPr>
                <w:rFonts w:hint="eastAsia"/>
                <w:b/>
                <w:bCs/>
                <w:color w:val="auto"/>
              </w:rPr>
              <w:t>（1）水污染物总量</w:t>
            </w:r>
          </w:p>
          <w:p w14:paraId="72FA9DC2">
            <w:pPr>
              <w:ind w:firstLine="480"/>
              <w:rPr>
                <w:color w:val="auto"/>
              </w:rPr>
            </w:pPr>
            <w:r>
              <w:rPr>
                <w:rFonts w:hint="eastAsia"/>
                <w:color w:val="auto"/>
              </w:rPr>
              <w:t>本</w:t>
            </w:r>
            <w:r>
              <w:rPr>
                <w:color w:val="auto"/>
              </w:rPr>
              <w:t>项目</w:t>
            </w:r>
            <w:r>
              <w:rPr>
                <w:rFonts w:hint="eastAsia"/>
                <w:color w:val="auto"/>
              </w:rPr>
              <w:t>生活污水经化粪池预处理后达城南污水处理厂接管标准，接管城南污水处理厂处理，接管量为：</w:t>
            </w:r>
            <w:r>
              <w:rPr>
                <w:color w:val="auto"/>
              </w:rPr>
              <w:t>COD：</w:t>
            </w:r>
            <w:r>
              <w:rPr>
                <w:rFonts w:hint="eastAsia"/>
                <w:color w:val="auto"/>
              </w:rPr>
              <w:t>0.32/</w:t>
            </w:r>
            <w:r>
              <w:rPr>
                <w:color w:val="auto"/>
              </w:rPr>
              <w:t>a，N</w:t>
            </w:r>
            <w:r>
              <w:rPr>
                <w:rFonts w:hint="eastAsia"/>
                <w:color w:val="auto"/>
              </w:rPr>
              <w:t>H</w:t>
            </w:r>
            <w:r>
              <w:rPr>
                <w:rFonts w:hint="eastAsia"/>
                <w:color w:val="auto"/>
                <w:vertAlign w:val="subscript"/>
              </w:rPr>
              <w:t>3</w:t>
            </w:r>
            <w:r>
              <w:rPr>
                <w:color w:val="auto"/>
              </w:rPr>
              <w:t>-N：</w:t>
            </w:r>
            <w:r>
              <w:rPr>
                <w:rFonts w:hint="eastAsia"/>
                <w:color w:val="auto"/>
              </w:rPr>
              <w:t>0.028t/a。项目废水经城南污水处理厂处理后外环境排放</w:t>
            </w:r>
            <w:r>
              <w:rPr>
                <w:color w:val="auto"/>
              </w:rPr>
              <w:t>总量为COD：</w:t>
            </w:r>
            <w:r>
              <w:rPr>
                <w:rFonts w:hint="eastAsia"/>
                <w:color w:val="auto"/>
              </w:rPr>
              <w:t>0.06t/</w:t>
            </w:r>
            <w:r>
              <w:rPr>
                <w:color w:val="auto"/>
              </w:rPr>
              <w:t>a，N</w:t>
            </w:r>
            <w:r>
              <w:rPr>
                <w:rFonts w:hint="eastAsia"/>
                <w:color w:val="auto"/>
              </w:rPr>
              <w:t>H</w:t>
            </w:r>
            <w:r>
              <w:rPr>
                <w:rFonts w:hint="eastAsia"/>
                <w:color w:val="auto"/>
                <w:vertAlign w:val="subscript"/>
              </w:rPr>
              <w:t>3</w:t>
            </w:r>
            <w:r>
              <w:rPr>
                <w:color w:val="auto"/>
              </w:rPr>
              <w:t>-N：</w:t>
            </w:r>
            <w:r>
              <w:rPr>
                <w:rFonts w:hint="eastAsia"/>
                <w:color w:val="auto"/>
              </w:rPr>
              <w:t>0.006t/a</w:t>
            </w:r>
            <w:r>
              <w:rPr>
                <w:color w:val="auto"/>
              </w:rPr>
              <w:t>。COD、N</w:t>
            </w:r>
            <w:r>
              <w:rPr>
                <w:rFonts w:hint="eastAsia"/>
                <w:color w:val="auto"/>
              </w:rPr>
              <w:t>H</w:t>
            </w:r>
            <w:r>
              <w:rPr>
                <w:rFonts w:hint="eastAsia"/>
                <w:color w:val="auto"/>
                <w:vertAlign w:val="subscript"/>
              </w:rPr>
              <w:t>3</w:t>
            </w:r>
            <w:r>
              <w:rPr>
                <w:color w:val="auto"/>
              </w:rPr>
              <w:t>-N的排放总量纳入</w:t>
            </w:r>
            <w:r>
              <w:rPr>
                <w:rFonts w:hint="eastAsia"/>
                <w:color w:val="auto"/>
              </w:rPr>
              <w:t>城南污水处理厂</w:t>
            </w:r>
            <w:r>
              <w:rPr>
                <w:color w:val="auto"/>
              </w:rPr>
              <w:t>处理总量指标。</w:t>
            </w:r>
          </w:p>
          <w:p w14:paraId="0594E48A">
            <w:pPr>
              <w:ind w:firstLine="482"/>
              <w:rPr>
                <w:b/>
                <w:bCs/>
                <w:color w:val="auto"/>
              </w:rPr>
            </w:pPr>
            <w:r>
              <w:rPr>
                <w:b/>
                <w:bCs/>
                <w:color w:val="auto"/>
              </w:rPr>
              <w:t>（2）大气污染物总量</w:t>
            </w:r>
          </w:p>
          <w:p w14:paraId="48D2EABF">
            <w:pPr>
              <w:widowControl/>
              <w:ind w:firstLine="480"/>
              <w:rPr>
                <w:rFonts w:hint="eastAsia"/>
                <w:color w:val="auto"/>
              </w:rPr>
            </w:pPr>
            <w:r>
              <w:rPr>
                <w:rFonts w:hint="eastAsia"/>
                <w:color w:val="auto"/>
              </w:rPr>
              <w:t>根据《安徽省环保厅关于进一步加强建设项目新增大气主要污染物总量指标管理工作的通知》（皖环发[2017]19号），本项目大气污染物总量控制指标为VOCs</w:t>
            </w:r>
            <w:r>
              <w:rPr>
                <w:color w:val="auto"/>
              </w:rPr>
              <w:t>（以非甲烷总烃计）</w:t>
            </w:r>
            <w:r>
              <w:rPr>
                <w:rFonts w:hint="eastAsia"/>
                <w:color w:val="auto"/>
              </w:rPr>
              <w:t>：</w:t>
            </w:r>
            <w:r>
              <w:rPr>
                <w:rFonts w:hint="eastAsia"/>
                <w:color w:val="auto"/>
                <w:lang w:eastAsia="zh-CN"/>
              </w:rPr>
              <w:t>0.43</w:t>
            </w:r>
            <w:r>
              <w:rPr>
                <w:color w:val="auto"/>
              </w:rPr>
              <w:t>t</w:t>
            </w:r>
            <w:r>
              <w:rPr>
                <w:rFonts w:hint="eastAsia"/>
                <w:color w:val="auto"/>
              </w:rPr>
              <w:t>/</w:t>
            </w:r>
            <w:r>
              <w:rPr>
                <w:color w:val="auto"/>
              </w:rPr>
              <w:t>a</w:t>
            </w:r>
            <w:r>
              <w:rPr>
                <w:rFonts w:hint="eastAsia"/>
                <w:color w:val="auto"/>
              </w:rPr>
              <w:t>。</w:t>
            </w:r>
          </w:p>
          <w:p w14:paraId="642DD44D">
            <w:pPr>
              <w:pStyle w:val="19"/>
              <w:ind w:firstLine="360"/>
              <w:rPr>
                <w:rFonts w:hint="eastAsia"/>
                <w:color w:val="auto"/>
              </w:rPr>
            </w:pPr>
          </w:p>
          <w:p w14:paraId="47423236">
            <w:pPr>
              <w:pStyle w:val="54"/>
              <w:ind w:firstLine="480"/>
              <w:rPr>
                <w:color w:val="auto"/>
              </w:rPr>
            </w:pPr>
          </w:p>
          <w:p w14:paraId="21ED71D5">
            <w:pPr>
              <w:pStyle w:val="54"/>
              <w:ind w:firstLine="480"/>
              <w:rPr>
                <w:color w:val="auto"/>
              </w:rPr>
            </w:pPr>
          </w:p>
          <w:p w14:paraId="30EB643E">
            <w:pPr>
              <w:pStyle w:val="54"/>
              <w:ind w:firstLine="480"/>
              <w:rPr>
                <w:color w:val="auto"/>
              </w:rPr>
            </w:pPr>
          </w:p>
          <w:p w14:paraId="3B8584F8">
            <w:pPr>
              <w:pStyle w:val="54"/>
              <w:ind w:firstLine="480"/>
              <w:rPr>
                <w:color w:val="auto"/>
              </w:rPr>
            </w:pPr>
          </w:p>
          <w:p w14:paraId="37477C68">
            <w:pPr>
              <w:pStyle w:val="54"/>
              <w:ind w:firstLine="480"/>
              <w:rPr>
                <w:color w:val="auto"/>
              </w:rPr>
            </w:pPr>
          </w:p>
          <w:p w14:paraId="723B6750">
            <w:pPr>
              <w:pStyle w:val="54"/>
              <w:ind w:firstLine="0" w:firstLineChars="0"/>
              <w:rPr>
                <w:color w:val="auto"/>
              </w:rPr>
            </w:pPr>
          </w:p>
          <w:p w14:paraId="66969981">
            <w:pPr>
              <w:pStyle w:val="54"/>
              <w:ind w:firstLine="0" w:firstLineChars="0"/>
              <w:rPr>
                <w:color w:val="auto"/>
              </w:rPr>
            </w:pPr>
          </w:p>
          <w:p w14:paraId="293A866F">
            <w:pPr>
              <w:pStyle w:val="54"/>
              <w:ind w:firstLine="0" w:firstLineChars="0"/>
              <w:rPr>
                <w:color w:val="auto"/>
              </w:rPr>
            </w:pPr>
          </w:p>
          <w:p w14:paraId="549EFA51">
            <w:pPr>
              <w:pStyle w:val="54"/>
              <w:ind w:firstLine="0" w:firstLineChars="0"/>
              <w:rPr>
                <w:color w:val="auto"/>
              </w:rPr>
            </w:pPr>
          </w:p>
        </w:tc>
      </w:tr>
    </w:tbl>
    <w:p w14:paraId="1C0145DB">
      <w:pPr>
        <w:pStyle w:val="34"/>
        <w:ind w:firstLine="600"/>
        <w:jc w:val="center"/>
        <w:outlineLvl w:val="0"/>
        <w:rPr>
          <w:rFonts w:ascii="黑体" w:hAnsi="黑体" w:eastAsia="黑体"/>
          <w:snapToGrid w:val="0"/>
          <w:color w:val="auto"/>
          <w:sz w:val="30"/>
          <w:szCs w:val="30"/>
        </w:rPr>
        <w:sectPr>
          <w:pgSz w:w="11906" w:h="16838"/>
          <w:pgMar w:top="1134" w:right="1247" w:bottom="1134" w:left="1247" w:header="397" w:footer="851" w:gutter="0"/>
          <w:cols w:space="720" w:num="1"/>
          <w:docGrid w:linePitch="312" w:charSpace="0"/>
        </w:sectPr>
      </w:pPr>
    </w:p>
    <w:p w14:paraId="2B041F90">
      <w:pPr>
        <w:pStyle w:val="34"/>
        <w:ind w:firstLine="60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bookmarkEnd w:id="2"/>
    </w:p>
    <w:tbl>
      <w:tblPr>
        <w:tblStyle w:val="37"/>
        <w:tblW w:w="512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1"/>
        <w:gridCol w:w="9072"/>
      </w:tblGrid>
      <w:tr w14:paraId="09FEC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2" w:hRule="atLeast"/>
          <w:jc w:val="center"/>
        </w:trPr>
        <w:tc>
          <w:tcPr>
            <w:tcW w:w="447" w:type="pct"/>
            <w:tcMar>
              <w:left w:w="28" w:type="dxa"/>
              <w:right w:w="28" w:type="dxa"/>
            </w:tcMar>
            <w:vAlign w:val="center"/>
          </w:tcPr>
          <w:p w14:paraId="5B0396BE">
            <w:pPr>
              <w:adjustRightInd w:val="0"/>
              <w:snapToGrid w:val="0"/>
              <w:ind w:firstLine="0" w:firstLineChars="0"/>
              <w:jc w:val="center"/>
              <w:rPr>
                <w:bCs/>
                <w:color w:val="auto"/>
              </w:rPr>
            </w:pPr>
            <w:r>
              <w:rPr>
                <w:b/>
                <w:color w:val="auto"/>
              </w:rPr>
              <w:t>施工期环境保护措施</w:t>
            </w:r>
          </w:p>
        </w:tc>
        <w:tc>
          <w:tcPr>
            <w:tcW w:w="4552" w:type="pct"/>
            <w:vAlign w:val="center"/>
          </w:tcPr>
          <w:p w14:paraId="49F4AAFE">
            <w:pPr>
              <w:ind w:firstLine="480"/>
              <w:rPr>
                <w:color w:val="auto"/>
              </w:rPr>
            </w:pPr>
          </w:p>
          <w:p w14:paraId="79F326F9">
            <w:pPr>
              <w:ind w:firstLine="480"/>
              <w:rPr>
                <w:color w:val="auto"/>
              </w:rPr>
            </w:pPr>
          </w:p>
          <w:p w14:paraId="7DEDAD78">
            <w:pPr>
              <w:ind w:firstLine="480"/>
              <w:rPr>
                <w:color w:val="auto"/>
              </w:rPr>
            </w:pPr>
          </w:p>
          <w:p w14:paraId="0F4D7737">
            <w:pPr>
              <w:pStyle w:val="19"/>
              <w:ind w:firstLine="360"/>
              <w:rPr>
                <w:color w:val="auto"/>
              </w:rPr>
            </w:pPr>
          </w:p>
          <w:p w14:paraId="61581CCB">
            <w:pPr>
              <w:ind w:firstLine="480"/>
              <w:rPr>
                <w:color w:val="auto"/>
              </w:rPr>
            </w:pPr>
            <w:r>
              <w:rPr>
                <w:color w:val="auto"/>
              </w:rPr>
              <w:t>本项目利用现有厂房，施工过程主要是对厂房进行简单改造以及新增设备进行安装。施工期影响主要为装修过程产生的粉尘、施工设备噪声和装修垃圾。</w:t>
            </w:r>
          </w:p>
          <w:p w14:paraId="07613158">
            <w:pPr>
              <w:ind w:firstLine="482"/>
              <w:rPr>
                <w:b/>
                <w:bCs/>
                <w:color w:val="auto"/>
              </w:rPr>
            </w:pPr>
            <w:r>
              <w:rPr>
                <w:b/>
                <w:bCs/>
                <w:color w:val="auto"/>
              </w:rPr>
              <w:t>（1）废气</w:t>
            </w:r>
          </w:p>
          <w:p w14:paraId="2103B231">
            <w:pPr>
              <w:ind w:firstLine="480"/>
              <w:rPr>
                <w:color w:val="auto"/>
              </w:rPr>
            </w:pPr>
            <w:r>
              <w:rPr>
                <w:color w:val="auto"/>
              </w:rPr>
              <w:t>施工现场简单装修及设备安装主要产生少量车间扬尘，可通过洒水降尘等方式减少对周围环境的影响。</w:t>
            </w:r>
          </w:p>
          <w:p w14:paraId="446D66CE">
            <w:pPr>
              <w:ind w:firstLine="482"/>
              <w:rPr>
                <w:b/>
                <w:bCs/>
                <w:color w:val="auto"/>
              </w:rPr>
            </w:pPr>
            <w:r>
              <w:rPr>
                <w:b/>
                <w:bCs/>
                <w:color w:val="auto"/>
              </w:rPr>
              <w:t>（2）废水</w:t>
            </w:r>
          </w:p>
          <w:p w14:paraId="601AF813">
            <w:pPr>
              <w:ind w:firstLine="480"/>
              <w:rPr>
                <w:color w:val="auto"/>
              </w:rPr>
            </w:pPr>
            <w:r>
              <w:rPr>
                <w:color w:val="auto"/>
              </w:rPr>
              <w:t>项目施工期较短，施工人员产生的少量生活污水依托现有厂房化粪池。</w:t>
            </w:r>
          </w:p>
          <w:p w14:paraId="7BCA8A61">
            <w:pPr>
              <w:ind w:firstLine="482"/>
              <w:rPr>
                <w:b/>
                <w:bCs/>
                <w:color w:val="auto"/>
              </w:rPr>
            </w:pPr>
            <w:r>
              <w:rPr>
                <w:b/>
                <w:bCs/>
                <w:color w:val="auto"/>
              </w:rPr>
              <w:t>（3）噪声</w:t>
            </w:r>
          </w:p>
          <w:p w14:paraId="48FD6CD1">
            <w:pPr>
              <w:ind w:firstLine="480"/>
              <w:rPr>
                <w:color w:val="auto"/>
              </w:rPr>
            </w:pPr>
            <w:r>
              <w:rPr>
                <w:color w:val="auto"/>
              </w:rPr>
              <w:t>主要来自施工机械设备（如电钻、电锯）使用过程产生的噪声，如装修材墙体钻孔、开凿等。部分设备噪声值较高，但由于装修噪声属于间歇性噪声，且设备运行较短，不会持续很长时间，对外界的影响相对较小。</w:t>
            </w:r>
          </w:p>
          <w:p w14:paraId="05EA75C4">
            <w:pPr>
              <w:ind w:firstLine="482"/>
              <w:rPr>
                <w:b/>
                <w:bCs/>
                <w:color w:val="auto"/>
              </w:rPr>
            </w:pPr>
            <w:r>
              <w:rPr>
                <w:b/>
                <w:bCs/>
                <w:color w:val="auto"/>
              </w:rPr>
              <w:t>（4）固体废物</w:t>
            </w:r>
          </w:p>
          <w:p w14:paraId="5C5224DB">
            <w:pPr>
              <w:ind w:firstLine="480"/>
              <w:rPr>
                <w:color w:val="auto"/>
              </w:rPr>
            </w:pPr>
            <w:r>
              <w:rPr>
                <w:color w:val="auto"/>
              </w:rPr>
              <w:t>主要来自于施工过程中产生的少量建筑垃圾。施工期间产生的建筑垃圾清运至指定的垃圾处理地，对周围环境影响较小。</w:t>
            </w:r>
          </w:p>
          <w:p w14:paraId="0C659954">
            <w:pPr>
              <w:ind w:firstLine="480"/>
              <w:rPr>
                <w:color w:val="auto"/>
              </w:rPr>
            </w:pPr>
            <w:r>
              <w:rPr>
                <w:color w:val="auto"/>
              </w:rPr>
              <w:t>综上所述，施工期影响为短期影响，工程施工结束影响也随之结束，在采取有效措施的情况下，施工期产生的废气、废水、噪声和固体废物对周围环境影响较小。</w:t>
            </w:r>
          </w:p>
          <w:p w14:paraId="1ADA8928">
            <w:pPr>
              <w:ind w:firstLine="480"/>
              <w:rPr>
                <w:color w:val="auto"/>
              </w:rPr>
            </w:pPr>
          </w:p>
          <w:p w14:paraId="6FE74E5F">
            <w:pPr>
              <w:pStyle w:val="23"/>
              <w:ind w:left="0" w:leftChars="0" w:firstLine="0" w:firstLineChars="0"/>
              <w:rPr>
                <w:color w:val="auto"/>
              </w:rPr>
            </w:pPr>
          </w:p>
          <w:p w14:paraId="367144BF">
            <w:pPr>
              <w:pStyle w:val="19"/>
              <w:ind w:firstLine="0" w:firstLineChars="0"/>
              <w:rPr>
                <w:color w:val="auto"/>
              </w:rPr>
            </w:pPr>
          </w:p>
          <w:p w14:paraId="0B3481E1">
            <w:pPr>
              <w:pStyle w:val="19"/>
              <w:ind w:firstLine="0" w:firstLineChars="0"/>
              <w:rPr>
                <w:color w:val="auto"/>
              </w:rPr>
            </w:pPr>
          </w:p>
          <w:p w14:paraId="6758D782">
            <w:pPr>
              <w:pStyle w:val="20"/>
              <w:ind w:firstLine="480"/>
              <w:rPr>
                <w:rFonts w:ascii="Times New Roman" w:hAnsi="Times New Roman" w:cs="Times New Roman"/>
                <w:color w:val="auto"/>
              </w:rPr>
            </w:pPr>
          </w:p>
          <w:p w14:paraId="496990E8">
            <w:pPr>
              <w:pStyle w:val="19"/>
              <w:ind w:firstLine="0" w:firstLineChars="0"/>
              <w:rPr>
                <w:color w:val="auto"/>
              </w:rPr>
            </w:pPr>
          </w:p>
          <w:p w14:paraId="77A51E19">
            <w:pPr>
              <w:pStyle w:val="19"/>
              <w:ind w:firstLine="0" w:firstLineChars="0"/>
              <w:rPr>
                <w:color w:val="auto"/>
              </w:rPr>
            </w:pPr>
          </w:p>
          <w:p w14:paraId="7D2240C2">
            <w:pPr>
              <w:pStyle w:val="19"/>
              <w:ind w:firstLine="0" w:firstLineChars="0"/>
              <w:rPr>
                <w:color w:val="auto"/>
              </w:rPr>
            </w:pPr>
          </w:p>
        </w:tc>
      </w:tr>
      <w:tr w14:paraId="13819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9" w:hRule="atLeast"/>
          <w:jc w:val="center"/>
        </w:trPr>
        <w:tc>
          <w:tcPr>
            <w:tcW w:w="447" w:type="pct"/>
            <w:tcMar>
              <w:left w:w="28" w:type="dxa"/>
              <w:right w:w="28" w:type="dxa"/>
            </w:tcMar>
            <w:vAlign w:val="center"/>
          </w:tcPr>
          <w:p w14:paraId="4B9766DE">
            <w:pPr>
              <w:adjustRightInd w:val="0"/>
              <w:snapToGrid w:val="0"/>
              <w:ind w:firstLine="0" w:firstLineChars="0"/>
              <w:jc w:val="center"/>
              <w:rPr>
                <w:bCs/>
                <w:color w:val="auto"/>
              </w:rPr>
            </w:pPr>
            <w:r>
              <w:rPr>
                <w:b/>
                <w:color w:val="auto"/>
              </w:rPr>
              <w:t>运营期环境影响和保护措施</w:t>
            </w:r>
          </w:p>
        </w:tc>
        <w:tc>
          <w:tcPr>
            <w:tcW w:w="4552" w:type="pct"/>
          </w:tcPr>
          <w:p w14:paraId="7CE5C84A">
            <w:pPr>
              <w:bidi w:val="0"/>
              <w:rPr>
                <w:rFonts w:ascii="Times New Roman"/>
                <w:color w:val="auto"/>
              </w:rPr>
            </w:pPr>
            <w:r>
              <w:rPr>
                <w:rFonts w:ascii="Times New Roman"/>
                <w:b/>
                <w:bCs/>
                <w:color w:val="auto"/>
              </w:rPr>
              <w:t>1、废气</w:t>
            </w:r>
          </w:p>
          <w:p w14:paraId="254C1E52">
            <w:pPr>
              <w:bidi w:val="0"/>
              <w:rPr>
                <w:color w:val="auto"/>
              </w:rPr>
            </w:pPr>
            <w:r>
              <w:rPr>
                <w:color w:val="auto"/>
              </w:rPr>
              <w:t>根据前文污染源识别废气本项目为G1注塑废气、G2热转印废气、G3印刷、烘干废气、G4注墨废气。</w:t>
            </w:r>
          </w:p>
          <w:p w14:paraId="1C152565">
            <w:pPr>
              <w:bidi w:val="0"/>
              <w:rPr>
                <w:rFonts w:ascii="Times New Roman"/>
                <w:b/>
                <w:bCs/>
                <w:color w:val="auto"/>
              </w:rPr>
            </w:pPr>
            <w:r>
              <w:rPr>
                <w:rFonts w:ascii="Times New Roman"/>
                <w:b/>
                <w:bCs/>
                <w:color w:val="auto"/>
              </w:rPr>
              <w:t>（1）产生情况</w:t>
            </w:r>
          </w:p>
          <w:p w14:paraId="01A9D277">
            <w:pPr>
              <w:bidi w:val="0"/>
              <w:rPr>
                <w:rFonts w:ascii="Times New Roman"/>
                <w:b/>
                <w:bCs/>
                <w:color w:val="auto"/>
              </w:rPr>
            </w:pPr>
            <w:r>
              <w:rPr>
                <w:rFonts w:ascii="Times New Roman"/>
                <w:b/>
                <w:bCs/>
                <w:color w:val="auto"/>
              </w:rPr>
              <w:t>①G1注塑废气</w:t>
            </w:r>
          </w:p>
          <w:p w14:paraId="56ED029F">
            <w:pPr>
              <w:bidi w:val="0"/>
              <w:rPr>
                <w:rFonts w:ascii="Times New Roman"/>
                <w:color w:val="auto"/>
              </w:rPr>
            </w:pPr>
            <w:r>
              <w:rPr>
                <w:rFonts w:ascii="Times New Roman"/>
                <w:color w:val="auto"/>
              </w:rPr>
              <w:t>本项目笔杆、鞋服配件均使用PP塑料粒子进行注塑生产。根据《排放源统计调查产排污核算方法和系数手册》“2927日用塑料制品制造行业系数表”中“配料-混合-挤出/注塑”工艺“挥发性有机物”产污系数中为2.70kg/t-产品，本项目笔杆生产所需PP塑料粒子和色粉原料使用总量为400t/a；鞋服配件生产所需PP塑料粒子和色母原料使用总量为1000t/a，则注塑工序非甲烷总烃总产生量为3.8t/a。</w:t>
            </w:r>
          </w:p>
          <w:p w14:paraId="6E84AF5A">
            <w:pPr>
              <w:bidi w:val="0"/>
              <w:rPr>
                <w:rFonts w:ascii="Times New Roman" w:hAnsi="Times New Roman" w:eastAsia="宋体" w:cs="Times New Roman"/>
                <w:b/>
                <w:bCs/>
                <w:color w:val="auto"/>
              </w:rPr>
            </w:pPr>
            <w:r>
              <w:rPr>
                <w:rFonts w:ascii="Times New Roman" w:hAnsi="Times New Roman" w:eastAsia="宋体" w:cs="Times New Roman"/>
                <w:b/>
                <w:bCs/>
                <w:color w:val="auto"/>
              </w:rPr>
              <w:t>②G2热转印废气</w:t>
            </w:r>
          </w:p>
          <w:p w14:paraId="21F71893">
            <w:pPr>
              <w:bidi w:val="0"/>
              <w:rPr>
                <w:rFonts w:ascii="Times New Roman"/>
                <w:color w:val="auto"/>
              </w:rPr>
            </w:pPr>
            <w:r>
              <w:rPr>
                <w:rFonts w:ascii="Times New Roman"/>
                <w:color w:val="auto"/>
              </w:rPr>
              <w:t>本项目采用热转印机将使用热转印膜上图案转印笔杆上，热转印温度为200℃，热转印工序会产生少量的有机废气</w:t>
            </w:r>
            <w:r>
              <w:rPr>
                <w:rFonts w:hint="eastAsia" w:ascii="Times New Roman"/>
                <w:color w:val="auto"/>
              </w:rPr>
              <w:t>，由于热转印的成像原料为水性油墨，在热转印膜生产时大部分有机物已经完全挥发</w:t>
            </w:r>
            <w:r>
              <w:rPr>
                <w:rFonts w:hint="eastAsia"/>
                <w:color w:val="auto"/>
                <w:lang w:eastAsia="zh-CN"/>
              </w:rPr>
              <w:t>，</w:t>
            </w:r>
            <w:r>
              <w:rPr>
                <w:rFonts w:hint="eastAsia" w:ascii="Times New Roman"/>
                <w:color w:val="auto"/>
              </w:rPr>
              <w:t>热转印时有机废气产生量相对较小。</w:t>
            </w:r>
            <w:r>
              <w:rPr>
                <w:rFonts w:hint="eastAsia" w:ascii="Times New Roman"/>
                <w:color w:val="auto"/>
              </w:rPr>
              <w:t>根据《印刷和记录媒介复制行业系数手册》2319塑料包装印刷行业印刷:印刷品(承印物为塑料)-溶剂型凹版油墨-凹版印刷-所有规模的产污系数，单位为吨/吨-原料</w:t>
            </w:r>
            <w:r>
              <w:rPr>
                <w:rFonts w:hint="eastAsia" w:ascii="Times New Roman"/>
                <w:color w:val="auto"/>
              </w:rPr>
              <w:t>，产污系数为 650 千克/吨-原料</w:t>
            </w:r>
            <w:r>
              <w:rPr>
                <w:rFonts w:hint="eastAsia"/>
                <w:color w:val="auto"/>
                <w:lang w:eastAsia="zh-CN"/>
              </w:rPr>
              <w:t>，</w:t>
            </w:r>
            <w:r>
              <w:rPr>
                <w:rFonts w:hint="eastAsia"/>
                <w:color w:val="auto"/>
                <w:lang w:val="en-US" w:eastAsia="zh-CN"/>
              </w:rPr>
              <w:t>本项目转印膜使用量为0.5吨，</w:t>
            </w:r>
            <w:r>
              <w:rPr>
                <w:rFonts w:hint="eastAsia" w:ascii="Times New Roman"/>
                <w:color w:val="auto"/>
              </w:rPr>
              <w:t>则热转印工序非甲烷总烃产生量为</w:t>
            </w:r>
            <w:r>
              <w:rPr>
                <w:rFonts w:hint="eastAsia"/>
                <w:color w:val="auto"/>
                <w:lang w:val="en-US" w:eastAsia="zh-CN"/>
              </w:rPr>
              <w:t>0.325</w:t>
            </w:r>
            <w:r>
              <w:rPr>
                <w:rFonts w:hint="eastAsia" w:ascii="Times New Roman"/>
                <w:color w:val="auto"/>
              </w:rPr>
              <w:t>t</w:t>
            </w:r>
            <w:r>
              <w:rPr>
                <w:rFonts w:hint="eastAsia"/>
                <w:color w:val="auto"/>
                <w:lang w:val="en-US" w:eastAsia="zh-CN"/>
              </w:rPr>
              <w:t>/</w:t>
            </w:r>
            <w:r>
              <w:rPr>
                <w:rFonts w:hint="eastAsia" w:ascii="Times New Roman"/>
                <w:color w:val="auto"/>
              </w:rPr>
              <w:t>a。</w:t>
            </w:r>
          </w:p>
          <w:p w14:paraId="571605C3">
            <w:pPr>
              <w:bidi w:val="0"/>
              <w:rPr>
                <w:rFonts w:ascii="Times New Roman" w:hAnsi="Times New Roman" w:eastAsia="宋体" w:cs="Times New Roman"/>
                <w:b/>
                <w:bCs/>
                <w:color w:val="auto"/>
              </w:rPr>
            </w:pPr>
            <w:r>
              <w:rPr>
                <w:rFonts w:ascii="Times New Roman" w:hAnsi="Times New Roman" w:eastAsia="宋体" w:cs="Times New Roman"/>
                <w:b/>
                <w:bCs/>
                <w:color w:val="auto"/>
              </w:rPr>
              <w:t>③G3印刷、烘干废气</w:t>
            </w:r>
          </w:p>
          <w:p w14:paraId="0017F869">
            <w:pPr>
              <w:bidi w:val="0"/>
              <w:rPr>
                <w:rFonts w:ascii="Times New Roman"/>
                <w:color w:val="auto"/>
              </w:rPr>
            </w:pPr>
            <w:r>
              <w:rPr>
                <w:rFonts w:ascii="Times New Roman"/>
                <w:color w:val="auto"/>
              </w:rPr>
              <w:t>本项目笔杆外侧需要进行印刷，这个过程中会产生一定量的印刷和烘干废气。</w:t>
            </w:r>
            <w:r>
              <w:rPr>
                <w:rFonts w:ascii="Times New Roman" w:hAnsi="Times New Roman" w:eastAsia="宋体" w:cs="Times New Roman"/>
                <w:color w:val="auto"/>
              </w:rPr>
              <w:t>印刷</w:t>
            </w:r>
            <w:r>
              <w:rPr>
                <w:rFonts w:ascii="Times New Roman"/>
                <w:color w:val="auto"/>
              </w:rPr>
              <w:t>过程用到的水性油墨，年使用量为0.8t/a，本项目使用的油墨由水、水性聚氨酯树脂、色粉、助剂等成分组成，按水性油墨中助剂成分于印刷、烘干阶段全部挥发计，挥发含量为4%，本项目印刷和烘干废气非甲烷总烃产生量为0.03t/a。</w:t>
            </w:r>
          </w:p>
          <w:p w14:paraId="2B183B54">
            <w:pPr>
              <w:bidi w:val="0"/>
              <w:rPr>
                <w:rFonts w:ascii="Times New Roman" w:hAnsi="Times New Roman" w:eastAsia="宋体" w:cs="Times New Roman"/>
                <w:b/>
                <w:bCs/>
                <w:color w:val="auto"/>
              </w:rPr>
            </w:pPr>
            <w:r>
              <w:rPr>
                <w:rFonts w:ascii="Times New Roman" w:hAnsi="Times New Roman" w:eastAsia="宋体" w:cs="Times New Roman"/>
                <w:b/>
                <w:bCs/>
                <w:color w:val="auto"/>
              </w:rPr>
              <w:t>④G4注墨废气</w:t>
            </w:r>
          </w:p>
          <w:p w14:paraId="20D4686B">
            <w:pPr>
              <w:bidi w:val="0"/>
              <w:rPr>
                <w:rFonts w:ascii="Times New Roman"/>
                <w:color w:val="auto"/>
              </w:rPr>
            </w:pPr>
            <w:r>
              <w:rPr>
                <w:rFonts w:ascii="Times New Roman"/>
                <w:color w:val="auto"/>
              </w:rPr>
              <w:t>本项目需要将配置好的墨水灌入海绵芯，墨水分为水性墨水和油性墨水，</w:t>
            </w:r>
            <w:r>
              <w:rPr>
                <w:rFonts w:ascii="Times New Roman"/>
                <w:color w:val="auto"/>
              </w:rPr>
              <w:t>本项目水彩墨水由水、甘油、颜料组成，甘油（丙三醇）</w:t>
            </w:r>
            <w:r>
              <w:rPr>
                <w:rFonts w:ascii="Arial" w:hAnsi="Arial" w:eastAsia="Arial" w:cs="Arial"/>
                <w:i w:val="0"/>
                <w:iCs w:val="0"/>
                <w:caps w:val="0"/>
                <w:color w:val="auto"/>
                <w:spacing w:val="0"/>
                <w:sz w:val="24"/>
                <w:szCs w:val="24"/>
                <w:shd w:val="clear" w:fill="FFFFFF"/>
              </w:rPr>
              <w:t>由于</w:t>
            </w:r>
            <w:r>
              <w:rPr>
                <w:rFonts w:hint="eastAsia" w:ascii="Arial" w:hAnsi="Arial" w:cs="Arial"/>
                <w:i w:val="0"/>
                <w:iCs w:val="0"/>
                <w:caps w:val="0"/>
                <w:color w:val="auto"/>
                <w:spacing w:val="0"/>
                <w:sz w:val="24"/>
                <w:szCs w:val="24"/>
                <w:shd w:val="clear" w:fill="FFFFFF"/>
                <w:lang w:val="en-US" w:eastAsia="zh-CN"/>
              </w:rPr>
              <w:t>有较强的吸水性，</w:t>
            </w:r>
            <w:r>
              <w:rPr>
                <w:rFonts w:ascii="Arial" w:hAnsi="Arial" w:eastAsia="Arial" w:cs="Arial"/>
                <w:i w:val="0"/>
                <w:iCs w:val="0"/>
                <w:caps w:val="0"/>
                <w:color w:val="auto"/>
                <w:spacing w:val="0"/>
                <w:sz w:val="24"/>
                <w:szCs w:val="24"/>
                <w:shd w:val="clear" w:fill="FFFFFF"/>
              </w:rPr>
              <w:t>其能包住水份并形成氢键，提高了沸点，丙三醇</w:t>
            </w:r>
            <w:r>
              <w:rPr>
                <w:rFonts w:hint="eastAsia" w:ascii="Arial" w:hAnsi="Arial" w:cs="Arial"/>
                <w:i w:val="0"/>
                <w:iCs w:val="0"/>
                <w:caps w:val="0"/>
                <w:color w:val="auto"/>
                <w:spacing w:val="0"/>
                <w:sz w:val="24"/>
                <w:szCs w:val="24"/>
                <w:shd w:val="clear" w:fill="FFFFFF"/>
                <w:lang w:val="en-US" w:eastAsia="zh-CN"/>
              </w:rPr>
              <w:t>常温下极少量</w:t>
            </w:r>
            <w:r>
              <w:rPr>
                <w:rFonts w:ascii="Arial" w:hAnsi="Arial" w:eastAsia="Arial" w:cs="Arial"/>
                <w:i w:val="0"/>
                <w:iCs w:val="0"/>
                <w:caps w:val="0"/>
                <w:color w:val="auto"/>
                <w:spacing w:val="0"/>
                <w:sz w:val="24"/>
                <w:szCs w:val="24"/>
                <w:shd w:val="clear" w:fill="FFFFFF"/>
              </w:rPr>
              <w:t>挥发</w:t>
            </w:r>
            <w:r>
              <w:rPr>
                <w:rFonts w:hint="eastAsia" w:ascii="Arial" w:hAnsi="Arial" w:cs="Arial"/>
                <w:i w:val="0"/>
                <w:iCs w:val="0"/>
                <w:caps w:val="0"/>
                <w:color w:val="auto"/>
                <w:spacing w:val="0"/>
                <w:sz w:val="24"/>
                <w:szCs w:val="24"/>
                <w:shd w:val="clear" w:fill="FFFFFF"/>
                <w:lang w:eastAsia="zh-CN"/>
              </w:rPr>
              <w:t>，</w:t>
            </w:r>
            <w:r>
              <w:rPr>
                <w:rFonts w:hint="eastAsia" w:ascii="Arial" w:hAnsi="Arial" w:cs="Arial"/>
                <w:i w:val="0"/>
                <w:iCs w:val="0"/>
                <w:caps w:val="0"/>
                <w:color w:val="auto"/>
                <w:spacing w:val="0"/>
                <w:sz w:val="24"/>
                <w:szCs w:val="24"/>
                <w:shd w:val="clear" w:fill="FFFFFF"/>
                <w:lang w:val="en-US" w:eastAsia="zh-CN"/>
              </w:rPr>
              <w:t>本项目注墨工序再常温下进行，无需加热且注墨时间短，</w:t>
            </w:r>
            <w:r>
              <w:rPr>
                <w:color w:val="auto"/>
              </w:rPr>
              <w:t>注墨后进行笔杆、笔帽的组装，起到了密封作用，</w:t>
            </w:r>
            <w:r>
              <w:rPr>
                <w:rFonts w:hint="eastAsia"/>
                <w:color w:val="auto"/>
                <w:lang w:val="en-US" w:eastAsia="zh-CN"/>
              </w:rPr>
              <w:t>注墨工序</w:t>
            </w:r>
            <w:r>
              <w:rPr>
                <w:rFonts w:ascii="Times New Roman"/>
                <w:color w:val="auto"/>
              </w:rPr>
              <w:t>水性墨水</w:t>
            </w:r>
            <w:r>
              <w:rPr>
                <w:rFonts w:hint="eastAsia"/>
                <w:color w:val="auto"/>
                <w:lang w:val="en-US" w:eastAsia="zh-CN"/>
              </w:rPr>
              <w:t>几乎无</w:t>
            </w:r>
            <w:r>
              <w:rPr>
                <w:rFonts w:ascii="Times New Roman"/>
                <w:color w:val="auto"/>
              </w:rPr>
              <w:t>废气产生</w:t>
            </w:r>
            <w:r>
              <w:rPr>
                <w:rFonts w:hint="eastAsia"/>
                <w:color w:val="auto"/>
                <w:lang w:eastAsia="zh-CN"/>
              </w:rPr>
              <w:t>，丙三醇</w:t>
            </w:r>
            <w:r>
              <w:rPr>
                <w:rFonts w:hint="eastAsia"/>
                <w:color w:val="auto"/>
                <w:lang w:val="en-US" w:eastAsia="zh-CN"/>
              </w:rPr>
              <w:t>极少量挥发于车间内无组织排放，不进行定量分析</w:t>
            </w:r>
            <w:r>
              <w:rPr>
                <w:rFonts w:ascii="Times New Roman"/>
                <w:color w:val="auto"/>
              </w:rPr>
              <w:t>。</w:t>
            </w:r>
          </w:p>
          <w:p w14:paraId="22DE1EA8">
            <w:pPr>
              <w:bidi w:val="0"/>
              <w:rPr>
                <w:color w:val="auto"/>
              </w:rPr>
            </w:pPr>
            <w:r>
              <w:rPr>
                <w:color w:val="auto"/>
              </w:rPr>
              <w:t>本项目油性墨水由低聚物、甘油、乙醇、甲氧基丙醇、颜料、丙烷-1,2-二醇组成，其中乙醇和甲氧基丙醇作为溶剂且常温下易挥发，乙醇和甲氧基丙醇于油性墨水中最大占比为32%，油性墨水注墨工序操作时间短，注墨后进行笔杆、笔帽的组装，起到了密封作用，可大大减少墨水中溶剂挥发，因此，本项目注墨工序油性墨水挥发量约占总溶剂量的10%计。本项目油性墨水使用量约为20t/a，乙醇和甲氧基丙醇占比为32%，则注墨废气产生量为0.64t/a。</w:t>
            </w:r>
          </w:p>
          <w:p w14:paraId="40B00A8A">
            <w:pPr>
              <w:bidi w:val="0"/>
              <w:rPr>
                <w:rFonts w:ascii="Times New Roman"/>
                <w:b/>
                <w:bCs/>
                <w:color w:val="auto"/>
              </w:rPr>
            </w:pPr>
            <w:r>
              <w:rPr>
                <w:rFonts w:ascii="Times New Roman"/>
                <w:b/>
                <w:bCs/>
                <w:color w:val="auto"/>
              </w:rPr>
              <w:t>因此，本项目</w:t>
            </w:r>
            <w:r>
              <w:rPr>
                <w:rFonts w:hint="eastAsia" w:ascii="Times New Roman"/>
                <w:b/>
                <w:bCs/>
                <w:color w:val="auto"/>
              </w:rPr>
              <w:t>注</w:t>
            </w:r>
            <w:r>
              <w:rPr>
                <w:rFonts w:hint="eastAsia" w:ascii="Times New Roman" w:hAnsi="Times New Roman" w:eastAsia="宋体" w:cs="Times New Roman"/>
                <w:b/>
                <w:bCs/>
                <w:color w:val="auto"/>
              </w:rPr>
              <w:t>塑废气、热转印废气、印刷、</w:t>
            </w:r>
            <w:r>
              <w:rPr>
                <w:rFonts w:hint="eastAsia" w:ascii="Times New Roman"/>
                <w:b/>
                <w:bCs/>
                <w:color w:val="auto"/>
              </w:rPr>
              <w:t>烘干废气、注墨废气</w:t>
            </w:r>
            <w:r>
              <w:rPr>
                <w:rFonts w:ascii="Times New Roman"/>
                <w:b/>
                <w:bCs/>
                <w:color w:val="auto"/>
              </w:rPr>
              <w:t>总产生量为</w:t>
            </w:r>
            <w:r>
              <w:rPr>
                <w:rFonts w:hint="eastAsia"/>
                <w:b/>
                <w:bCs/>
                <w:color w:val="auto"/>
                <w:lang w:val="en-US" w:eastAsia="zh-CN"/>
              </w:rPr>
              <w:t>4.795</w:t>
            </w:r>
            <w:r>
              <w:rPr>
                <w:rFonts w:ascii="Times New Roman"/>
                <w:b/>
                <w:bCs/>
                <w:color w:val="auto"/>
              </w:rPr>
              <w:t>t/a。</w:t>
            </w:r>
          </w:p>
          <w:p w14:paraId="49EF8787">
            <w:pPr>
              <w:bidi w:val="0"/>
              <w:rPr>
                <w:rFonts w:ascii="Times New Roman"/>
                <w:b/>
                <w:bCs/>
                <w:color w:val="auto"/>
              </w:rPr>
            </w:pPr>
            <w:r>
              <w:rPr>
                <w:rFonts w:ascii="Times New Roman"/>
                <w:b/>
                <w:bCs/>
                <w:color w:val="auto"/>
              </w:rPr>
              <w:t>（2）收集情况</w:t>
            </w:r>
          </w:p>
          <w:p w14:paraId="58DB1892">
            <w:pPr>
              <w:bidi w:val="0"/>
              <w:rPr>
                <w:color w:val="auto"/>
              </w:rPr>
            </w:pPr>
            <w:r>
              <w:rPr>
                <w:color w:val="auto"/>
                <w:kern w:val="0"/>
              </w:rPr>
              <w:t>项目拟在注塑机、热转印机、丝网印刷机、油性墨水注墨线上方安装集气罩，对产生的废气进</w:t>
            </w:r>
            <w:r>
              <w:rPr>
                <w:color w:val="auto"/>
                <w:kern w:val="0"/>
              </w:rPr>
              <w:t>行收集。</w:t>
            </w:r>
            <w:r>
              <w:rPr>
                <w:color w:val="auto"/>
              </w:rPr>
              <w:t>根据《三废处理工程技术手册（废气卷）》（刘天齐主编，化学工业出版社出版）中三侧有围挡时的集气罩计算公式可计算得出各设备所需的风量Q。</w:t>
            </w:r>
            <w:r>
              <w:rPr>
                <w:color w:val="auto"/>
                <w:kern w:val="0"/>
              </w:rPr>
              <w:t>本项目各集气罩风量计算情况如表4-1。</w:t>
            </w:r>
          </w:p>
          <w:p w14:paraId="616DB163">
            <w:pPr>
              <w:widowControl/>
              <w:ind w:firstLine="1200" w:firstLineChars="500"/>
              <w:jc w:val="center"/>
              <w:rPr>
                <w:color w:val="auto"/>
              </w:rPr>
            </w:pPr>
            <w:r>
              <w:rPr>
                <w:color w:val="auto"/>
              </w:rPr>
              <w:drawing>
                <wp:inline distT="0" distB="0" distL="0" distR="0">
                  <wp:extent cx="854075" cy="267335"/>
                  <wp:effectExtent l="19050" t="0" r="3175"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22" cstate="print"/>
                          <a:srcRect/>
                          <a:stretch>
                            <a:fillRect/>
                          </a:stretch>
                        </pic:blipFill>
                        <pic:spPr>
                          <a:xfrm>
                            <a:off x="0" y="0"/>
                            <a:ext cx="854075" cy="267335"/>
                          </a:xfrm>
                          <a:prstGeom prst="rect">
                            <a:avLst/>
                          </a:prstGeom>
                          <a:noFill/>
                          <a:ln w="9525">
                            <a:noFill/>
                            <a:miter lim="800000"/>
                            <a:headEnd/>
                            <a:tailEnd/>
                          </a:ln>
                        </pic:spPr>
                      </pic:pic>
                    </a:graphicData>
                  </a:graphic>
                </wp:inline>
              </w:drawing>
            </w:r>
          </w:p>
          <w:p w14:paraId="714BB531">
            <w:pPr>
              <w:widowControl/>
              <w:ind w:firstLine="1200" w:firstLineChars="500"/>
              <w:jc w:val="left"/>
              <w:rPr>
                <w:color w:val="auto"/>
              </w:rPr>
            </w:pPr>
            <w:r>
              <w:rPr>
                <w:color w:val="auto"/>
              </w:rPr>
              <w:t>其中：Q——集气罩排风量，</w:t>
            </w:r>
            <w:r>
              <w:rPr>
                <w:rFonts w:hint="eastAsia"/>
                <w:color w:val="auto"/>
              </w:rPr>
              <w:t>m</w:t>
            </w:r>
            <w:r>
              <w:rPr>
                <w:rFonts w:hint="eastAsia"/>
                <w:color w:val="auto"/>
                <w:vertAlign w:val="superscript"/>
              </w:rPr>
              <w:t>3</w:t>
            </w:r>
            <w:r>
              <w:rPr>
                <w:color w:val="auto"/>
              </w:rPr>
              <w:t>/s；</w:t>
            </w:r>
          </w:p>
          <w:p w14:paraId="783F881E">
            <w:pPr>
              <w:widowControl/>
              <w:ind w:firstLine="1920" w:firstLineChars="800"/>
              <w:jc w:val="left"/>
              <w:rPr>
                <w:color w:val="auto"/>
              </w:rPr>
            </w:pPr>
            <w:r>
              <w:rPr>
                <w:color w:val="auto"/>
              </w:rPr>
              <w:t>W——罩口长度，m；</w:t>
            </w:r>
          </w:p>
          <w:p w14:paraId="22FDBD93">
            <w:pPr>
              <w:widowControl/>
              <w:ind w:firstLine="1920" w:firstLineChars="800"/>
              <w:jc w:val="left"/>
              <w:rPr>
                <w:color w:val="auto"/>
              </w:rPr>
            </w:pPr>
            <w:r>
              <w:rPr>
                <w:color w:val="auto"/>
              </w:rPr>
              <w:t>H——污染源至罩口距离，m；</w:t>
            </w:r>
          </w:p>
          <w:p w14:paraId="5BFD989F">
            <w:pPr>
              <w:widowControl/>
              <w:ind w:firstLine="1920" w:firstLineChars="800"/>
              <w:jc w:val="left"/>
              <w:rPr>
                <w:color w:val="auto"/>
                <w:kern w:val="0"/>
              </w:rPr>
            </w:pPr>
            <w:r>
              <w:rPr>
                <w:color w:val="auto"/>
              </w:rPr>
              <w:t>Vx——最小控制风速，m/s。</w:t>
            </w:r>
          </w:p>
          <w:p w14:paraId="21F13A3E">
            <w:pPr>
              <w:pStyle w:val="58"/>
              <w:ind w:firstLine="422"/>
              <w:rPr>
                <w:color w:val="auto"/>
              </w:rPr>
            </w:pPr>
            <w:r>
              <w:rPr>
                <w:color w:val="auto"/>
              </w:rPr>
              <w:t>表4-1各工序集气罩设计风量计算一览表</w:t>
            </w:r>
          </w:p>
          <w:tbl>
            <w:tblPr>
              <w:tblStyle w:val="37"/>
              <w:tblW w:w="8856" w:type="dxa"/>
              <w:jc w:val="center"/>
              <w:tblLayout w:type="fixed"/>
              <w:tblCellMar>
                <w:top w:w="0" w:type="dxa"/>
                <w:left w:w="108" w:type="dxa"/>
                <w:bottom w:w="0" w:type="dxa"/>
                <w:right w:w="108" w:type="dxa"/>
              </w:tblCellMar>
            </w:tblPr>
            <w:tblGrid>
              <w:gridCol w:w="1727"/>
              <w:gridCol w:w="1134"/>
              <w:gridCol w:w="1100"/>
              <w:gridCol w:w="888"/>
              <w:gridCol w:w="1283"/>
              <w:gridCol w:w="879"/>
              <w:gridCol w:w="901"/>
              <w:gridCol w:w="944"/>
            </w:tblGrid>
            <w:tr w14:paraId="2C865EA8">
              <w:tblPrEx>
                <w:tblCellMar>
                  <w:top w:w="0" w:type="dxa"/>
                  <w:left w:w="108" w:type="dxa"/>
                  <w:bottom w:w="0" w:type="dxa"/>
                  <w:right w:w="108" w:type="dxa"/>
                </w:tblCellMar>
              </w:tblPrEx>
              <w:trPr>
                <w:trHeight w:val="312" w:hRule="atLeast"/>
                <w:jc w:val="center"/>
              </w:trPr>
              <w:tc>
                <w:tcPr>
                  <w:tcW w:w="1727" w:type="dxa"/>
                  <w:vMerge w:val="restart"/>
                  <w:tcBorders>
                    <w:top w:val="single" w:color="000000" w:sz="4" w:space="0"/>
                    <w:left w:val="single" w:color="000000" w:sz="4" w:space="0"/>
                    <w:bottom w:val="single" w:color="000000" w:sz="4" w:space="0"/>
                    <w:right w:val="single" w:color="000000" w:sz="4" w:space="0"/>
                  </w:tcBorders>
                  <w:vAlign w:val="center"/>
                </w:tcPr>
                <w:p w14:paraId="0DCB3799">
                  <w:pPr>
                    <w:pStyle w:val="57"/>
                    <w:rPr>
                      <w:b/>
                      <w:bCs w:val="0"/>
                      <w:color w:val="auto"/>
                    </w:rPr>
                  </w:pPr>
                  <w:r>
                    <w:rPr>
                      <w:b/>
                      <w:bCs w:val="0"/>
                      <w:color w:val="auto"/>
                    </w:rPr>
                    <w:t>设备</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2BCD8836">
                  <w:pPr>
                    <w:pStyle w:val="57"/>
                    <w:rPr>
                      <w:b/>
                      <w:bCs w:val="0"/>
                      <w:color w:val="auto"/>
                    </w:rPr>
                  </w:pPr>
                  <w:r>
                    <w:rPr>
                      <w:b/>
                      <w:bCs w:val="0"/>
                      <w:color w:val="auto"/>
                    </w:rPr>
                    <w:t>集气罩尺寸，m</w:t>
                  </w: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2B27BB8B">
                  <w:pPr>
                    <w:pStyle w:val="57"/>
                    <w:rPr>
                      <w:b/>
                      <w:bCs w:val="0"/>
                      <w:color w:val="auto"/>
                    </w:rPr>
                  </w:pPr>
                  <w:r>
                    <w:rPr>
                      <w:b/>
                      <w:bCs w:val="0"/>
                      <w:color w:val="auto"/>
                    </w:rPr>
                    <w:t>集气罩罩口长度/W</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14:paraId="11CCB867">
                  <w:pPr>
                    <w:pStyle w:val="57"/>
                    <w:rPr>
                      <w:b/>
                      <w:bCs w:val="0"/>
                      <w:color w:val="auto"/>
                    </w:rPr>
                  </w:pPr>
                  <w:r>
                    <w:rPr>
                      <w:b/>
                      <w:bCs w:val="0"/>
                      <w:color w:val="auto"/>
                    </w:rPr>
                    <w:t>距离（H),m</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14:paraId="55F43A12">
                  <w:pPr>
                    <w:pStyle w:val="57"/>
                    <w:rPr>
                      <w:b/>
                      <w:bCs w:val="0"/>
                      <w:color w:val="auto"/>
                    </w:rPr>
                  </w:pPr>
                  <w:r>
                    <w:rPr>
                      <w:b/>
                      <w:bCs w:val="0"/>
                      <w:color w:val="auto"/>
                    </w:rPr>
                    <w:t>控制风速（Vx），m/s</w:t>
                  </w:r>
                </w:p>
              </w:tc>
              <w:tc>
                <w:tcPr>
                  <w:tcW w:w="879" w:type="dxa"/>
                  <w:vMerge w:val="restart"/>
                  <w:tcBorders>
                    <w:top w:val="single" w:color="000000" w:sz="4" w:space="0"/>
                    <w:left w:val="single" w:color="000000" w:sz="4" w:space="0"/>
                    <w:bottom w:val="single" w:color="000000" w:sz="4" w:space="0"/>
                    <w:right w:val="single" w:color="000000" w:sz="4" w:space="0"/>
                  </w:tcBorders>
                  <w:vAlign w:val="center"/>
                </w:tcPr>
                <w:p w14:paraId="438CF857">
                  <w:pPr>
                    <w:pStyle w:val="57"/>
                    <w:rPr>
                      <w:b/>
                      <w:bCs w:val="0"/>
                      <w:color w:val="auto"/>
                    </w:rPr>
                  </w:pPr>
                  <w:r>
                    <w:rPr>
                      <w:b/>
                      <w:bCs w:val="0"/>
                      <w:color w:val="auto"/>
                    </w:rPr>
                    <w:t>风量</w:t>
                  </w:r>
                  <w:r>
                    <w:rPr>
                      <w:rFonts w:hint="eastAsia"/>
                      <w:b/>
                      <w:bCs w:val="0"/>
                      <w:color w:val="auto"/>
                    </w:rPr>
                    <w:t>m</w:t>
                  </w:r>
                  <w:r>
                    <w:rPr>
                      <w:rFonts w:hint="eastAsia"/>
                      <w:b/>
                      <w:bCs w:val="0"/>
                      <w:color w:val="auto"/>
                      <w:vertAlign w:val="superscript"/>
                    </w:rPr>
                    <w:t>3</w:t>
                  </w:r>
                  <w:r>
                    <w:rPr>
                      <w:b/>
                      <w:bCs w:val="0"/>
                      <w:color w:val="auto"/>
                    </w:rPr>
                    <w:t>/h</w:t>
                  </w:r>
                </w:p>
              </w:tc>
              <w:tc>
                <w:tcPr>
                  <w:tcW w:w="901" w:type="dxa"/>
                  <w:vMerge w:val="restart"/>
                  <w:tcBorders>
                    <w:top w:val="single" w:color="000000" w:sz="4" w:space="0"/>
                    <w:left w:val="single" w:color="000000" w:sz="4" w:space="0"/>
                    <w:bottom w:val="single" w:color="000000" w:sz="4" w:space="0"/>
                    <w:right w:val="single" w:color="000000" w:sz="4" w:space="0"/>
                  </w:tcBorders>
                  <w:vAlign w:val="center"/>
                </w:tcPr>
                <w:p w14:paraId="2463E284">
                  <w:pPr>
                    <w:pStyle w:val="57"/>
                    <w:rPr>
                      <w:b/>
                      <w:bCs w:val="0"/>
                      <w:color w:val="auto"/>
                    </w:rPr>
                  </w:pPr>
                  <w:r>
                    <w:rPr>
                      <w:b/>
                      <w:bCs w:val="0"/>
                      <w:color w:val="auto"/>
                    </w:rPr>
                    <w:t>集气罩数量，个</w:t>
                  </w:r>
                </w:p>
              </w:tc>
              <w:tc>
                <w:tcPr>
                  <w:tcW w:w="944" w:type="dxa"/>
                  <w:vMerge w:val="restart"/>
                  <w:tcBorders>
                    <w:top w:val="single" w:color="000000" w:sz="4" w:space="0"/>
                    <w:left w:val="single" w:color="000000" w:sz="4" w:space="0"/>
                    <w:bottom w:val="single" w:color="000000" w:sz="4" w:space="0"/>
                    <w:right w:val="single" w:color="000000" w:sz="4" w:space="0"/>
                  </w:tcBorders>
                  <w:vAlign w:val="center"/>
                </w:tcPr>
                <w:p w14:paraId="18638455">
                  <w:pPr>
                    <w:pStyle w:val="57"/>
                    <w:rPr>
                      <w:b/>
                      <w:bCs w:val="0"/>
                      <w:color w:val="auto"/>
                    </w:rPr>
                  </w:pPr>
                  <w:r>
                    <w:rPr>
                      <w:b/>
                      <w:bCs w:val="0"/>
                      <w:color w:val="auto"/>
                    </w:rPr>
                    <w:t>总风量</w:t>
                  </w:r>
                  <w:r>
                    <w:rPr>
                      <w:rFonts w:hint="eastAsia"/>
                      <w:b/>
                      <w:bCs w:val="0"/>
                      <w:color w:val="auto"/>
                    </w:rPr>
                    <w:t>m</w:t>
                  </w:r>
                  <w:r>
                    <w:rPr>
                      <w:rFonts w:hint="eastAsia"/>
                      <w:b/>
                      <w:bCs w:val="0"/>
                      <w:color w:val="auto"/>
                      <w:vertAlign w:val="superscript"/>
                    </w:rPr>
                    <w:t>3</w:t>
                  </w:r>
                  <w:r>
                    <w:rPr>
                      <w:b/>
                      <w:bCs w:val="0"/>
                      <w:color w:val="auto"/>
                    </w:rPr>
                    <w:t>/h</w:t>
                  </w:r>
                </w:p>
              </w:tc>
            </w:tr>
            <w:tr w14:paraId="3D3AEC1A">
              <w:tblPrEx>
                <w:tblCellMar>
                  <w:top w:w="0" w:type="dxa"/>
                  <w:left w:w="108" w:type="dxa"/>
                  <w:bottom w:w="0" w:type="dxa"/>
                  <w:right w:w="108" w:type="dxa"/>
                </w:tblCellMar>
              </w:tblPrEx>
              <w:trPr>
                <w:trHeight w:val="312" w:hRule="atLeast"/>
                <w:jc w:val="center"/>
              </w:trPr>
              <w:tc>
                <w:tcPr>
                  <w:tcW w:w="1727" w:type="dxa"/>
                  <w:vMerge w:val="continue"/>
                  <w:tcBorders>
                    <w:top w:val="single" w:color="000000" w:sz="4" w:space="0"/>
                    <w:left w:val="single" w:color="000000" w:sz="4" w:space="0"/>
                    <w:bottom w:val="single" w:color="000000" w:sz="4" w:space="0"/>
                    <w:right w:val="single" w:color="000000" w:sz="4" w:space="0"/>
                  </w:tcBorders>
                  <w:vAlign w:val="center"/>
                </w:tcPr>
                <w:p w14:paraId="6592FA1B">
                  <w:pPr>
                    <w:pStyle w:val="57"/>
                    <w:rPr>
                      <w:color w:val="auto"/>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3FFDDFC">
                  <w:pPr>
                    <w:pStyle w:val="57"/>
                    <w:rPr>
                      <w:color w:val="auto"/>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7E26BA0D">
                  <w:pPr>
                    <w:pStyle w:val="57"/>
                    <w:rPr>
                      <w:color w:val="auto"/>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14:paraId="72DC78D1">
                  <w:pPr>
                    <w:pStyle w:val="57"/>
                    <w:rPr>
                      <w:color w:val="auto"/>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14:paraId="5FDA9440">
                  <w:pPr>
                    <w:pStyle w:val="57"/>
                    <w:rPr>
                      <w:color w:val="auto"/>
                    </w:rPr>
                  </w:pP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14:paraId="70299AB8">
                  <w:pPr>
                    <w:pStyle w:val="57"/>
                    <w:rPr>
                      <w:color w:val="auto"/>
                    </w:rPr>
                  </w:pPr>
                </w:p>
              </w:tc>
              <w:tc>
                <w:tcPr>
                  <w:tcW w:w="901" w:type="dxa"/>
                  <w:vMerge w:val="continue"/>
                  <w:tcBorders>
                    <w:top w:val="single" w:color="000000" w:sz="4" w:space="0"/>
                    <w:left w:val="single" w:color="000000" w:sz="4" w:space="0"/>
                    <w:bottom w:val="single" w:color="000000" w:sz="4" w:space="0"/>
                    <w:right w:val="single" w:color="000000" w:sz="4" w:space="0"/>
                  </w:tcBorders>
                  <w:vAlign w:val="center"/>
                </w:tcPr>
                <w:p w14:paraId="0D37EAC7">
                  <w:pPr>
                    <w:pStyle w:val="57"/>
                    <w:rPr>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vAlign w:val="center"/>
                </w:tcPr>
                <w:p w14:paraId="65DFD4AB">
                  <w:pPr>
                    <w:pStyle w:val="57"/>
                    <w:rPr>
                      <w:color w:val="auto"/>
                    </w:rPr>
                  </w:pPr>
                </w:p>
              </w:tc>
            </w:tr>
            <w:tr w14:paraId="423DDADD">
              <w:tblPrEx>
                <w:tblCellMar>
                  <w:top w:w="0" w:type="dxa"/>
                  <w:left w:w="108" w:type="dxa"/>
                  <w:bottom w:w="0" w:type="dxa"/>
                  <w:right w:w="108" w:type="dxa"/>
                </w:tblCellMar>
              </w:tblPrEx>
              <w:trPr>
                <w:trHeight w:val="57" w:hRule="atLeast"/>
                <w:jc w:val="center"/>
              </w:trPr>
              <w:tc>
                <w:tcPr>
                  <w:tcW w:w="1727" w:type="dxa"/>
                  <w:tcBorders>
                    <w:top w:val="single" w:color="000000" w:sz="4" w:space="0"/>
                    <w:left w:val="single" w:color="000000" w:sz="4" w:space="0"/>
                    <w:bottom w:val="single" w:color="000000" w:sz="4" w:space="0"/>
                    <w:right w:val="single" w:color="000000" w:sz="4" w:space="0"/>
                  </w:tcBorders>
                  <w:vAlign w:val="center"/>
                </w:tcPr>
                <w:p w14:paraId="0CCE7070">
                  <w:pPr>
                    <w:pStyle w:val="57"/>
                    <w:rPr>
                      <w:color w:val="auto"/>
                    </w:rPr>
                  </w:pPr>
                  <w:r>
                    <w:rPr>
                      <w:color w:val="auto"/>
                    </w:rPr>
                    <w:t>注塑机</w:t>
                  </w:r>
                </w:p>
              </w:tc>
              <w:tc>
                <w:tcPr>
                  <w:tcW w:w="1134" w:type="dxa"/>
                  <w:tcBorders>
                    <w:top w:val="single" w:color="000000" w:sz="4" w:space="0"/>
                    <w:left w:val="single" w:color="000000" w:sz="4" w:space="0"/>
                    <w:bottom w:val="single" w:color="000000" w:sz="4" w:space="0"/>
                    <w:right w:val="single" w:color="000000" w:sz="4" w:space="0"/>
                  </w:tcBorders>
                  <w:vAlign w:val="center"/>
                </w:tcPr>
                <w:p w14:paraId="08C4FF3E">
                  <w:pPr>
                    <w:pStyle w:val="57"/>
                    <w:rPr>
                      <w:color w:val="auto"/>
                    </w:rPr>
                  </w:pPr>
                  <w:r>
                    <w:rPr>
                      <w:color w:val="auto"/>
                    </w:rPr>
                    <w:t>1×1</w:t>
                  </w:r>
                </w:p>
              </w:tc>
              <w:tc>
                <w:tcPr>
                  <w:tcW w:w="1100" w:type="dxa"/>
                  <w:tcBorders>
                    <w:top w:val="single" w:color="000000" w:sz="4" w:space="0"/>
                    <w:left w:val="single" w:color="000000" w:sz="4" w:space="0"/>
                    <w:bottom w:val="single" w:color="000000" w:sz="4" w:space="0"/>
                    <w:right w:val="single" w:color="000000" w:sz="4" w:space="0"/>
                  </w:tcBorders>
                  <w:vAlign w:val="center"/>
                </w:tcPr>
                <w:p w14:paraId="64A263A2">
                  <w:pPr>
                    <w:pStyle w:val="57"/>
                    <w:rPr>
                      <w:color w:val="auto"/>
                    </w:rPr>
                  </w:pPr>
                  <w:r>
                    <w:rPr>
                      <w:color w:val="auto"/>
                    </w:rPr>
                    <w:t>1</w:t>
                  </w:r>
                </w:p>
              </w:tc>
              <w:tc>
                <w:tcPr>
                  <w:tcW w:w="888" w:type="dxa"/>
                  <w:tcBorders>
                    <w:top w:val="single" w:color="000000" w:sz="4" w:space="0"/>
                    <w:left w:val="single" w:color="000000" w:sz="4" w:space="0"/>
                    <w:bottom w:val="single" w:color="000000" w:sz="4" w:space="0"/>
                    <w:right w:val="single" w:color="000000" w:sz="4" w:space="0"/>
                  </w:tcBorders>
                  <w:vAlign w:val="center"/>
                </w:tcPr>
                <w:p w14:paraId="7A69EDA4">
                  <w:pPr>
                    <w:pStyle w:val="57"/>
                    <w:rPr>
                      <w:color w:val="auto"/>
                    </w:rPr>
                  </w:pPr>
                  <w:r>
                    <w:rPr>
                      <w:color w:val="auto"/>
                    </w:rPr>
                    <w:t>0.3</w:t>
                  </w:r>
                </w:p>
              </w:tc>
              <w:tc>
                <w:tcPr>
                  <w:tcW w:w="1283" w:type="dxa"/>
                  <w:tcBorders>
                    <w:top w:val="single" w:color="000000" w:sz="4" w:space="0"/>
                    <w:left w:val="single" w:color="000000" w:sz="4" w:space="0"/>
                    <w:bottom w:val="single" w:color="000000" w:sz="4" w:space="0"/>
                    <w:right w:val="single" w:color="000000" w:sz="4" w:space="0"/>
                  </w:tcBorders>
                  <w:vAlign w:val="center"/>
                </w:tcPr>
                <w:p w14:paraId="53ECFBBE">
                  <w:pPr>
                    <w:pStyle w:val="57"/>
                    <w:rPr>
                      <w:color w:val="auto"/>
                    </w:rPr>
                  </w:pPr>
                  <w:r>
                    <w:rPr>
                      <w:color w:val="auto"/>
                    </w:rPr>
                    <w:t>0.5</w:t>
                  </w:r>
                </w:p>
              </w:tc>
              <w:tc>
                <w:tcPr>
                  <w:tcW w:w="879" w:type="dxa"/>
                  <w:tcBorders>
                    <w:top w:val="single" w:color="000000" w:sz="4" w:space="0"/>
                    <w:left w:val="single" w:color="000000" w:sz="4" w:space="0"/>
                    <w:bottom w:val="single" w:color="000000" w:sz="4" w:space="0"/>
                    <w:right w:val="single" w:color="000000" w:sz="4" w:space="0"/>
                  </w:tcBorders>
                  <w:vAlign w:val="center"/>
                </w:tcPr>
                <w:p w14:paraId="483FF0A8">
                  <w:pPr>
                    <w:pStyle w:val="57"/>
                    <w:rPr>
                      <w:color w:val="auto"/>
                    </w:rPr>
                  </w:pPr>
                  <w:r>
                    <w:rPr>
                      <w:color w:val="auto"/>
                    </w:rPr>
                    <w:t>540</w:t>
                  </w:r>
                </w:p>
              </w:tc>
              <w:tc>
                <w:tcPr>
                  <w:tcW w:w="901" w:type="dxa"/>
                  <w:tcBorders>
                    <w:top w:val="single" w:color="000000" w:sz="4" w:space="0"/>
                    <w:left w:val="single" w:color="000000" w:sz="4" w:space="0"/>
                    <w:bottom w:val="single" w:color="000000" w:sz="4" w:space="0"/>
                    <w:right w:val="single" w:color="000000" w:sz="4" w:space="0"/>
                  </w:tcBorders>
                  <w:vAlign w:val="center"/>
                </w:tcPr>
                <w:p w14:paraId="7FB298E8">
                  <w:pPr>
                    <w:pStyle w:val="57"/>
                    <w:rPr>
                      <w:color w:val="auto"/>
                    </w:rPr>
                  </w:pPr>
                  <w:r>
                    <w:rPr>
                      <w:color w:val="auto"/>
                    </w:rPr>
                    <w:t>15</w:t>
                  </w:r>
                </w:p>
              </w:tc>
              <w:tc>
                <w:tcPr>
                  <w:tcW w:w="944" w:type="dxa"/>
                  <w:tcBorders>
                    <w:top w:val="single" w:color="000000" w:sz="4" w:space="0"/>
                    <w:left w:val="single" w:color="000000" w:sz="4" w:space="0"/>
                    <w:bottom w:val="single" w:color="000000" w:sz="4" w:space="0"/>
                    <w:right w:val="single" w:color="000000" w:sz="4" w:space="0"/>
                  </w:tcBorders>
                  <w:vAlign w:val="center"/>
                </w:tcPr>
                <w:p w14:paraId="33C5F6B3">
                  <w:pPr>
                    <w:pStyle w:val="57"/>
                    <w:rPr>
                      <w:color w:val="auto"/>
                    </w:rPr>
                  </w:pPr>
                  <w:r>
                    <w:rPr>
                      <w:color w:val="auto"/>
                    </w:rPr>
                    <w:t>8100</w:t>
                  </w:r>
                </w:p>
              </w:tc>
            </w:tr>
            <w:tr w14:paraId="41D3FEAB">
              <w:tblPrEx>
                <w:tblCellMar>
                  <w:top w:w="0" w:type="dxa"/>
                  <w:left w:w="108" w:type="dxa"/>
                  <w:bottom w:w="0" w:type="dxa"/>
                  <w:right w:w="108" w:type="dxa"/>
                </w:tblCellMar>
              </w:tblPrEx>
              <w:trPr>
                <w:trHeight w:val="57" w:hRule="atLeast"/>
                <w:jc w:val="center"/>
              </w:trPr>
              <w:tc>
                <w:tcPr>
                  <w:tcW w:w="1727" w:type="dxa"/>
                  <w:tcBorders>
                    <w:top w:val="single" w:color="000000" w:sz="4" w:space="0"/>
                    <w:left w:val="single" w:color="000000" w:sz="4" w:space="0"/>
                    <w:bottom w:val="single" w:color="000000" w:sz="4" w:space="0"/>
                    <w:right w:val="single" w:color="000000" w:sz="4" w:space="0"/>
                  </w:tcBorders>
                  <w:vAlign w:val="center"/>
                </w:tcPr>
                <w:p w14:paraId="0AB3F44D">
                  <w:pPr>
                    <w:pStyle w:val="57"/>
                    <w:rPr>
                      <w:color w:val="auto"/>
                    </w:rPr>
                  </w:pPr>
                  <w:r>
                    <w:rPr>
                      <w:color w:val="auto"/>
                    </w:rPr>
                    <w:t>热转印机</w:t>
                  </w:r>
                </w:p>
              </w:tc>
              <w:tc>
                <w:tcPr>
                  <w:tcW w:w="1134" w:type="dxa"/>
                  <w:tcBorders>
                    <w:top w:val="single" w:color="000000" w:sz="4" w:space="0"/>
                    <w:left w:val="single" w:color="000000" w:sz="4" w:space="0"/>
                    <w:bottom w:val="single" w:color="000000" w:sz="4" w:space="0"/>
                    <w:right w:val="single" w:color="000000" w:sz="4" w:space="0"/>
                  </w:tcBorders>
                  <w:vAlign w:val="center"/>
                </w:tcPr>
                <w:p w14:paraId="04E3702A">
                  <w:pPr>
                    <w:pStyle w:val="57"/>
                    <w:rPr>
                      <w:color w:val="auto"/>
                    </w:rPr>
                  </w:pPr>
                  <w:r>
                    <w:rPr>
                      <w:color w:val="auto"/>
                    </w:rPr>
                    <w:t>0.8×0.8</w:t>
                  </w:r>
                </w:p>
              </w:tc>
              <w:tc>
                <w:tcPr>
                  <w:tcW w:w="1100" w:type="dxa"/>
                  <w:tcBorders>
                    <w:top w:val="single" w:color="000000" w:sz="4" w:space="0"/>
                    <w:left w:val="single" w:color="000000" w:sz="4" w:space="0"/>
                    <w:bottom w:val="single" w:color="000000" w:sz="4" w:space="0"/>
                    <w:right w:val="single" w:color="000000" w:sz="4" w:space="0"/>
                  </w:tcBorders>
                  <w:vAlign w:val="center"/>
                </w:tcPr>
                <w:p w14:paraId="09F67E8E">
                  <w:pPr>
                    <w:pStyle w:val="57"/>
                    <w:rPr>
                      <w:color w:val="auto"/>
                    </w:rPr>
                  </w:pPr>
                  <w:r>
                    <w:rPr>
                      <w:color w:val="auto"/>
                    </w:rPr>
                    <w:t>0.8</w:t>
                  </w:r>
                </w:p>
              </w:tc>
              <w:tc>
                <w:tcPr>
                  <w:tcW w:w="888" w:type="dxa"/>
                  <w:tcBorders>
                    <w:top w:val="single" w:color="000000" w:sz="4" w:space="0"/>
                    <w:left w:val="single" w:color="000000" w:sz="4" w:space="0"/>
                    <w:bottom w:val="single" w:color="000000" w:sz="4" w:space="0"/>
                    <w:right w:val="single" w:color="000000" w:sz="4" w:space="0"/>
                  </w:tcBorders>
                  <w:vAlign w:val="center"/>
                </w:tcPr>
                <w:p w14:paraId="0AE59F0A">
                  <w:pPr>
                    <w:pStyle w:val="57"/>
                    <w:rPr>
                      <w:color w:val="auto"/>
                    </w:rPr>
                  </w:pPr>
                  <w:r>
                    <w:rPr>
                      <w:color w:val="auto"/>
                    </w:rPr>
                    <w:t>0.4</w:t>
                  </w:r>
                </w:p>
              </w:tc>
              <w:tc>
                <w:tcPr>
                  <w:tcW w:w="1283" w:type="dxa"/>
                  <w:tcBorders>
                    <w:top w:val="single" w:color="000000" w:sz="4" w:space="0"/>
                    <w:left w:val="single" w:color="000000" w:sz="4" w:space="0"/>
                    <w:bottom w:val="single" w:color="000000" w:sz="4" w:space="0"/>
                    <w:right w:val="single" w:color="000000" w:sz="4" w:space="0"/>
                  </w:tcBorders>
                  <w:vAlign w:val="center"/>
                </w:tcPr>
                <w:p w14:paraId="4CBC050D">
                  <w:pPr>
                    <w:pStyle w:val="57"/>
                    <w:rPr>
                      <w:color w:val="auto"/>
                    </w:rPr>
                  </w:pPr>
                  <w:r>
                    <w:rPr>
                      <w:color w:val="auto"/>
                    </w:rPr>
                    <w:t>0.5</w:t>
                  </w:r>
                </w:p>
              </w:tc>
              <w:tc>
                <w:tcPr>
                  <w:tcW w:w="879" w:type="dxa"/>
                  <w:tcBorders>
                    <w:top w:val="single" w:color="000000" w:sz="4" w:space="0"/>
                    <w:left w:val="single" w:color="000000" w:sz="4" w:space="0"/>
                    <w:bottom w:val="single" w:color="000000" w:sz="4" w:space="0"/>
                    <w:right w:val="single" w:color="000000" w:sz="4" w:space="0"/>
                  </w:tcBorders>
                  <w:vAlign w:val="center"/>
                </w:tcPr>
                <w:p w14:paraId="06412119">
                  <w:pPr>
                    <w:pStyle w:val="57"/>
                    <w:rPr>
                      <w:color w:val="auto"/>
                    </w:rPr>
                  </w:pPr>
                  <w:r>
                    <w:rPr>
                      <w:color w:val="auto"/>
                    </w:rPr>
                    <w:t>576</w:t>
                  </w:r>
                </w:p>
              </w:tc>
              <w:tc>
                <w:tcPr>
                  <w:tcW w:w="901" w:type="dxa"/>
                  <w:tcBorders>
                    <w:top w:val="single" w:color="000000" w:sz="4" w:space="0"/>
                    <w:left w:val="single" w:color="000000" w:sz="4" w:space="0"/>
                    <w:bottom w:val="single" w:color="000000" w:sz="4" w:space="0"/>
                    <w:right w:val="single" w:color="000000" w:sz="4" w:space="0"/>
                  </w:tcBorders>
                  <w:vAlign w:val="center"/>
                </w:tcPr>
                <w:p w14:paraId="15C044A4">
                  <w:pPr>
                    <w:pStyle w:val="57"/>
                    <w:rPr>
                      <w:color w:val="auto"/>
                    </w:rPr>
                  </w:pPr>
                  <w:r>
                    <w:rPr>
                      <w:color w:val="auto"/>
                    </w:rPr>
                    <w:t>4</w:t>
                  </w:r>
                </w:p>
              </w:tc>
              <w:tc>
                <w:tcPr>
                  <w:tcW w:w="944" w:type="dxa"/>
                  <w:tcBorders>
                    <w:top w:val="single" w:color="000000" w:sz="4" w:space="0"/>
                    <w:left w:val="single" w:color="000000" w:sz="4" w:space="0"/>
                    <w:bottom w:val="single" w:color="000000" w:sz="4" w:space="0"/>
                    <w:right w:val="single" w:color="000000" w:sz="4" w:space="0"/>
                  </w:tcBorders>
                  <w:vAlign w:val="center"/>
                </w:tcPr>
                <w:p w14:paraId="444154A3">
                  <w:pPr>
                    <w:pStyle w:val="57"/>
                    <w:rPr>
                      <w:color w:val="auto"/>
                    </w:rPr>
                  </w:pPr>
                  <w:r>
                    <w:rPr>
                      <w:color w:val="auto"/>
                    </w:rPr>
                    <w:t>2304</w:t>
                  </w:r>
                </w:p>
              </w:tc>
            </w:tr>
            <w:tr w14:paraId="0E777B59">
              <w:tblPrEx>
                <w:tblCellMar>
                  <w:top w:w="0" w:type="dxa"/>
                  <w:left w:w="108" w:type="dxa"/>
                  <w:bottom w:w="0" w:type="dxa"/>
                  <w:right w:w="108" w:type="dxa"/>
                </w:tblCellMar>
              </w:tblPrEx>
              <w:trPr>
                <w:trHeight w:val="57" w:hRule="atLeast"/>
                <w:jc w:val="center"/>
              </w:trPr>
              <w:tc>
                <w:tcPr>
                  <w:tcW w:w="1727" w:type="dxa"/>
                  <w:tcBorders>
                    <w:top w:val="single" w:color="000000" w:sz="4" w:space="0"/>
                    <w:left w:val="single" w:color="000000" w:sz="4" w:space="0"/>
                    <w:bottom w:val="single" w:color="000000" w:sz="4" w:space="0"/>
                    <w:right w:val="single" w:color="000000" w:sz="4" w:space="0"/>
                  </w:tcBorders>
                  <w:vAlign w:val="center"/>
                </w:tcPr>
                <w:p w14:paraId="11046688">
                  <w:pPr>
                    <w:pStyle w:val="57"/>
                    <w:rPr>
                      <w:color w:val="auto"/>
                    </w:rPr>
                  </w:pPr>
                  <w:r>
                    <w:rPr>
                      <w:color w:val="auto"/>
                    </w:rPr>
                    <w:t>丝网印刷机</w:t>
                  </w:r>
                </w:p>
              </w:tc>
              <w:tc>
                <w:tcPr>
                  <w:tcW w:w="1134" w:type="dxa"/>
                  <w:tcBorders>
                    <w:top w:val="single" w:color="000000" w:sz="4" w:space="0"/>
                    <w:left w:val="single" w:color="000000" w:sz="4" w:space="0"/>
                    <w:bottom w:val="single" w:color="000000" w:sz="4" w:space="0"/>
                    <w:right w:val="single" w:color="000000" w:sz="4" w:space="0"/>
                  </w:tcBorders>
                  <w:vAlign w:val="center"/>
                </w:tcPr>
                <w:p w14:paraId="7F9128CC">
                  <w:pPr>
                    <w:pStyle w:val="57"/>
                    <w:rPr>
                      <w:color w:val="auto"/>
                    </w:rPr>
                  </w:pPr>
                  <w:r>
                    <w:rPr>
                      <w:color w:val="auto"/>
                    </w:rPr>
                    <w:t>0.8×0.8</w:t>
                  </w:r>
                </w:p>
              </w:tc>
              <w:tc>
                <w:tcPr>
                  <w:tcW w:w="1100" w:type="dxa"/>
                  <w:tcBorders>
                    <w:top w:val="single" w:color="000000" w:sz="4" w:space="0"/>
                    <w:left w:val="single" w:color="000000" w:sz="4" w:space="0"/>
                    <w:bottom w:val="single" w:color="000000" w:sz="4" w:space="0"/>
                    <w:right w:val="single" w:color="000000" w:sz="4" w:space="0"/>
                  </w:tcBorders>
                  <w:vAlign w:val="center"/>
                </w:tcPr>
                <w:p w14:paraId="5D3D39FA">
                  <w:pPr>
                    <w:pStyle w:val="57"/>
                    <w:rPr>
                      <w:color w:val="auto"/>
                    </w:rPr>
                  </w:pPr>
                  <w:r>
                    <w:rPr>
                      <w:color w:val="auto"/>
                    </w:rPr>
                    <w:t>0.8</w:t>
                  </w:r>
                </w:p>
              </w:tc>
              <w:tc>
                <w:tcPr>
                  <w:tcW w:w="888" w:type="dxa"/>
                  <w:tcBorders>
                    <w:top w:val="single" w:color="000000" w:sz="4" w:space="0"/>
                    <w:left w:val="single" w:color="000000" w:sz="4" w:space="0"/>
                    <w:bottom w:val="single" w:color="000000" w:sz="4" w:space="0"/>
                    <w:right w:val="single" w:color="000000" w:sz="4" w:space="0"/>
                  </w:tcBorders>
                  <w:vAlign w:val="center"/>
                </w:tcPr>
                <w:p w14:paraId="14F13874">
                  <w:pPr>
                    <w:pStyle w:val="57"/>
                    <w:rPr>
                      <w:color w:val="auto"/>
                    </w:rPr>
                  </w:pPr>
                  <w:r>
                    <w:rPr>
                      <w:color w:val="auto"/>
                    </w:rPr>
                    <w:t>0.4</w:t>
                  </w:r>
                </w:p>
              </w:tc>
              <w:tc>
                <w:tcPr>
                  <w:tcW w:w="1283" w:type="dxa"/>
                  <w:tcBorders>
                    <w:top w:val="single" w:color="000000" w:sz="4" w:space="0"/>
                    <w:left w:val="single" w:color="000000" w:sz="4" w:space="0"/>
                    <w:bottom w:val="single" w:color="000000" w:sz="4" w:space="0"/>
                    <w:right w:val="single" w:color="000000" w:sz="4" w:space="0"/>
                  </w:tcBorders>
                  <w:vAlign w:val="center"/>
                </w:tcPr>
                <w:p w14:paraId="3A3D5084">
                  <w:pPr>
                    <w:pStyle w:val="57"/>
                    <w:rPr>
                      <w:color w:val="auto"/>
                    </w:rPr>
                  </w:pPr>
                  <w:r>
                    <w:rPr>
                      <w:color w:val="auto"/>
                    </w:rPr>
                    <w:t>0.5</w:t>
                  </w:r>
                </w:p>
              </w:tc>
              <w:tc>
                <w:tcPr>
                  <w:tcW w:w="879" w:type="dxa"/>
                  <w:tcBorders>
                    <w:top w:val="single" w:color="000000" w:sz="4" w:space="0"/>
                    <w:left w:val="single" w:color="000000" w:sz="4" w:space="0"/>
                    <w:bottom w:val="single" w:color="000000" w:sz="4" w:space="0"/>
                    <w:right w:val="single" w:color="000000" w:sz="4" w:space="0"/>
                  </w:tcBorders>
                  <w:vAlign w:val="center"/>
                </w:tcPr>
                <w:p w14:paraId="7693B4BB">
                  <w:pPr>
                    <w:pStyle w:val="57"/>
                    <w:rPr>
                      <w:color w:val="auto"/>
                    </w:rPr>
                  </w:pPr>
                  <w:r>
                    <w:rPr>
                      <w:color w:val="auto"/>
                    </w:rPr>
                    <w:t>576</w:t>
                  </w:r>
                </w:p>
              </w:tc>
              <w:tc>
                <w:tcPr>
                  <w:tcW w:w="901" w:type="dxa"/>
                  <w:tcBorders>
                    <w:top w:val="single" w:color="000000" w:sz="4" w:space="0"/>
                    <w:left w:val="single" w:color="000000" w:sz="4" w:space="0"/>
                    <w:bottom w:val="single" w:color="000000" w:sz="4" w:space="0"/>
                    <w:right w:val="single" w:color="000000" w:sz="4" w:space="0"/>
                  </w:tcBorders>
                  <w:vAlign w:val="center"/>
                </w:tcPr>
                <w:p w14:paraId="67407914">
                  <w:pPr>
                    <w:pStyle w:val="57"/>
                    <w:rPr>
                      <w:color w:val="auto"/>
                    </w:rPr>
                  </w:pPr>
                  <w:r>
                    <w:rPr>
                      <w:color w:val="auto"/>
                    </w:rPr>
                    <w:t>4</w:t>
                  </w:r>
                </w:p>
              </w:tc>
              <w:tc>
                <w:tcPr>
                  <w:tcW w:w="944" w:type="dxa"/>
                  <w:tcBorders>
                    <w:top w:val="single" w:color="000000" w:sz="4" w:space="0"/>
                    <w:left w:val="single" w:color="000000" w:sz="4" w:space="0"/>
                    <w:bottom w:val="single" w:color="000000" w:sz="4" w:space="0"/>
                    <w:right w:val="single" w:color="000000" w:sz="4" w:space="0"/>
                  </w:tcBorders>
                  <w:vAlign w:val="center"/>
                </w:tcPr>
                <w:p w14:paraId="4DEF770C">
                  <w:pPr>
                    <w:pStyle w:val="57"/>
                    <w:rPr>
                      <w:color w:val="auto"/>
                    </w:rPr>
                  </w:pPr>
                  <w:r>
                    <w:rPr>
                      <w:color w:val="auto"/>
                    </w:rPr>
                    <w:t>2304</w:t>
                  </w:r>
                </w:p>
              </w:tc>
            </w:tr>
            <w:tr w14:paraId="7D4DD518">
              <w:tblPrEx>
                <w:tblCellMar>
                  <w:top w:w="0" w:type="dxa"/>
                  <w:left w:w="108" w:type="dxa"/>
                  <w:bottom w:w="0" w:type="dxa"/>
                  <w:right w:w="108" w:type="dxa"/>
                </w:tblCellMar>
              </w:tblPrEx>
              <w:trPr>
                <w:trHeight w:val="57" w:hRule="atLeast"/>
                <w:jc w:val="center"/>
              </w:trPr>
              <w:tc>
                <w:tcPr>
                  <w:tcW w:w="1727" w:type="dxa"/>
                  <w:tcBorders>
                    <w:top w:val="single" w:color="000000" w:sz="4" w:space="0"/>
                    <w:left w:val="single" w:color="000000" w:sz="4" w:space="0"/>
                    <w:bottom w:val="single" w:color="000000" w:sz="4" w:space="0"/>
                    <w:right w:val="single" w:color="000000" w:sz="4" w:space="0"/>
                  </w:tcBorders>
                  <w:vAlign w:val="center"/>
                </w:tcPr>
                <w:p w14:paraId="59C145A3">
                  <w:pPr>
                    <w:pStyle w:val="57"/>
                    <w:rPr>
                      <w:color w:val="auto"/>
                    </w:rPr>
                  </w:pPr>
                  <w:r>
                    <w:rPr>
                      <w:color w:val="auto"/>
                    </w:rPr>
                    <w:t>油性墨水注墨线</w:t>
                  </w:r>
                </w:p>
              </w:tc>
              <w:tc>
                <w:tcPr>
                  <w:tcW w:w="1134" w:type="dxa"/>
                  <w:tcBorders>
                    <w:top w:val="single" w:color="000000" w:sz="4" w:space="0"/>
                    <w:left w:val="single" w:color="000000" w:sz="4" w:space="0"/>
                    <w:bottom w:val="single" w:color="000000" w:sz="4" w:space="0"/>
                    <w:right w:val="single" w:color="000000" w:sz="4" w:space="0"/>
                  </w:tcBorders>
                  <w:vAlign w:val="center"/>
                </w:tcPr>
                <w:p w14:paraId="3FBC5445">
                  <w:pPr>
                    <w:pStyle w:val="57"/>
                    <w:rPr>
                      <w:color w:val="auto"/>
                    </w:rPr>
                  </w:pPr>
                  <w:r>
                    <w:rPr>
                      <w:color w:val="auto"/>
                    </w:rPr>
                    <w:t>0.5×0.5</w:t>
                  </w:r>
                </w:p>
              </w:tc>
              <w:tc>
                <w:tcPr>
                  <w:tcW w:w="1100" w:type="dxa"/>
                  <w:tcBorders>
                    <w:top w:val="single" w:color="000000" w:sz="4" w:space="0"/>
                    <w:left w:val="single" w:color="000000" w:sz="4" w:space="0"/>
                    <w:bottom w:val="single" w:color="000000" w:sz="4" w:space="0"/>
                    <w:right w:val="single" w:color="000000" w:sz="4" w:space="0"/>
                  </w:tcBorders>
                  <w:vAlign w:val="center"/>
                </w:tcPr>
                <w:p w14:paraId="6CB54FB0">
                  <w:pPr>
                    <w:pStyle w:val="57"/>
                    <w:rPr>
                      <w:color w:val="auto"/>
                    </w:rPr>
                  </w:pPr>
                  <w:r>
                    <w:rPr>
                      <w:color w:val="auto"/>
                    </w:rPr>
                    <w:t>0.5</w:t>
                  </w:r>
                </w:p>
              </w:tc>
              <w:tc>
                <w:tcPr>
                  <w:tcW w:w="888" w:type="dxa"/>
                  <w:tcBorders>
                    <w:top w:val="single" w:color="000000" w:sz="4" w:space="0"/>
                    <w:left w:val="single" w:color="000000" w:sz="4" w:space="0"/>
                    <w:bottom w:val="single" w:color="000000" w:sz="4" w:space="0"/>
                    <w:right w:val="single" w:color="000000" w:sz="4" w:space="0"/>
                  </w:tcBorders>
                  <w:vAlign w:val="center"/>
                </w:tcPr>
                <w:p w14:paraId="3F991298">
                  <w:pPr>
                    <w:pStyle w:val="57"/>
                    <w:rPr>
                      <w:color w:val="auto"/>
                    </w:rPr>
                  </w:pPr>
                  <w:r>
                    <w:rPr>
                      <w:color w:val="auto"/>
                    </w:rPr>
                    <w:t>0.4</w:t>
                  </w:r>
                </w:p>
              </w:tc>
              <w:tc>
                <w:tcPr>
                  <w:tcW w:w="1283" w:type="dxa"/>
                  <w:tcBorders>
                    <w:top w:val="single" w:color="000000" w:sz="4" w:space="0"/>
                    <w:left w:val="single" w:color="000000" w:sz="4" w:space="0"/>
                    <w:bottom w:val="single" w:color="000000" w:sz="4" w:space="0"/>
                    <w:right w:val="single" w:color="000000" w:sz="4" w:space="0"/>
                  </w:tcBorders>
                  <w:vAlign w:val="center"/>
                </w:tcPr>
                <w:p w14:paraId="0A9C3DCB">
                  <w:pPr>
                    <w:pStyle w:val="57"/>
                    <w:rPr>
                      <w:color w:val="auto"/>
                    </w:rPr>
                  </w:pPr>
                  <w:r>
                    <w:rPr>
                      <w:color w:val="auto"/>
                    </w:rPr>
                    <w:t>0.5</w:t>
                  </w:r>
                </w:p>
              </w:tc>
              <w:tc>
                <w:tcPr>
                  <w:tcW w:w="879" w:type="dxa"/>
                  <w:tcBorders>
                    <w:top w:val="single" w:color="000000" w:sz="4" w:space="0"/>
                    <w:left w:val="single" w:color="000000" w:sz="4" w:space="0"/>
                    <w:bottom w:val="single" w:color="000000" w:sz="4" w:space="0"/>
                    <w:right w:val="single" w:color="000000" w:sz="4" w:space="0"/>
                  </w:tcBorders>
                  <w:vAlign w:val="center"/>
                </w:tcPr>
                <w:p w14:paraId="1C01705B">
                  <w:pPr>
                    <w:pStyle w:val="57"/>
                    <w:rPr>
                      <w:color w:val="auto"/>
                    </w:rPr>
                  </w:pPr>
                  <w:r>
                    <w:rPr>
                      <w:color w:val="auto"/>
                    </w:rPr>
                    <w:t>360</w:t>
                  </w:r>
                </w:p>
              </w:tc>
              <w:tc>
                <w:tcPr>
                  <w:tcW w:w="901" w:type="dxa"/>
                  <w:tcBorders>
                    <w:top w:val="single" w:color="000000" w:sz="4" w:space="0"/>
                    <w:left w:val="single" w:color="000000" w:sz="4" w:space="0"/>
                    <w:bottom w:val="single" w:color="000000" w:sz="4" w:space="0"/>
                    <w:right w:val="single" w:color="000000" w:sz="4" w:space="0"/>
                  </w:tcBorders>
                  <w:vAlign w:val="center"/>
                </w:tcPr>
                <w:p w14:paraId="2073EF90">
                  <w:pPr>
                    <w:pStyle w:val="57"/>
                    <w:rPr>
                      <w:color w:val="auto"/>
                    </w:rPr>
                  </w:pPr>
                  <w:r>
                    <w:rPr>
                      <w:color w:val="auto"/>
                    </w:rPr>
                    <w:t>5</w:t>
                  </w:r>
                </w:p>
              </w:tc>
              <w:tc>
                <w:tcPr>
                  <w:tcW w:w="944" w:type="dxa"/>
                  <w:tcBorders>
                    <w:top w:val="single" w:color="000000" w:sz="4" w:space="0"/>
                    <w:left w:val="single" w:color="000000" w:sz="4" w:space="0"/>
                    <w:bottom w:val="single" w:color="000000" w:sz="4" w:space="0"/>
                    <w:right w:val="single" w:color="000000" w:sz="4" w:space="0"/>
                  </w:tcBorders>
                  <w:vAlign w:val="center"/>
                </w:tcPr>
                <w:p w14:paraId="6C5FE9DD">
                  <w:pPr>
                    <w:pStyle w:val="57"/>
                    <w:rPr>
                      <w:color w:val="auto"/>
                    </w:rPr>
                  </w:pPr>
                  <w:r>
                    <w:rPr>
                      <w:color w:val="auto"/>
                    </w:rPr>
                    <w:t>1800</w:t>
                  </w:r>
                </w:p>
              </w:tc>
            </w:tr>
            <w:tr w14:paraId="39209F5C">
              <w:tblPrEx>
                <w:tblCellMar>
                  <w:top w:w="0" w:type="dxa"/>
                  <w:left w:w="108" w:type="dxa"/>
                  <w:bottom w:w="0" w:type="dxa"/>
                  <w:right w:w="108" w:type="dxa"/>
                </w:tblCellMar>
              </w:tblPrEx>
              <w:trPr>
                <w:trHeight w:val="57" w:hRule="atLeast"/>
                <w:jc w:val="center"/>
              </w:trPr>
              <w:tc>
                <w:tcPr>
                  <w:tcW w:w="7912" w:type="dxa"/>
                  <w:gridSpan w:val="7"/>
                  <w:tcBorders>
                    <w:top w:val="single" w:color="000000" w:sz="4" w:space="0"/>
                    <w:left w:val="single" w:color="000000" w:sz="4" w:space="0"/>
                    <w:bottom w:val="single" w:color="000000" w:sz="4" w:space="0"/>
                    <w:right w:val="single" w:color="000000" w:sz="4" w:space="0"/>
                  </w:tcBorders>
                  <w:vAlign w:val="center"/>
                </w:tcPr>
                <w:p w14:paraId="6BD3DC3D">
                  <w:pPr>
                    <w:pStyle w:val="57"/>
                    <w:rPr>
                      <w:color w:val="auto"/>
                    </w:rPr>
                  </w:pPr>
                  <w:r>
                    <w:rPr>
                      <w:color w:val="auto"/>
                    </w:rPr>
                    <w:t>合计</w:t>
                  </w:r>
                </w:p>
              </w:tc>
              <w:tc>
                <w:tcPr>
                  <w:tcW w:w="944" w:type="dxa"/>
                  <w:tcBorders>
                    <w:top w:val="single" w:color="000000" w:sz="4" w:space="0"/>
                    <w:left w:val="single" w:color="000000" w:sz="4" w:space="0"/>
                    <w:bottom w:val="single" w:color="000000" w:sz="4" w:space="0"/>
                    <w:right w:val="single" w:color="000000" w:sz="4" w:space="0"/>
                  </w:tcBorders>
                  <w:vAlign w:val="center"/>
                </w:tcPr>
                <w:p w14:paraId="4C3C6448">
                  <w:pPr>
                    <w:pStyle w:val="57"/>
                    <w:rPr>
                      <w:color w:val="auto"/>
                    </w:rPr>
                  </w:pPr>
                  <w:r>
                    <w:rPr>
                      <w:color w:val="auto"/>
                    </w:rPr>
                    <w:t>14508</w:t>
                  </w:r>
                </w:p>
              </w:tc>
            </w:tr>
          </w:tbl>
          <w:p w14:paraId="734AC197">
            <w:pPr>
              <w:widowControl/>
              <w:ind w:firstLine="480"/>
              <w:jc w:val="left"/>
              <w:rPr>
                <w:color w:val="auto"/>
                <w:kern w:val="0"/>
              </w:rPr>
            </w:pPr>
            <w:r>
              <w:rPr>
                <w:color w:val="auto"/>
                <w:kern w:val="0"/>
              </w:rPr>
              <w:t>本项目注塑废气、热转印废气、印刷、烘干废气、注墨废气、注墨废气，设计总风量为14508m³/h，考虑到风量损耗以及保证收集效率，本项目风机风量为15000m³/h。收集效率为90%。</w:t>
            </w:r>
          </w:p>
          <w:p w14:paraId="7C0C042E">
            <w:pPr>
              <w:bidi w:val="0"/>
              <w:rPr>
                <w:rFonts w:ascii="Times New Roman"/>
                <w:b/>
                <w:bCs/>
                <w:color w:val="auto"/>
              </w:rPr>
            </w:pPr>
            <w:r>
              <w:rPr>
                <w:rFonts w:ascii="Times New Roman"/>
                <w:b/>
                <w:bCs/>
                <w:color w:val="auto"/>
              </w:rPr>
              <w:t>（3）排放情况</w:t>
            </w:r>
          </w:p>
          <w:p w14:paraId="674CC500">
            <w:pPr>
              <w:bidi w:val="0"/>
              <w:rPr>
                <w:rFonts w:ascii="Times New Roman"/>
                <w:color w:val="auto"/>
              </w:rPr>
            </w:pPr>
            <w:r>
              <w:rPr>
                <w:rFonts w:ascii="Times New Roman"/>
                <w:color w:val="auto"/>
              </w:rPr>
              <w:t>本项目</w:t>
            </w:r>
            <w:r>
              <w:rPr>
                <w:rFonts w:ascii="Times New Roman" w:hAnsi="Times New Roman" w:eastAsia="宋体" w:cs="Times New Roman"/>
                <w:color w:val="auto"/>
              </w:rPr>
              <w:t>工作</w:t>
            </w:r>
            <w:r>
              <w:rPr>
                <w:rFonts w:ascii="Times New Roman"/>
                <w:color w:val="auto"/>
              </w:rPr>
              <w:t>时间为10h/d，3000h/a，收集效率按90%计，风机风量15000</w:t>
            </w:r>
            <w:r>
              <w:rPr>
                <w:rFonts w:hint="eastAsia" w:ascii="Times New Roman"/>
                <w:color w:val="auto"/>
              </w:rPr>
              <w:t>m</w:t>
            </w:r>
            <w:r>
              <w:rPr>
                <w:rFonts w:hint="eastAsia" w:ascii="Times New Roman"/>
                <w:color w:val="auto"/>
                <w:vertAlign w:val="superscript"/>
              </w:rPr>
              <w:t>3</w:t>
            </w:r>
            <w:r>
              <w:rPr>
                <w:rFonts w:ascii="Times New Roman"/>
                <w:color w:val="auto"/>
              </w:rPr>
              <w:t>/h，</w:t>
            </w:r>
            <w:r>
              <w:rPr>
                <w:rFonts w:hint="eastAsia" w:ascii="Times New Roman"/>
                <w:color w:val="auto"/>
              </w:rPr>
              <w:t>注塑废气、热转印废气、印刷、烘干废气、注墨废气</w:t>
            </w:r>
            <w:r>
              <w:rPr>
                <w:rFonts w:ascii="Times New Roman"/>
                <w:color w:val="auto"/>
              </w:rPr>
              <w:t>经集气罩收集后通过风机引入1套“二级活性炭”处理，处理效率为90%，处理后经1根15m高（DA001）排气筒排放，污染物产生、排放情况的核算结果详见下表。</w:t>
            </w:r>
          </w:p>
          <w:p w14:paraId="7D27D615">
            <w:pPr>
              <w:pStyle w:val="58"/>
              <w:ind w:firstLine="422"/>
              <w:rPr>
                <w:color w:val="auto"/>
              </w:rPr>
            </w:pPr>
            <w:r>
              <w:rPr>
                <w:color w:val="auto"/>
              </w:rPr>
              <w:t>表4-2废气产生排放情况一览表</w:t>
            </w:r>
          </w:p>
          <w:tbl>
            <w:tblPr>
              <w:tblStyle w:val="37"/>
              <w:tblW w:w="8848" w:type="dxa"/>
              <w:jc w:val="center"/>
              <w:tblLayout w:type="fixed"/>
              <w:tblCellMar>
                <w:top w:w="0" w:type="dxa"/>
                <w:left w:w="108" w:type="dxa"/>
                <w:bottom w:w="0" w:type="dxa"/>
                <w:right w:w="108" w:type="dxa"/>
              </w:tblCellMar>
            </w:tblPr>
            <w:tblGrid>
              <w:gridCol w:w="739"/>
              <w:gridCol w:w="785"/>
              <w:gridCol w:w="844"/>
              <w:gridCol w:w="844"/>
              <w:gridCol w:w="693"/>
              <w:gridCol w:w="694"/>
              <w:gridCol w:w="881"/>
              <w:gridCol w:w="844"/>
              <w:gridCol w:w="638"/>
              <w:gridCol w:w="712"/>
              <w:gridCol w:w="619"/>
              <w:gridCol w:w="555"/>
            </w:tblGrid>
            <w:tr w14:paraId="3CAF69C3">
              <w:tblPrEx>
                <w:tblCellMar>
                  <w:top w:w="0" w:type="dxa"/>
                  <w:left w:w="108" w:type="dxa"/>
                  <w:bottom w:w="0" w:type="dxa"/>
                  <w:right w:w="108" w:type="dxa"/>
                </w:tblCellMar>
              </w:tblPrEx>
              <w:trPr>
                <w:trHeight w:val="369"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14AB7">
                  <w:pPr>
                    <w:pStyle w:val="57"/>
                    <w:rPr>
                      <w:b/>
                      <w:bCs w:val="0"/>
                      <w:color w:val="auto"/>
                    </w:rPr>
                  </w:pPr>
                  <w:r>
                    <w:rPr>
                      <w:b/>
                      <w:bCs w:val="0"/>
                      <w:color w:val="auto"/>
                    </w:rPr>
                    <w:t>污染物</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57DF1">
                  <w:pPr>
                    <w:pStyle w:val="57"/>
                    <w:rPr>
                      <w:b/>
                      <w:bCs w:val="0"/>
                      <w:color w:val="auto"/>
                    </w:rPr>
                  </w:pPr>
                  <w:r>
                    <w:rPr>
                      <w:b/>
                      <w:bCs w:val="0"/>
                      <w:color w:val="auto"/>
                    </w:rPr>
                    <w:t>产生量</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5FACDF">
                  <w:pPr>
                    <w:pStyle w:val="57"/>
                    <w:rPr>
                      <w:b/>
                      <w:bCs w:val="0"/>
                      <w:color w:val="auto"/>
                    </w:rPr>
                  </w:pPr>
                  <w:r>
                    <w:rPr>
                      <w:b/>
                      <w:bCs w:val="0"/>
                      <w:color w:val="auto"/>
                    </w:rPr>
                    <w:t>收集情况</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221D1">
                  <w:pPr>
                    <w:pStyle w:val="57"/>
                    <w:rPr>
                      <w:b/>
                      <w:bCs w:val="0"/>
                      <w:color w:val="auto"/>
                    </w:rPr>
                  </w:pPr>
                  <w:r>
                    <w:rPr>
                      <w:b/>
                      <w:bCs w:val="0"/>
                      <w:color w:val="auto"/>
                    </w:rPr>
                    <w:t>治理措施</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97C13">
                  <w:pPr>
                    <w:pStyle w:val="57"/>
                    <w:rPr>
                      <w:b/>
                      <w:bCs w:val="0"/>
                      <w:color w:val="auto"/>
                    </w:rPr>
                  </w:pPr>
                  <w:r>
                    <w:rPr>
                      <w:b/>
                      <w:bCs w:val="0"/>
                      <w:color w:val="auto"/>
                    </w:rPr>
                    <w:t>有组织排放情况</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64E50">
                  <w:pPr>
                    <w:pStyle w:val="57"/>
                    <w:rPr>
                      <w:b/>
                      <w:bCs w:val="0"/>
                      <w:color w:val="auto"/>
                    </w:rPr>
                  </w:pPr>
                  <w:r>
                    <w:rPr>
                      <w:b/>
                      <w:bCs w:val="0"/>
                      <w:color w:val="auto"/>
                    </w:rPr>
                    <w:t>无组织排放情况</w:t>
                  </w:r>
                </w:p>
              </w:tc>
            </w:tr>
            <w:tr w14:paraId="5DD48282">
              <w:tblPrEx>
                <w:tblCellMar>
                  <w:top w:w="0" w:type="dxa"/>
                  <w:left w:w="108" w:type="dxa"/>
                  <w:bottom w:w="0" w:type="dxa"/>
                  <w:right w:w="108" w:type="dxa"/>
                </w:tblCellMar>
              </w:tblPrEx>
              <w:trPr>
                <w:trHeight w:val="369"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100E">
                  <w:pPr>
                    <w:pStyle w:val="57"/>
                    <w:rPr>
                      <w:b/>
                      <w:bCs w:val="0"/>
                      <w:color w:val="auto"/>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530A">
                  <w:pPr>
                    <w:pStyle w:val="57"/>
                    <w:rPr>
                      <w:b/>
                      <w:bCs w:val="0"/>
                      <w:color w:val="auto"/>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A322">
                  <w:pPr>
                    <w:pStyle w:val="57"/>
                    <w:rPr>
                      <w:b/>
                      <w:bCs w:val="0"/>
                      <w:color w:val="auto"/>
                    </w:rPr>
                  </w:pPr>
                  <w:r>
                    <w:rPr>
                      <w:b/>
                      <w:bCs w:val="0"/>
                      <w:color w:val="auto"/>
                    </w:rPr>
                    <w:t>排气量</w:t>
                  </w:r>
                  <w:r>
                    <w:rPr>
                      <w:rFonts w:hint="eastAsia"/>
                      <w:b/>
                      <w:bCs w:val="0"/>
                      <w:color w:val="auto"/>
                    </w:rPr>
                    <w:t>m</w:t>
                  </w:r>
                  <w:r>
                    <w:rPr>
                      <w:rFonts w:hint="eastAsia"/>
                      <w:b/>
                      <w:bCs w:val="0"/>
                      <w:color w:val="auto"/>
                      <w:vertAlign w:val="superscript"/>
                    </w:rPr>
                    <w:t>3</w:t>
                  </w:r>
                  <w:r>
                    <w:rPr>
                      <w:b/>
                      <w:bCs w:val="0"/>
                      <w:color w:val="auto"/>
                    </w:rPr>
                    <w:t>/h</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5CA9">
                  <w:pPr>
                    <w:pStyle w:val="57"/>
                    <w:rPr>
                      <w:b/>
                      <w:bCs w:val="0"/>
                      <w:color w:val="auto"/>
                    </w:rPr>
                  </w:pPr>
                  <w:r>
                    <w:rPr>
                      <w:b/>
                      <w:bCs w:val="0"/>
                      <w:color w:val="auto"/>
                    </w:rPr>
                    <w:t>浓度</w:t>
                  </w:r>
                </w:p>
                <w:p w14:paraId="540CDA66">
                  <w:pPr>
                    <w:pStyle w:val="57"/>
                    <w:rPr>
                      <w:b/>
                      <w:bCs w:val="0"/>
                      <w:color w:val="auto"/>
                    </w:rPr>
                  </w:pPr>
                  <w:r>
                    <w:rPr>
                      <w:b/>
                      <w:bCs w:val="0"/>
                      <w:color w:val="auto"/>
                    </w:rPr>
                    <w:t>mg/</w:t>
                  </w:r>
                  <w:r>
                    <w:rPr>
                      <w:rFonts w:hint="eastAsia"/>
                      <w:b/>
                      <w:bCs w:val="0"/>
                      <w:color w:val="auto"/>
                    </w:rPr>
                    <w:t>m</w:t>
                  </w:r>
                  <w:r>
                    <w:rPr>
                      <w:rFonts w:hint="eastAsia"/>
                      <w:b/>
                      <w:bCs w:val="0"/>
                      <w:color w:val="auto"/>
                      <w:vertAlign w:val="superscript"/>
                    </w:rPr>
                    <w:t>3</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DF82">
                  <w:pPr>
                    <w:pStyle w:val="57"/>
                    <w:rPr>
                      <w:b/>
                      <w:bCs w:val="0"/>
                      <w:color w:val="auto"/>
                    </w:rPr>
                  </w:pPr>
                  <w:r>
                    <w:rPr>
                      <w:b/>
                      <w:bCs w:val="0"/>
                      <w:color w:val="auto"/>
                    </w:rPr>
                    <w:t>速率</w:t>
                  </w:r>
                </w:p>
                <w:p w14:paraId="7D962D2B">
                  <w:pPr>
                    <w:pStyle w:val="57"/>
                    <w:rPr>
                      <w:b/>
                      <w:bCs w:val="0"/>
                      <w:color w:val="auto"/>
                    </w:rPr>
                  </w:pPr>
                  <w:r>
                    <w:rPr>
                      <w:b/>
                      <w:bCs w:val="0"/>
                      <w:color w:val="auto"/>
                    </w:rPr>
                    <w:t>kg/h</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8571">
                  <w:pPr>
                    <w:pStyle w:val="57"/>
                    <w:rPr>
                      <w:b/>
                      <w:bCs w:val="0"/>
                      <w:color w:val="auto"/>
                    </w:rPr>
                  </w:pPr>
                  <w:r>
                    <w:rPr>
                      <w:b/>
                      <w:bCs w:val="0"/>
                      <w:color w:val="auto"/>
                    </w:rPr>
                    <w:t>收集量t/a</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DA22F">
                  <w:pPr>
                    <w:pStyle w:val="57"/>
                    <w:rPr>
                      <w:b/>
                      <w:bCs w:val="0"/>
                      <w:color w:val="auto"/>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BF97">
                  <w:pPr>
                    <w:pStyle w:val="57"/>
                    <w:rPr>
                      <w:b/>
                      <w:bCs w:val="0"/>
                      <w:color w:val="auto"/>
                    </w:rPr>
                  </w:pPr>
                  <w:r>
                    <w:rPr>
                      <w:b/>
                      <w:bCs w:val="0"/>
                      <w:color w:val="auto"/>
                    </w:rPr>
                    <w:t>浓度mg/</w:t>
                  </w:r>
                  <w:r>
                    <w:rPr>
                      <w:rFonts w:hint="eastAsia"/>
                      <w:b/>
                      <w:bCs w:val="0"/>
                      <w:color w:val="auto"/>
                    </w:rPr>
                    <w:t>m</w:t>
                  </w:r>
                  <w:r>
                    <w:rPr>
                      <w:rFonts w:hint="eastAsia"/>
                      <w:b/>
                      <w:bCs w:val="0"/>
                      <w:color w:val="auto"/>
                      <w:vertAlign w:val="superscript"/>
                    </w:rPr>
                    <w:t>3</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0051">
                  <w:pPr>
                    <w:pStyle w:val="57"/>
                    <w:rPr>
                      <w:b/>
                      <w:bCs w:val="0"/>
                      <w:color w:val="auto"/>
                    </w:rPr>
                  </w:pPr>
                  <w:r>
                    <w:rPr>
                      <w:b/>
                      <w:bCs w:val="0"/>
                      <w:color w:val="auto"/>
                    </w:rPr>
                    <w:t>速率kg/h</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AA7A">
                  <w:pPr>
                    <w:pStyle w:val="57"/>
                    <w:rPr>
                      <w:b/>
                      <w:bCs w:val="0"/>
                      <w:color w:val="auto"/>
                    </w:rPr>
                  </w:pPr>
                  <w:r>
                    <w:rPr>
                      <w:b/>
                      <w:bCs w:val="0"/>
                      <w:color w:val="auto"/>
                    </w:rPr>
                    <w:t>排放量t/a</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6023">
                  <w:pPr>
                    <w:pStyle w:val="57"/>
                    <w:rPr>
                      <w:b/>
                      <w:bCs w:val="0"/>
                      <w:color w:val="auto"/>
                    </w:rPr>
                  </w:pPr>
                  <w:r>
                    <w:rPr>
                      <w:b/>
                      <w:bCs w:val="0"/>
                      <w:color w:val="auto"/>
                    </w:rPr>
                    <w:t>速率kg/h</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A594">
                  <w:pPr>
                    <w:pStyle w:val="57"/>
                    <w:rPr>
                      <w:b/>
                      <w:bCs w:val="0"/>
                      <w:color w:val="auto"/>
                    </w:rPr>
                  </w:pPr>
                  <w:r>
                    <w:rPr>
                      <w:b/>
                      <w:bCs w:val="0"/>
                      <w:color w:val="auto"/>
                    </w:rPr>
                    <w:t>排放量t/a</w:t>
                  </w:r>
                </w:p>
              </w:tc>
            </w:tr>
            <w:tr w14:paraId="36FFD018">
              <w:tblPrEx>
                <w:tblCellMar>
                  <w:top w:w="0" w:type="dxa"/>
                  <w:left w:w="108" w:type="dxa"/>
                  <w:bottom w:w="0" w:type="dxa"/>
                  <w:right w:w="108" w:type="dxa"/>
                </w:tblCellMar>
              </w:tblPrEx>
              <w:trPr>
                <w:trHeight w:val="369"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A9FE">
                  <w:pPr>
                    <w:pStyle w:val="57"/>
                    <w:rPr>
                      <w:color w:val="auto"/>
                    </w:rPr>
                  </w:pPr>
                  <w:r>
                    <w:rPr>
                      <w:color w:val="auto"/>
                    </w:rPr>
                    <w:t>非甲烷总烃</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9BD">
                  <w:pPr>
                    <w:pStyle w:val="57"/>
                    <w:rPr>
                      <w:rFonts w:hint="default" w:eastAsia="宋体"/>
                      <w:color w:val="auto"/>
                      <w:lang w:val="en-US" w:eastAsia="zh-CN"/>
                    </w:rPr>
                  </w:pPr>
                  <w:r>
                    <w:rPr>
                      <w:rFonts w:hint="eastAsia"/>
                      <w:color w:val="auto"/>
                      <w:lang w:val="en-US" w:eastAsia="zh-CN"/>
                    </w:rPr>
                    <w:t>4.795</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5275">
                  <w:pPr>
                    <w:pStyle w:val="57"/>
                    <w:rPr>
                      <w:color w:val="auto"/>
                    </w:rPr>
                  </w:pPr>
                  <w:r>
                    <w:rPr>
                      <w:color w:val="auto"/>
                    </w:rPr>
                    <w:t>15000</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30CD">
                  <w:pPr>
                    <w:pStyle w:val="57"/>
                    <w:bidi w:val="0"/>
                    <w:rPr>
                      <w:color w:val="auto"/>
                    </w:rPr>
                  </w:pPr>
                  <w:r>
                    <w:rPr>
                      <w:rFonts w:hint="eastAsia"/>
                      <w:color w:val="auto"/>
                      <w:lang w:val="en-US" w:eastAsia="zh-CN"/>
                    </w:rPr>
                    <w:t>96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313E">
                  <w:pPr>
                    <w:pStyle w:val="57"/>
                    <w:bidi w:val="0"/>
                    <w:rPr>
                      <w:color w:val="auto"/>
                    </w:rPr>
                  </w:pPr>
                  <w:r>
                    <w:rPr>
                      <w:rFonts w:hint="eastAsia"/>
                      <w:color w:val="auto"/>
                      <w:lang w:val="en-US" w:eastAsia="zh-CN"/>
                    </w:rPr>
                    <w:t>1.44</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E46B">
                  <w:pPr>
                    <w:pStyle w:val="57"/>
                    <w:bidi w:val="0"/>
                    <w:rPr>
                      <w:color w:val="auto"/>
                    </w:rPr>
                  </w:pPr>
                  <w:r>
                    <w:rPr>
                      <w:rFonts w:hint="eastAsia"/>
                      <w:color w:val="auto"/>
                      <w:lang w:val="en-US" w:eastAsia="zh-CN"/>
                    </w:rPr>
                    <w:t>4.32</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0E54">
                  <w:pPr>
                    <w:pStyle w:val="57"/>
                    <w:rPr>
                      <w:color w:val="auto"/>
                    </w:rPr>
                  </w:pPr>
                  <w:r>
                    <w:rPr>
                      <w:color w:val="auto"/>
                    </w:rPr>
                    <w:t>二级活性炭</w:t>
                  </w:r>
                </w:p>
              </w:tc>
              <w:tc>
                <w:tcPr>
                  <w:tcW w:w="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36A9">
                  <w:pPr>
                    <w:pStyle w:val="57"/>
                    <w:bidi w:val="0"/>
                    <w:rPr>
                      <w:color w:val="auto"/>
                    </w:rPr>
                  </w:pPr>
                  <w:r>
                    <w:rPr>
                      <w:rFonts w:hint="eastAsia"/>
                      <w:color w:val="auto"/>
                      <w:lang w:val="en-US" w:eastAsia="zh-CN"/>
                    </w:rPr>
                    <w:t>9.33</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E946">
                  <w:pPr>
                    <w:pStyle w:val="57"/>
                    <w:bidi w:val="0"/>
                    <w:rPr>
                      <w:color w:val="auto"/>
                    </w:rPr>
                  </w:pPr>
                  <w:r>
                    <w:rPr>
                      <w:rFonts w:hint="eastAsia"/>
                      <w:color w:val="auto"/>
                      <w:lang w:val="en-US" w:eastAsia="zh-CN"/>
                    </w:rPr>
                    <w:t>0.14</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FBB3">
                  <w:pPr>
                    <w:pStyle w:val="57"/>
                    <w:bidi w:val="0"/>
                    <w:rPr>
                      <w:color w:val="auto"/>
                    </w:rPr>
                  </w:pPr>
                  <w:r>
                    <w:rPr>
                      <w:rFonts w:hint="eastAsia"/>
                      <w:color w:val="auto"/>
                      <w:lang w:val="en-US" w:eastAsia="zh-CN"/>
                    </w:rPr>
                    <w:t>0.43</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C8C7">
                  <w:pPr>
                    <w:pStyle w:val="57"/>
                    <w:bidi w:val="0"/>
                    <w:rPr>
                      <w:color w:val="auto"/>
                    </w:rPr>
                  </w:pPr>
                  <w:r>
                    <w:rPr>
                      <w:rFonts w:hint="eastAsia"/>
                      <w:color w:val="auto"/>
                      <w:lang w:val="en-US" w:eastAsia="zh-CN"/>
                    </w:rPr>
                    <w:t>0.16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B1FB">
                  <w:pPr>
                    <w:pStyle w:val="57"/>
                    <w:bidi w:val="0"/>
                    <w:rPr>
                      <w:color w:val="auto"/>
                    </w:rPr>
                  </w:pPr>
                  <w:r>
                    <w:rPr>
                      <w:rFonts w:hint="eastAsia"/>
                      <w:color w:val="auto"/>
                      <w:lang w:val="en-US" w:eastAsia="zh-CN"/>
                    </w:rPr>
                    <w:t>0.48</w:t>
                  </w:r>
                </w:p>
              </w:tc>
            </w:tr>
          </w:tbl>
          <w:p w14:paraId="4C6C1B9A">
            <w:pPr>
              <w:pStyle w:val="61"/>
              <w:spacing w:line="360" w:lineRule="auto"/>
              <w:ind w:firstLine="480"/>
              <w:rPr>
                <w:rFonts w:ascii="Times New Roman"/>
                <w:color w:val="auto"/>
              </w:rPr>
            </w:pPr>
          </w:p>
        </w:tc>
      </w:tr>
    </w:tbl>
    <w:p w14:paraId="286DAB40">
      <w:pPr>
        <w:ind w:firstLine="560"/>
        <w:rPr>
          <w:rFonts w:ascii="宋体" w:cs="宋体"/>
          <w:color w:val="auto"/>
          <w:sz w:val="28"/>
          <w:szCs w:val="28"/>
        </w:rPr>
        <w:sectPr>
          <w:pgSz w:w="11906" w:h="16838"/>
          <w:pgMar w:top="1247" w:right="1247" w:bottom="1247" w:left="1077" w:header="397" w:footer="567" w:gutter="0"/>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788"/>
      </w:tblGrid>
      <w:tr w14:paraId="3631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trPr>
        <w:tc>
          <w:tcPr>
            <w:tcW w:w="602" w:type="dxa"/>
          </w:tcPr>
          <w:p w14:paraId="1C7FA530">
            <w:pPr>
              <w:pStyle w:val="15"/>
              <w:ind w:left="480" w:firstLine="480"/>
              <w:rPr>
                <w:color w:val="auto"/>
              </w:rPr>
            </w:pPr>
          </w:p>
        </w:tc>
        <w:tc>
          <w:tcPr>
            <w:tcW w:w="13788" w:type="dxa"/>
          </w:tcPr>
          <w:p w14:paraId="378C6584">
            <w:pPr>
              <w:pStyle w:val="58"/>
              <w:ind w:firstLine="422"/>
              <w:rPr>
                <w:color w:val="auto"/>
              </w:rPr>
            </w:pPr>
            <w:r>
              <w:rPr>
                <w:rFonts w:hint="eastAsia"/>
                <w:color w:val="auto"/>
              </w:rPr>
              <w:t>表4-3本项目废气产生排放情况一览表</w:t>
            </w:r>
          </w:p>
          <w:tbl>
            <w:tblPr>
              <w:tblStyle w:val="37"/>
              <w:tblW w:w="4993" w:type="pct"/>
              <w:jc w:val="center"/>
              <w:tblLayout w:type="fixed"/>
              <w:tblCellMar>
                <w:top w:w="0" w:type="dxa"/>
                <w:left w:w="108" w:type="dxa"/>
                <w:bottom w:w="0" w:type="dxa"/>
                <w:right w:w="108" w:type="dxa"/>
              </w:tblCellMar>
            </w:tblPr>
            <w:tblGrid>
              <w:gridCol w:w="877"/>
              <w:gridCol w:w="1379"/>
              <w:gridCol w:w="900"/>
              <w:gridCol w:w="868"/>
              <w:gridCol w:w="857"/>
              <w:gridCol w:w="966"/>
              <w:gridCol w:w="821"/>
              <w:gridCol w:w="832"/>
              <w:gridCol w:w="629"/>
              <w:gridCol w:w="890"/>
              <w:gridCol w:w="853"/>
              <w:gridCol w:w="785"/>
              <w:gridCol w:w="933"/>
              <w:gridCol w:w="655"/>
              <w:gridCol w:w="655"/>
              <w:gridCol w:w="655"/>
            </w:tblGrid>
            <w:tr w14:paraId="486EA07D">
              <w:tblPrEx>
                <w:tblCellMar>
                  <w:top w:w="0" w:type="dxa"/>
                  <w:left w:w="108" w:type="dxa"/>
                  <w:bottom w:w="0" w:type="dxa"/>
                  <w:right w:w="108" w:type="dxa"/>
                </w:tblCellMar>
              </w:tblPrEx>
              <w:trPr>
                <w:trHeight w:val="270"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14:paraId="6B68F0D8">
                  <w:pPr>
                    <w:pStyle w:val="57"/>
                    <w:rPr>
                      <w:b/>
                      <w:bCs w:val="0"/>
                      <w:color w:val="auto"/>
                    </w:rPr>
                  </w:pPr>
                  <w:r>
                    <w:rPr>
                      <w:rFonts w:hint="eastAsia"/>
                      <w:b/>
                      <w:bCs w:val="0"/>
                      <w:color w:val="auto"/>
                    </w:rPr>
                    <w:t>排放形式</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03EB123C">
                  <w:pPr>
                    <w:pStyle w:val="57"/>
                    <w:rPr>
                      <w:b/>
                      <w:bCs w:val="0"/>
                      <w:color w:val="auto"/>
                    </w:rPr>
                  </w:pPr>
                  <w:r>
                    <w:rPr>
                      <w:rFonts w:hint="eastAsia"/>
                      <w:b/>
                      <w:bCs w:val="0"/>
                      <w:color w:val="auto"/>
                    </w:rPr>
                    <w:t>产排污环节</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1484FA64">
                  <w:pPr>
                    <w:pStyle w:val="57"/>
                    <w:rPr>
                      <w:b/>
                      <w:bCs w:val="0"/>
                      <w:color w:val="auto"/>
                    </w:rPr>
                  </w:pPr>
                  <w:r>
                    <w:rPr>
                      <w:rFonts w:hint="eastAsia"/>
                      <w:b/>
                      <w:bCs w:val="0"/>
                      <w:color w:val="auto"/>
                    </w:rPr>
                    <w:t>污染物</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14:paraId="0CD332A7">
                  <w:pPr>
                    <w:pStyle w:val="57"/>
                    <w:rPr>
                      <w:b/>
                      <w:bCs w:val="0"/>
                      <w:color w:val="auto"/>
                    </w:rPr>
                  </w:pPr>
                  <w:r>
                    <w:rPr>
                      <w:rFonts w:hint="eastAsia"/>
                      <w:b/>
                      <w:bCs w:val="0"/>
                      <w:color w:val="auto"/>
                    </w:rPr>
                    <w:t>收集设施</w:t>
                  </w:r>
                </w:p>
              </w:tc>
              <w:tc>
                <w:tcPr>
                  <w:tcW w:w="2619" w:type="dxa"/>
                  <w:gridSpan w:val="3"/>
                  <w:tcBorders>
                    <w:top w:val="single" w:color="000000" w:sz="4" w:space="0"/>
                    <w:left w:val="single" w:color="000000" w:sz="4" w:space="0"/>
                    <w:bottom w:val="single" w:color="000000" w:sz="4" w:space="0"/>
                    <w:right w:val="single" w:color="000000" w:sz="4" w:space="0"/>
                  </w:tcBorders>
                  <w:vAlign w:val="center"/>
                </w:tcPr>
                <w:p w14:paraId="19B2D6F4">
                  <w:pPr>
                    <w:pStyle w:val="57"/>
                    <w:rPr>
                      <w:b/>
                      <w:bCs w:val="0"/>
                      <w:color w:val="auto"/>
                    </w:rPr>
                  </w:pPr>
                  <w:r>
                    <w:rPr>
                      <w:rFonts w:hint="eastAsia"/>
                      <w:b/>
                      <w:bCs w:val="0"/>
                      <w:color w:val="auto"/>
                    </w:rPr>
                    <w:t>污染物产生情况</w:t>
                  </w:r>
                </w:p>
              </w:tc>
              <w:tc>
                <w:tcPr>
                  <w:tcW w:w="3157" w:type="dxa"/>
                  <w:gridSpan w:val="4"/>
                  <w:tcBorders>
                    <w:top w:val="single" w:color="000000" w:sz="4" w:space="0"/>
                    <w:left w:val="single" w:color="000000" w:sz="4" w:space="0"/>
                    <w:bottom w:val="single" w:color="000000" w:sz="4" w:space="0"/>
                    <w:right w:val="single" w:color="000000" w:sz="4" w:space="0"/>
                  </w:tcBorders>
                  <w:vAlign w:val="center"/>
                </w:tcPr>
                <w:p w14:paraId="4E073CB5">
                  <w:pPr>
                    <w:pStyle w:val="57"/>
                    <w:rPr>
                      <w:b/>
                      <w:bCs w:val="0"/>
                      <w:color w:val="auto"/>
                    </w:rPr>
                  </w:pPr>
                  <w:r>
                    <w:rPr>
                      <w:rFonts w:hint="eastAsia"/>
                      <w:b/>
                      <w:bCs w:val="0"/>
                      <w:color w:val="auto"/>
                    </w:rPr>
                    <w:t>治理措施</w:t>
                  </w:r>
                </w:p>
              </w:tc>
              <w:tc>
                <w:tcPr>
                  <w:tcW w:w="2243" w:type="dxa"/>
                  <w:gridSpan w:val="3"/>
                  <w:tcBorders>
                    <w:top w:val="single" w:color="000000" w:sz="4" w:space="0"/>
                    <w:left w:val="single" w:color="000000" w:sz="4" w:space="0"/>
                    <w:bottom w:val="single" w:color="000000" w:sz="4" w:space="0"/>
                    <w:right w:val="single" w:color="000000" w:sz="4" w:space="0"/>
                  </w:tcBorders>
                  <w:vAlign w:val="center"/>
                </w:tcPr>
                <w:p w14:paraId="0A1CA6F7">
                  <w:pPr>
                    <w:pStyle w:val="57"/>
                    <w:rPr>
                      <w:b/>
                      <w:bCs w:val="0"/>
                      <w:color w:val="auto"/>
                    </w:rPr>
                  </w:pPr>
                  <w:r>
                    <w:rPr>
                      <w:rFonts w:hint="eastAsia"/>
                      <w:b/>
                      <w:bCs w:val="0"/>
                      <w:color w:val="auto"/>
                    </w:rPr>
                    <w:t>污染物排放情况</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1C70A7B9">
                  <w:pPr>
                    <w:pStyle w:val="57"/>
                    <w:rPr>
                      <w:color w:val="auto"/>
                    </w:rPr>
                  </w:pPr>
                  <w:r>
                    <w:rPr>
                      <w:rFonts w:hint="eastAsia"/>
                      <w:b/>
                      <w:bCs w:val="0"/>
                      <w:color w:val="auto"/>
                    </w:rPr>
                    <w:t>排放时间（</w:t>
                  </w:r>
                  <w:r>
                    <w:rPr>
                      <w:b/>
                      <w:bCs w:val="0"/>
                      <w:color w:val="auto"/>
                    </w:rPr>
                    <w:t>h</w:t>
                  </w:r>
                  <w:r>
                    <w:rPr>
                      <w:rFonts w:hint="eastAsia"/>
                      <w:b/>
                      <w:bCs w:val="0"/>
                      <w:color w:val="auto"/>
                    </w:rPr>
                    <w:t>）</w:t>
                  </w:r>
                </w:p>
              </w:tc>
            </w:tr>
            <w:tr w14:paraId="2C090885">
              <w:tblPrEx>
                <w:tblCellMar>
                  <w:top w:w="0" w:type="dxa"/>
                  <w:left w:w="108" w:type="dxa"/>
                  <w:bottom w:w="0" w:type="dxa"/>
                  <w:right w:w="108" w:type="dxa"/>
                </w:tblCellMar>
              </w:tblPrEx>
              <w:trPr>
                <w:trHeight w:val="27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5A7A8491">
                  <w:pPr>
                    <w:pStyle w:val="57"/>
                    <w:rPr>
                      <w:b/>
                      <w:bCs w:val="0"/>
                      <w:color w:val="auto"/>
                    </w:rPr>
                  </w:pP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04B6B784">
                  <w:pPr>
                    <w:pStyle w:val="57"/>
                    <w:rPr>
                      <w:b/>
                      <w:bCs w:val="0"/>
                      <w:color w:val="auto"/>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708DE2F">
                  <w:pPr>
                    <w:pStyle w:val="57"/>
                    <w:rPr>
                      <w:b/>
                      <w:bCs w:val="0"/>
                      <w:color w:val="auto"/>
                    </w:rPr>
                  </w:pP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14:paraId="6E166A9F">
                  <w:pPr>
                    <w:pStyle w:val="57"/>
                    <w:rPr>
                      <w:b/>
                      <w:bCs w:val="0"/>
                      <w:color w:val="auto"/>
                    </w:rPr>
                  </w:pPr>
                  <w:r>
                    <w:rPr>
                      <w:rFonts w:hint="eastAsia"/>
                      <w:b/>
                      <w:bCs w:val="0"/>
                      <w:color w:val="auto"/>
                    </w:rPr>
                    <w:t>收集装置</w:t>
                  </w:r>
                </w:p>
              </w:tc>
              <w:tc>
                <w:tcPr>
                  <w:tcW w:w="857" w:type="dxa"/>
                  <w:vMerge w:val="restart"/>
                  <w:tcBorders>
                    <w:top w:val="single" w:color="000000" w:sz="4" w:space="0"/>
                    <w:left w:val="single" w:color="000000" w:sz="4" w:space="0"/>
                    <w:bottom w:val="single" w:color="000000" w:sz="4" w:space="0"/>
                    <w:right w:val="single" w:color="000000" w:sz="4" w:space="0"/>
                  </w:tcBorders>
                  <w:vAlign w:val="center"/>
                </w:tcPr>
                <w:p w14:paraId="5055C6F0">
                  <w:pPr>
                    <w:pStyle w:val="57"/>
                    <w:rPr>
                      <w:b/>
                      <w:bCs w:val="0"/>
                      <w:color w:val="auto"/>
                    </w:rPr>
                  </w:pPr>
                  <w:r>
                    <w:rPr>
                      <w:rFonts w:hint="eastAsia"/>
                      <w:b/>
                      <w:bCs w:val="0"/>
                      <w:color w:val="auto"/>
                    </w:rPr>
                    <w:t>收集效率</w:t>
                  </w:r>
                </w:p>
              </w:tc>
              <w:tc>
                <w:tcPr>
                  <w:tcW w:w="966" w:type="dxa"/>
                  <w:vMerge w:val="restart"/>
                  <w:tcBorders>
                    <w:top w:val="single" w:color="000000" w:sz="4" w:space="0"/>
                    <w:left w:val="single" w:color="000000" w:sz="4" w:space="0"/>
                    <w:bottom w:val="single" w:color="000000" w:sz="4" w:space="0"/>
                    <w:right w:val="single" w:color="000000" w:sz="4" w:space="0"/>
                  </w:tcBorders>
                  <w:vAlign w:val="center"/>
                </w:tcPr>
                <w:p w14:paraId="13D19AFA">
                  <w:pPr>
                    <w:pStyle w:val="57"/>
                    <w:rPr>
                      <w:b/>
                      <w:bCs w:val="0"/>
                      <w:color w:val="auto"/>
                    </w:rPr>
                  </w:pPr>
                  <w:r>
                    <w:rPr>
                      <w:rFonts w:hint="eastAsia"/>
                      <w:b/>
                      <w:bCs w:val="0"/>
                      <w:color w:val="auto"/>
                    </w:rPr>
                    <w:t>产生浓度（</w:t>
                  </w:r>
                  <w:r>
                    <w:rPr>
                      <w:b/>
                      <w:bCs w:val="0"/>
                      <w:color w:val="auto"/>
                    </w:rPr>
                    <w:t>mg/</w:t>
                  </w:r>
                  <w:r>
                    <w:rPr>
                      <w:rFonts w:hint="eastAsia"/>
                      <w:b/>
                      <w:bCs w:val="0"/>
                      <w:color w:val="auto"/>
                    </w:rPr>
                    <w:t>m</w:t>
                  </w:r>
                  <w:r>
                    <w:rPr>
                      <w:rFonts w:hint="eastAsia"/>
                      <w:b/>
                      <w:bCs w:val="0"/>
                      <w:color w:val="auto"/>
                      <w:vertAlign w:val="superscript"/>
                    </w:rPr>
                    <w:t>3</w:t>
                  </w:r>
                  <w:r>
                    <w:rPr>
                      <w:rFonts w:hint="eastAsia"/>
                      <w:b/>
                      <w:bCs w:val="0"/>
                      <w:color w:val="auto"/>
                    </w:rPr>
                    <w:t>）</w:t>
                  </w:r>
                </w:p>
              </w:tc>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8C6957E">
                  <w:pPr>
                    <w:pStyle w:val="57"/>
                    <w:rPr>
                      <w:b/>
                      <w:bCs w:val="0"/>
                      <w:color w:val="auto"/>
                    </w:rPr>
                  </w:pPr>
                  <w:r>
                    <w:rPr>
                      <w:rFonts w:hint="eastAsia"/>
                      <w:b/>
                      <w:bCs w:val="0"/>
                      <w:color w:val="auto"/>
                    </w:rPr>
                    <w:t>速率</w:t>
                  </w:r>
                  <w:r>
                    <w:rPr>
                      <w:b/>
                      <w:bCs w:val="0"/>
                      <w:color w:val="auto"/>
                    </w:rPr>
                    <w:t>kg/h</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14:paraId="2EF2E1DA">
                  <w:pPr>
                    <w:pStyle w:val="57"/>
                    <w:rPr>
                      <w:b/>
                      <w:bCs w:val="0"/>
                      <w:color w:val="auto"/>
                    </w:rPr>
                  </w:pPr>
                  <w:r>
                    <w:rPr>
                      <w:rFonts w:hint="eastAsia"/>
                      <w:b/>
                      <w:bCs w:val="0"/>
                      <w:color w:val="auto"/>
                    </w:rPr>
                    <w:t>产生量（</w:t>
                  </w:r>
                  <w:r>
                    <w:rPr>
                      <w:b/>
                      <w:bCs w:val="0"/>
                      <w:color w:val="auto"/>
                    </w:rPr>
                    <w:t>t/a</w:t>
                  </w:r>
                  <w:r>
                    <w:rPr>
                      <w:rFonts w:hint="eastAsia"/>
                      <w:b/>
                      <w:bCs w:val="0"/>
                      <w:color w:val="auto"/>
                    </w:rPr>
                    <w:t>）</w:t>
                  </w:r>
                </w:p>
              </w:tc>
              <w:tc>
                <w:tcPr>
                  <w:tcW w:w="629" w:type="dxa"/>
                  <w:vMerge w:val="restart"/>
                  <w:tcBorders>
                    <w:top w:val="single" w:color="000000" w:sz="4" w:space="0"/>
                    <w:left w:val="single" w:color="000000" w:sz="4" w:space="0"/>
                    <w:bottom w:val="single" w:color="000000" w:sz="4" w:space="0"/>
                    <w:right w:val="single" w:color="000000" w:sz="4" w:space="0"/>
                  </w:tcBorders>
                  <w:vAlign w:val="center"/>
                </w:tcPr>
                <w:p w14:paraId="36634907">
                  <w:pPr>
                    <w:pStyle w:val="57"/>
                    <w:rPr>
                      <w:b/>
                      <w:bCs w:val="0"/>
                      <w:color w:val="auto"/>
                    </w:rPr>
                  </w:pPr>
                  <w:r>
                    <w:rPr>
                      <w:rFonts w:hint="eastAsia"/>
                      <w:b/>
                      <w:bCs w:val="0"/>
                      <w:color w:val="auto"/>
                    </w:rPr>
                    <w:t>工艺</w:t>
                  </w:r>
                </w:p>
              </w:tc>
              <w:tc>
                <w:tcPr>
                  <w:tcW w:w="890" w:type="dxa"/>
                  <w:vMerge w:val="restart"/>
                  <w:tcBorders>
                    <w:top w:val="single" w:color="000000" w:sz="4" w:space="0"/>
                    <w:left w:val="single" w:color="000000" w:sz="4" w:space="0"/>
                    <w:bottom w:val="single" w:color="000000" w:sz="4" w:space="0"/>
                    <w:right w:val="single" w:color="000000" w:sz="4" w:space="0"/>
                  </w:tcBorders>
                  <w:vAlign w:val="center"/>
                </w:tcPr>
                <w:p w14:paraId="3DEFD8C8">
                  <w:pPr>
                    <w:pStyle w:val="57"/>
                    <w:rPr>
                      <w:b/>
                      <w:bCs w:val="0"/>
                      <w:color w:val="auto"/>
                    </w:rPr>
                  </w:pPr>
                  <w:r>
                    <w:rPr>
                      <w:rFonts w:hint="eastAsia"/>
                      <w:b/>
                      <w:bCs w:val="0"/>
                      <w:color w:val="auto"/>
                    </w:rPr>
                    <w:t>效率</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1D295B59">
                  <w:pPr>
                    <w:pStyle w:val="57"/>
                    <w:rPr>
                      <w:b/>
                      <w:bCs w:val="0"/>
                      <w:color w:val="auto"/>
                    </w:rPr>
                  </w:pPr>
                  <w:r>
                    <w:rPr>
                      <w:rFonts w:hint="eastAsia"/>
                      <w:b/>
                      <w:bCs w:val="0"/>
                      <w:color w:val="auto"/>
                    </w:rPr>
                    <w:t>是否为可行技术</w:t>
                  </w:r>
                </w:p>
              </w:tc>
              <w:tc>
                <w:tcPr>
                  <w:tcW w:w="785" w:type="dxa"/>
                  <w:vMerge w:val="restart"/>
                  <w:tcBorders>
                    <w:top w:val="single" w:color="000000" w:sz="4" w:space="0"/>
                    <w:left w:val="single" w:color="000000" w:sz="4" w:space="0"/>
                    <w:bottom w:val="single" w:color="000000" w:sz="4" w:space="0"/>
                    <w:right w:val="single" w:color="000000" w:sz="4" w:space="0"/>
                  </w:tcBorders>
                  <w:vAlign w:val="center"/>
                </w:tcPr>
                <w:p w14:paraId="2415415A">
                  <w:pPr>
                    <w:pStyle w:val="57"/>
                    <w:rPr>
                      <w:b/>
                      <w:bCs w:val="0"/>
                      <w:color w:val="auto"/>
                    </w:rPr>
                  </w:pPr>
                  <w:r>
                    <w:rPr>
                      <w:rFonts w:hint="eastAsia"/>
                      <w:b/>
                      <w:bCs w:val="0"/>
                      <w:color w:val="auto"/>
                    </w:rPr>
                    <w:t>风量（m</w:t>
                  </w:r>
                  <w:r>
                    <w:rPr>
                      <w:rFonts w:hint="eastAsia"/>
                      <w:b/>
                      <w:bCs w:val="0"/>
                      <w:color w:val="auto"/>
                      <w:vertAlign w:val="superscript"/>
                    </w:rPr>
                    <w:t>3</w:t>
                  </w:r>
                  <w:r>
                    <w:rPr>
                      <w:b/>
                      <w:bCs w:val="0"/>
                      <w:color w:val="auto"/>
                    </w:rPr>
                    <w:t>/h</w:t>
                  </w:r>
                  <w:r>
                    <w:rPr>
                      <w:rFonts w:hint="eastAsia"/>
                      <w:b/>
                      <w:bCs w:val="0"/>
                      <w:color w:val="auto"/>
                    </w:rPr>
                    <w:t>）</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14:paraId="3E775AC0">
                  <w:pPr>
                    <w:pStyle w:val="57"/>
                    <w:rPr>
                      <w:b/>
                      <w:bCs w:val="0"/>
                      <w:color w:val="auto"/>
                    </w:rPr>
                  </w:pPr>
                  <w:r>
                    <w:rPr>
                      <w:rFonts w:hint="eastAsia"/>
                      <w:b/>
                      <w:bCs w:val="0"/>
                      <w:color w:val="auto"/>
                    </w:rPr>
                    <w:t>排放浓度（</w:t>
                  </w:r>
                  <w:r>
                    <w:rPr>
                      <w:b/>
                      <w:bCs w:val="0"/>
                      <w:color w:val="auto"/>
                    </w:rPr>
                    <w:t>mg/</w:t>
                  </w:r>
                  <w:r>
                    <w:rPr>
                      <w:rFonts w:hint="eastAsia"/>
                      <w:b/>
                      <w:bCs w:val="0"/>
                      <w:color w:val="auto"/>
                    </w:rPr>
                    <w:t>m</w:t>
                  </w:r>
                  <w:r>
                    <w:rPr>
                      <w:rFonts w:hint="eastAsia"/>
                      <w:b/>
                      <w:bCs w:val="0"/>
                      <w:color w:val="auto"/>
                      <w:vertAlign w:val="superscript"/>
                    </w:rPr>
                    <w:t>3</w:t>
                  </w:r>
                  <w:r>
                    <w:rPr>
                      <w:rFonts w:hint="eastAsia"/>
                      <w:b/>
                      <w:bCs w:val="0"/>
                      <w:color w:val="auto"/>
                    </w:rPr>
                    <w:t>）</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242F3E37">
                  <w:pPr>
                    <w:pStyle w:val="57"/>
                    <w:rPr>
                      <w:b/>
                      <w:bCs w:val="0"/>
                      <w:color w:val="auto"/>
                    </w:rPr>
                  </w:pPr>
                  <w:r>
                    <w:rPr>
                      <w:rFonts w:hint="eastAsia"/>
                      <w:b/>
                      <w:bCs w:val="0"/>
                      <w:color w:val="auto"/>
                    </w:rPr>
                    <w:t>速率</w:t>
                  </w:r>
                  <w:r>
                    <w:rPr>
                      <w:b/>
                      <w:bCs w:val="0"/>
                      <w:color w:val="auto"/>
                    </w:rPr>
                    <w:t>kg/h</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0BF84275">
                  <w:pPr>
                    <w:pStyle w:val="57"/>
                    <w:rPr>
                      <w:b/>
                      <w:bCs w:val="0"/>
                      <w:color w:val="auto"/>
                    </w:rPr>
                  </w:pPr>
                  <w:r>
                    <w:rPr>
                      <w:rFonts w:hint="eastAsia"/>
                      <w:b/>
                      <w:bCs w:val="0"/>
                      <w:color w:val="auto"/>
                    </w:rPr>
                    <w:t>排放量（</w:t>
                  </w:r>
                  <w:r>
                    <w:rPr>
                      <w:b/>
                      <w:bCs w:val="0"/>
                      <w:color w:val="auto"/>
                    </w:rPr>
                    <w:t>t/a</w:t>
                  </w:r>
                  <w:r>
                    <w:rPr>
                      <w:rFonts w:hint="eastAsia"/>
                      <w:b/>
                      <w:bCs w:val="0"/>
                      <w:color w:val="auto"/>
                    </w:rPr>
                    <w:t>）</w:t>
                  </w: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35C38D39">
                  <w:pPr>
                    <w:pStyle w:val="57"/>
                    <w:rPr>
                      <w:color w:val="auto"/>
                    </w:rPr>
                  </w:pPr>
                </w:p>
              </w:tc>
            </w:tr>
            <w:tr w14:paraId="371A78FE">
              <w:trPr>
                <w:trHeight w:val="27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14:paraId="199E0F1A">
                  <w:pPr>
                    <w:pStyle w:val="57"/>
                    <w:rPr>
                      <w:color w:val="auto"/>
                    </w:rPr>
                  </w:pP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25062ED2">
                  <w:pPr>
                    <w:pStyle w:val="57"/>
                    <w:rPr>
                      <w:color w:val="auto"/>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413B319">
                  <w:pPr>
                    <w:pStyle w:val="57"/>
                    <w:rPr>
                      <w:color w:val="auto"/>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14:paraId="7A02335F">
                  <w:pPr>
                    <w:pStyle w:val="57"/>
                    <w:rPr>
                      <w:color w:val="auto"/>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14:paraId="1311C19C">
                  <w:pPr>
                    <w:pStyle w:val="57"/>
                    <w:rPr>
                      <w:color w:val="auto"/>
                    </w:rPr>
                  </w:pPr>
                </w:p>
              </w:tc>
              <w:tc>
                <w:tcPr>
                  <w:tcW w:w="966" w:type="dxa"/>
                  <w:vMerge w:val="continue"/>
                  <w:tcBorders>
                    <w:top w:val="single" w:color="000000" w:sz="4" w:space="0"/>
                    <w:left w:val="single" w:color="000000" w:sz="4" w:space="0"/>
                    <w:bottom w:val="single" w:color="000000" w:sz="4" w:space="0"/>
                    <w:right w:val="single" w:color="000000" w:sz="4" w:space="0"/>
                  </w:tcBorders>
                  <w:vAlign w:val="center"/>
                </w:tcPr>
                <w:p w14:paraId="0DB396E6">
                  <w:pPr>
                    <w:pStyle w:val="57"/>
                    <w:rPr>
                      <w:color w:val="auto"/>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6399D55">
                  <w:pPr>
                    <w:pStyle w:val="57"/>
                    <w:rPr>
                      <w:color w:val="auto"/>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14:paraId="1B171F15">
                  <w:pPr>
                    <w:pStyle w:val="57"/>
                    <w:rPr>
                      <w:color w:val="auto"/>
                    </w:rPr>
                  </w:pPr>
                </w:p>
              </w:tc>
              <w:tc>
                <w:tcPr>
                  <w:tcW w:w="629" w:type="dxa"/>
                  <w:vMerge w:val="continue"/>
                  <w:tcBorders>
                    <w:top w:val="single" w:color="000000" w:sz="4" w:space="0"/>
                    <w:left w:val="single" w:color="000000" w:sz="4" w:space="0"/>
                    <w:bottom w:val="single" w:color="000000" w:sz="4" w:space="0"/>
                    <w:right w:val="single" w:color="000000" w:sz="4" w:space="0"/>
                  </w:tcBorders>
                  <w:vAlign w:val="center"/>
                </w:tcPr>
                <w:p w14:paraId="3E8E9A67">
                  <w:pPr>
                    <w:pStyle w:val="57"/>
                    <w:rPr>
                      <w:color w:val="auto"/>
                    </w:rPr>
                  </w:pPr>
                </w:p>
              </w:tc>
              <w:tc>
                <w:tcPr>
                  <w:tcW w:w="890" w:type="dxa"/>
                  <w:vMerge w:val="continue"/>
                  <w:tcBorders>
                    <w:top w:val="single" w:color="000000" w:sz="4" w:space="0"/>
                    <w:left w:val="single" w:color="000000" w:sz="4" w:space="0"/>
                    <w:bottom w:val="single" w:color="000000" w:sz="4" w:space="0"/>
                    <w:right w:val="single" w:color="000000" w:sz="4" w:space="0"/>
                  </w:tcBorders>
                  <w:vAlign w:val="center"/>
                </w:tcPr>
                <w:p w14:paraId="37226233">
                  <w:pPr>
                    <w:pStyle w:val="57"/>
                    <w:rPr>
                      <w:color w:val="auto"/>
                    </w:rPr>
                  </w:p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08444F91">
                  <w:pPr>
                    <w:pStyle w:val="57"/>
                    <w:rPr>
                      <w:color w:val="auto"/>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14:paraId="55D9009F">
                  <w:pPr>
                    <w:pStyle w:val="57"/>
                    <w:rPr>
                      <w:color w:val="auto"/>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14:paraId="170D17AA">
                  <w:pPr>
                    <w:pStyle w:val="57"/>
                    <w:rPr>
                      <w:color w:val="auto"/>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34B6857E">
                  <w:pPr>
                    <w:pStyle w:val="57"/>
                    <w:rPr>
                      <w:color w:val="auto"/>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174242E7">
                  <w:pPr>
                    <w:pStyle w:val="57"/>
                    <w:rPr>
                      <w:color w:val="auto"/>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46714097">
                  <w:pPr>
                    <w:pStyle w:val="57"/>
                    <w:rPr>
                      <w:color w:val="auto"/>
                    </w:rPr>
                  </w:pPr>
                </w:p>
              </w:tc>
            </w:tr>
            <w:tr w14:paraId="31807971">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14:paraId="38010734">
                  <w:pPr>
                    <w:pStyle w:val="57"/>
                    <w:rPr>
                      <w:rFonts w:hint="eastAsia"/>
                      <w:color w:val="auto"/>
                    </w:rPr>
                  </w:pPr>
                  <w:r>
                    <w:rPr>
                      <w:rFonts w:hint="eastAsia"/>
                      <w:color w:val="auto"/>
                    </w:rPr>
                    <w:t>有组织排放</w:t>
                  </w:r>
                </w:p>
              </w:tc>
              <w:tc>
                <w:tcPr>
                  <w:tcW w:w="1379" w:type="dxa"/>
                  <w:tcBorders>
                    <w:top w:val="single" w:color="000000" w:sz="4" w:space="0"/>
                    <w:left w:val="single" w:color="000000" w:sz="4" w:space="0"/>
                    <w:bottom w:val="single" w:color="000000" w:sz="4" w:space="0"/>
                    <w:right w:val="single" w:color="000000" w:sz="4" w:space="0"/>
                  </w:tcBorders>
                  <w:vAlign w:val="center"/>
                </w:tcPr>
                <w:p w14:paraId="45C0E7A4">
                  <w:pPr>
                    <w:pStyle w:val="57"/>
                    <w:rPr>
                      <w:rFonts w:hint="eastAsia"/>
                      <w:color w:val="auto"/>
                    </w:rPr>
                  </w:pPr>
                  <w:r>
                    <w:rPr>
                      <w:rFonts w:hint="eastAsia"/>
                      <w:color w:val="auto"/>
                    </w:rPr>
                    <w:t>注塑、热转印、印刷、烘干、注墨废气（DA001）</w:t>
                  </w:r>
                </w:p>
              </w:tc>
              <w:tc>
                <w:tcPr>
                  <w:tcW w:w="900" w:type="dxa"/>
                  <w:tcBorders>
                    <w:top w:val="single" w:color="000000" w:sz="4" w:space="0"/>
                    <w:left w:val="single" w:color="000000" w:sz="4" w:space="0"/>
                    <w:bottom w:val="single" w:color="000000" w:sz="4" w:space="0"/>
                    <w:right w:val="single" w:color="000000" w:sz="4" w:space="0"/>
                  </w:tcBorders>
                  <w:vAlign w:val="center"/>
                </w:tcPr>
                <w:p w14:paraId="2127E4A2">
                  <w:pPr>
                    <w:pStyle w:val="57"/>
                    <w:rPr>
                      <w:color w:val="auto"/>
                    </w:rPr>
                  </w:pPr>
                  <w:r>
                    <w:rPr>
                      <w:color w:val="auto"/>
                    </w:rPr>
                    <w:t>非甲烷总烃</w:t>
                  </w:r>
                </w:p>
              </w:tc>
              <w:tc>
                <w:tcPr>
                  <w:tcW w:w="868" w:type="dxa"/>
                  <w:tcBorders>
                    <w:top w:val="single" w:color="000000" w:sz="4" w:space="0"/>
                    <w:left w:val="single" w:color="000000" w:sz="4" w:space="0"/>
                    <w:bottom w:val="single" w:color="000000" w:sz="4" w:space="0"/>
                    <w:right w:val="single" w:color="000000" w:sz="4" w:space="0"/>
                  </w:tcBorders>
                  <w:vAlign w:val="center"/>
                </w:tcPr>
                <w:p w14:paraId="27F8ACA6">
                  <w:pPr>
                    <w:pStyle w:val="57"/>
                    <w:rPr>
                      <w:rFonts w:hint="eastAsia"/>
                      <w:color w:val="auto"/>
                    </w:rPr>
                  </w:pPr>
                  <w:r>
                    <w:rPr>
                      <w:rFonts w:hint="eastAsia"/>
                      <w:color w:val="auto"/>
                    </w:rPr>
                    <w:t>集气罩收集</w:t>
                  </w:r>
                </w:p>
              </w:tc>
              <w:tc>
                <w:tcPr>
                  <w:tcW w:w="857" w:type="dxa"/>
                  <w:tcBorders>
                    <w:top w:val="single" w:color="000000" w:sz="4" w:space="0"/>
                    <w:left w:val="single" w:color="000000" w:sz="4" w:space="0"/>
                    <w:bottom w:val="single" w:color="000000" w:sz="4" w:space="0"/>
                    <w:right w:val="single" w:color="000000" w:sz="4" w:space="0"/>
                  </w:tcBorders>
                  <w:vAlign w:val="center"/>
                </w:tcPr>
                <w:p w14:paraId="4374814A">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90%</w:t>
                  </w:r>
                </w:p>
              </w:tc>
              <w:tc>
                <w:tcPr>
                  <w:tcW w:w="966" w:type="dxa"/>
                  <w:tcBorders>
                    <w:top w:val="single" w:color="000000" w:sz="4" w:space="0"/>
                    <w:left w:val="single" w:color="000000" w:sz="4" w:space="0"/>
                    <w:bottom w:val="single" w:color="000000" w:sz="4" w:space="0"/>
                    <w:right w:val="single" w:color="000000" w:sz="4" w:space="0"/>
                  </w:tcBorders>
                  <w:vAlign w:val="center"/>
                </w:tcPr>
                <w:p w14:paraId="3EC5D694">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96</w:t>
                  </w:r>
                </w:p>
              </w:tc>
              <w:tc>
                <w:tcPr>
                  <w:tcW w:w="821" w:type="dxa"/>
                  <w:tcBorders>
                    <w:top w:val="single" w:color="000000" w:sz="4" w:space="0"/>
                    <w:left w:val="single" w:color="000000" w:sz="4" w:space="0"/>
                    <w:bottom w:val="single" w:color="000000" w:sz="4" w:space="0"/>
                    <w:right w:val="single" w:color="000000" w:sz="4" w:space="0"/>
                  </w:tcBorders>
                  <w:vAlign w:val="center"/>
                </w:tcPr>
                <w:p w14:paraId="527E71CA">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1.44</w:t>
                  </w:r>
                </w:p>
              </w:tc>
              <w:tc>
                <w:tcPr>
                  <w:tcW w:w="832" w:type="dxa"/>
                  <w:tcBorders>
                    <w:top w:val="single" w:color="000000" w:sz="4" w:space="0"/>
                    <w:left w:val="single" w:color="000000" w:sz="4" w:space="0"/>
                    <w:bottom w:val="single" w:color="000000" w:sz="4" w:space="0"/>
                    <w:right w:val="single" w:color="000000" w:sz="4" w:space="0"/>
                  </w:tcBorders>
                  <w:vAlign w:val="center"/>
                </w:tcPr>
                <w:p w14:paraId="65916BB7">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4.32</w:t>
                  </w:r>
                </w:p>
              </w:tc>
              <w:tc>
                <w:tcPr>
                  <w:tcW w:w="629" w:type="dxa"/>
                  <w:tcBorders>
                    <w:top w:val="single" w:color="000000" w:sz="4" w:space="0"/>
                    <w:left w:val="single" w:color="000000" w:sz="4" w:space="0"/>
                    <w:bottom w:val="single" w:color="000000" w:sz="4" w:space="0"/>
                    <w:right w:val="single" w:color="000000" w:sz="4" w:space="0"/>
                  </w:tcBorders>
                  <w:vAlign w:val="center"/>
                </w:tcPr>
                <w:p w14:paraId="173E7758">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二级活性炭</w:t>
                  </w:r>
                </w:p>
              </w:tc>
              <w:tc>
                <w:tcPr>
                  <w:tcW w:w="890" w:type="dxa"/>
                  <w:tcBorders>
                    <w:top w:val="single" w:color="000000" w:sz="4" w:space="0"/>
                    <w:left w:val="single" w:color="000000" w:sz="4" w:space="0"/>
                    <w:bottom w:val="single" w:color="000000" w:sz="4" w:space="0"/>
                    <w:right w:val="single" w:color="000000" w:sz="4" w:space="0"/>
                  </w:tcBorders>
                  <w:vAlign w:val="center"/>
                </w:tcPr>
                <w:p w14:paraId="44C0631F">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90%</w:t>
                  </w:r>
                </w:p>
              </w:tc>
              <w:tc>
                <w:tcPr>
                  <w:tcW w:w="853" w:type="dxa"/>
                  <w:tcBorders>
                    <w:top w:val="single" w:color="000000" w:sz="4" w:space="0"/>
                    <w:left w:val="single" w:color="000000" w:sz="4" w:space="0"/>
                    <w:bottom w:val="single" w:color="000000" w:sz="4" w:space="0"/>
                    <w:right w:val="single" w:color="000000" w:sz="4" w:space="0"/>
                  </w:tcBorders>
                  <w:vAlign w:val="center"/>
                </w:tcPr>
                <w:p w14:paraId="2F396888">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是</w:t>
                  </w:r>
                </w:p>
              </w:tc>
              <w:tc>
                <w:tcPr>
                  <w:tcW w:w="785" w:type="dxa"/>
                  <w:tcBorders>
                    <w:top w:val="single" w:color="000000" w:sz="4" w:space="0"/>
                    <w:left w:val="single" w:color="000000" w:sz="4" w:space="0"/>
                    <w:bottom w:val="single" w:color="000000" w:sz="4" w:space="0"/>
                    <w:right w:val="single" w:color="000000" w:sz="4" w:space="0"/>
                  </w:tcBorders>
                  <w:vAlign w:val="center"/>
                </w:tcPr>
                <w:p w14:paraId="5DC73216">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15000</w:t>
                  </w:r>
                </w:p>
              </w:tc>
              <w:tc>
                <w:tcPr>
                  <w:tcW w:w="933" w:type="dxa"/>
                  <w:tcBorders>
                    <w:top w:val="single" w:color="000000" w:sz="4" w:space="0"/>
                    <w:left w:val="single" w:color="000000" w:sz="4" w:space="0"/>
                    <w:bottom w:val="single" w:color="000000" w:sz="4" w:space="0"/>
                    <w:right w:val="single" w:color="000000" w:sz="4" w:space="0"/>
                  </w:tcBorders>
                  <w:vAlign w:val="center"/>
                </w:tcPr>
                <w:p w14:paraId="38BE79D3">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9.33</w:t>
                  </w:r>
                </w:p>
              </w:tc>
              <w:tc>
                <w:tcPr>
                  <w:tcW w:w="655" w:type="dxa"/>
                  <w:tcBorders>
                    <w:top w:val="single" w:color="000000" w:sz="4" w:space="0"/>
                    <w:left w:val="single" w:color="000000" w:sz="4" w:space="0"/>
                    <w:bottom w:val="single" w:color="000000" w:sz="4" w:space="0"/>
                    <w:right w:val="single" w:color="000000" w:sz="4" w:space="0"/>
                  </w:tcBorders>
                  <w:vAlign w:val="center"/>
                </w:tcPr>
                <w:p w14:paraId="071B1AE5">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0.14</w:t>
                  </w:r>
                </w:p>
              </w:tc>
              <w:tc>
                <w:tcPr>
                  <w:tcW w:w="655" w:type="dxa"/>
                  <w:tcBorders>
                    <w:top w:val="single" w:color="000000" w:sz="4" w:space="0"/>
                    <w:left w:val="single" w:color="000000" w:sz="4" w:space="0"/>
                    <w:bottom w:val="single" w:color="000000" w:sz="4" w:space="0"/>
                    <w:right w:val="single" w:color="000000" w:sz="4" w:space="0"/>
                  </w:tcBorders>
                  <w:vAlign w:val="center"/>
                </w:tcPr>
                <w:p w14:paraId="3E8FA1F9">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0.43</w:t>
                  </w:r>
                </w:p>
              </w:tc>
              <w:tc>
                <w:tcPr>
                  <w:tcW w:w="655" w:type="dxa"/>
                  <w:tcBorders>
                    <w:top w:val="single" w:color="000000" w:sz="4" w:space="0"/>
                    <w:left w:val="single" w:color="000000" w:sz="4" w:space="0"/>
                    <w:bottom w:val="single" w:color="000000" w:sz="4" w:space="0"/>
                    <w:right w:val="single" w:color="000000" w:sz="4" w:space="0"/>
                  </w:tcBorders>
                  <w:vAlign w:val="center"/>
                </w:tcPr>
                <w:p w14:paraId="59156258">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3000</w:t>
                  </w:r>
                </w:p>
              </w:tc>
            </w:tr>
            <w:tr w14:paraId="4FEDDA75">
              <w:tblPrEx>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14:paraId="096C531B">
                  <w:pPr>
                    <w:pStyle w:val="57"/>
                    <w:rPr>
                      <w:color w:val="auto"/>
                    </w:rPr>
                  </w:pPr>
                  <w:r>
                    <w:rPr>
                      <w:rFonts w:hint="eastAsia"/>
                      <w:color w:val="auto"/>
                    </w:rPr>
                    <w:t>无组织排放</w:t>
                  </w:r>
                </w:p>
              </w:tc>
              <w:tc>
                <w:tcPr>
                  <w:tcW w:w="1379" w:type="dxa"/>
                  <w:tcBorders>
                    <w:top w:val="single" w:color="000000" w:sz="4" w:space="0"/>
                    <w:left w:val="single" w:color="000000" w:sz="4" w:space="0"/>
                    <w:bottom w:val="single" w:color="000000" w:sz="4" w:space="0"/>
                    <w:right w:val="single" w:color="000000" w:sz="4" w:space="0"/>
                  </w:tcBorders>
                  <w:vAlign w:val="center"/>
                </w:tcPr>
                <w:p w14:paraId="0ABD4F95">
                  <w:pPr>
                    <w:pStyle w:val="57"/>
                    <w:rPr>
                      <w:rFonts w:hint="eastAsia"/>
                      <w:color w:val="auto"/>
                    </w:rPr>
                  </w:pPr>
                  <w:r>
                    <w:rPr>
                      <w:rFonts w:hint="eastAsia"/>
                      <w:color w:val="auto"/>
                    </w:rPr>
                    <w:t>注塑、热转印、印刷、烘干、注墨废气</w:t>
                  </w:r>
                </w:p>
              </w:tc>
              <w:tc>
                <w:tcPr>
                  <w:tcW w:w="900" w:type="dxa"/>
                  <w:tcBorders>
                    <w:top w:val="single" w:color="000000" w:sz="4" w:space="0"/>
                    <w:left w:val="single" w:color="000000" w:sz="4" w:space="0"/>
                    <w:bottom w:val="single" w:color="000000" w:sz="4" w:space="0"/>
                    <w:right w:val="single" w:color="000000" w:sz="4" w:space="0"/>
                  </w:tcBorders>
                  <w:vAlign w:val="center"/>
                </w:tcPr>
                <w:p w14:paraId="64F5F95E">
                  <w:pPr>
                    <w:pStyle w:val="57"/>
                    <w:rPr>
                      <w:color w:val="auto"/>
                    </w:rPr>
                  </w:pPr>
                  <w:r>
                    <w:rPr>
                      <w:color w:val="auto"/>
                    </w:rPr>
                    <w:t>非甲烷总烃</w:t>
                  </w:r>
                </w:p>
              </w:tc>
              <w:tc>
                <w:tcPr>
                  <w:tcW w:w="868" w:type="dxa"/>
                  <w:tcBorders>
                    <w:top w:val="single" w:color="000000" w:sz="4" w:space="0"/>
                    <w:left w:val="single" w:color="000000" w:sz="4" w:space="0"/>
                    <w:bottom w:val="single" w:color="000000" w:sz="4" w:space="0"/>
                    <w:right w:val="single" w:color="000000" w:sz="4" w:space="0"/>
                  </w:tcBorders>
                  <w:vAlign w:val="center"/>
                </w:tcPr>
                <w:p w14:paraId="0F8CBA18">
                  <w:pPr>
                    <w:pStyle w:val="57"/>
                    <w:rPr>
                      <w:color w:val="auto"/>
                    </w:rPr>
                  </w:pPr>
                  <w:r>
                    <w:rPr>
                      <w:color w:val="auto"/>
                    </w:rPr>
                    <w:t>\</w:t>
                  </w:r>
                </w:p>
              </w:tc>
              <w:tc>
                <w:tcPr>
                  <w:tcW w:w="857" w:type="dxa"/>
                  <w:tcBorders>
                    <w:top w:val="single" w:color="000000" w:sz="4" w:space="0"/>
                    <w:left w:val="single" w:color="000000" w:sz="4" w:space="0"/>
                    <w:bottom w:val="single" w:color="000000" w:sz="4" w:space="0"/>
                    <w:right w:val="single" w:color="000000" w:sz="4" w:space="0"/>
                  </w:tcBorders>
                  <w:vAlign w:val="center"/>
                </w:tcPr>
                <w:p w14:paraId="5824A3B2">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966" w:type="dxa"/>
                  <w:tcBorders>
                    <w:top w:val="single" w:color="000000" w:sz="4" w:space="0"/>
                    <w:left w:val="single" w:color="000000" w:sz="4" w:space="0"/>
                    <w:bottom w:val="single" w:color="000000" w:sz="4" w:space="0"/>
                    <w:right w:val="single" w:color="000000" w:sz="4" w:space="0"/>
                  </w:tcBorders>
                  <w:vAlign w:val="center"/>
                </w:tcPr>
                <w:p w14:paraId="475DFAC9">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821" w:type="dxa"/>
                  <w:tcBorders>
                    <w:top w:val="single" w:color="000000" w:sz="4" w:space="0"/>
                    <w:left w:val="single" w:color="000000" w:sz="4" w:space="0"/>
                    <w:bottom w:val="single" w:color="000000" w:sz="4" w:space="0"/>
                    <w:right w:val="single" w:color="000000" w:sz="4" w:space="0"/>
                  </w:tcBorders>
                  <w:vAlign w:val="center"/>
                </w:tcPr>
                <w:p w14:paraId="2AC7D19C">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0.16</w:t>
                  </w:r>
                </w:p>
              </w:tc>
              <w:tc>
                <w:tcPr>
                  <w:tcW w:w="832" w:type="dxa"/>
                  <w:tcBorders>
                    <w:top w:val="single" w:color="000000" w:sz="4" w:space="0"/>
                    <w:left w:val="single" w:color="000000" w:sz="4" w:space="0"/>
                    <w:bottom w:val="single" w:color="000000" w:sz="4" w:space="0"/>
                    <w:right w:val="single" w:color="000000" w:sz="4" w:space="0"/>
                  </w:tcBorders>
                  <w:vAlign w:val="center"/>
                </w:tcPr>
                <w:p w14:paraId="50DD09AA">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0.48</w:t>
                  </w:r>
                </w:p>
              </w:tc>
              <w:tc>
                <w:tcPr>
                  <w:tcW w:w="629" w:type="dxa"/>
                  <w:tcBorders>
                    <w:top w:val="single" w:color="000000" w:sz="4" w:space="0"/>
                    <w:left w:val="single" w:color="000000" w:sz="4" w:space="0"/>
                    <w:bottom w:val="single" w:color="000000" w:sz="4" w:space="0"/>
                    <w:right w:val="single" w:color="000000" w:sz="4" w:space="0"/>
                  </w:tcBorders>
                  <w:vAlign w:val="center"/>
                </w:tcPr>
                <w:p w14:paraId="53DA621C">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890" w:type="dxa"/>
                  <w:tcBorders>
                    <w:top w:val="single" w:color="000000" w:sz="4" w:space="0"/>
                    <w:left w:val="single" w:color="000000" w:sz="4" w:space="0"/>
                    <w:bottom w:val="single" w:color="000000" w:sz="4" w:space="0"/>
                    <w:right w:val="single" w:color="000000" w:sz="4" w:space="0"/>
                  </w:tcBorders>
                  <w:vAlign w:val="center"/>
                </w:tcPr>
                <w:p w14:paraId="0547F67E">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853" w:type="dxa"/>
                  <w:tcBorders>
                    <w:top w:val="single" w:color="000000" w:sz="4" w:space="0"/>
                    <w:left w:val="single" w:color="000000" w:sz="4" w:space="0"/>
                    <w:bottom w:val="single" w:color="000000" w:sz="4" w:space="0"/>
                    <w:right w:val="single" w:color="000000" w:sz="4" w:space="0"/>
                  </w:tcBorders>
                  <w:vAlign w:val="center"/>
                </w:tcPr>
                <w:p w14:paraId="57DAA806">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785" w:type="dxa"/>
                  <w:tcBorders>
                    <w:top w:val="single" w:color="000000" w:sz="4" w:space="0"/>
                    <w:left w:val="single" w:color="000000" w:sz="4" w:space="0"/>
                    <w:bottom w:val="single" w:color="000000" w:sz="4" w:space="0"/>
                    <w:right w:val="single" w:color="000000" w:sz="4" w:space="0"/>
                  </w:tcBorders>
                  <w:vAlign w:val="center"/>
                </w:tcPr>
                <w:p w14:paraId="049ECC7D">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933" w:type="dxa"/>
                  <w:tcBorders>
                    <w:top w:val="single" w:color="000000" w:sz="4" w:space="0"/>
                    <w:left w:val="single" w:color="000000" w:sz="4" w:space="0"/>
                    <w:bottom w:val="single" w:color="000000" w:sz="4" w:space="0"/>
                    <w:right w:val="single" w:color="000000" w:sz="4" w:space="0"/>
                  </w:tcBorders>
                  <w:vAlign w:val="center"/>
                </w:tcPr>
                <w:p w14:paraId="3123CE59">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w:t>
                  </w:r>
                </w:p>
              </w:tc>
              <w:tc>
                <w:tcPr>
                  <w:tcW w:w="655" w:type="dxa"/>
                  <w:tcBorders>
                    <w:top w:val="single" w:color="000000" w:sz="4" w:space="0"/>
                    <w:left w:val="single" w:color="000000" w:sz="4" w:space="0"/>
                    <w:bottom w:val="single" w:color="000000" w:sz="4" w:space="0"/>
                    <w:right w:val="single" w:color="000000" w:sz="4" w:space="0"/>
                  </w:tcBorders>
                  <w:vAlign w:val="center"/>
                </w:tcPr>
                <w:p w14:paraId="74E824CA">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0.16</w:t>
                  </w:r>
                </w:p>
              </w:tc>
              <w:tc>
                <w:tcPr>
                  <w:tcW w:w="655" w:type="dxa"/>
                  <w:tcBorders>
                    <w:top w:val="single" w:color="000000" w:sz="4" w:space="0"/>
                    <w:left w:val="single" w:color="000000" w:sz="4" w:space="0"/>
                    <w:bottom w:val="single" w:color="000000" w:sz="4" w:space="0"/>
                    <w:right w:val="single" w:color="000000" w:sz="4" w:space="0"/>
                  </w:tcBorders>
                  <w:vAlign w:val="center"/>
                </w:tcPr>
                <w:p w14:paraId="6C2695AE">
                  <w:pPr>
                    <w:pStyle w:val="5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0.48</w:t>
                  </w:r>
                </w:p>
              </w:tc>
              <w:tc>
                <w:tcPr>
                  <w:tcW w:w="655" w:type="dxa"/>
                  <w:tcBorders>
                    <w:top w:val="single" w:color="000000" w:sz="4" w:space="0"/>
                    <w:left w:val="single" w:color="000000" w:sz="4" w:space="0"/>
                    <w:bottom w:val="single" w:color="000000" w:sz="4" w:space="0"/>
                    <w:right w:val="single" w:color="000000" w:sz="4" w:space="0"/>
                  </w:tcBorders>
                  <w:vAlign w:val="center"/>
                </w:tcPr>
                <w:p w14:paraId="3CDF2DDD">
                  <w:pPr>
                    <w:pStyle w:val="57"/>
                    <w:rPr>
                      <w:rFonts w:hint="eastAsia" w:ascii="Times New Roman" w:hAnsi="Times New Roman" w:eastAsia="宋体" w:cs="Times New Roman"/>
                      <w:color w:val="auto"/>
                    </w:rPr>
                  </w:pPr>
                  <w:r>
                    <w:rPr>
                      <w:rFonts w:hint="eastAsia" w:ascii="Times New Roman" w:hAnsi="Times New Roman" w:eastAsia="宋体" w:cs="Times New Roman"/>
                      <w:color w:val="auto"/>
                    </w:rPr>
                    <w:t>3000</w:t>
                  </w:r>
                </w:p>
              </w:tc>
            </w:tr>
          </w:tbl>
          <w:p w14:paraId="418D7796">
            <w:pPr>
              <w:pStyle w:val="58"/>
              <w:ind w:firstLine="422"/>
              <w:rPr>
                <w:color w:val="auto"/>
              </w:rPr>
            </w:pPr>
          </w:p>
          <w:p w14:paraId="23279D9E">
            <w:pPr>
              <w:pStyle w:val="58"/>
              <w:ind w:firstLine="422"/>
              <w:rPr>
                <w:color w:val="auto"/>
              </w:rPr>
            </w:pPr>
            <w:r>
              <w:rPr>
                <w:color w:val="auto"/>
              </w:rPr>
              <w:t>表4</w:t>
            </w:r>
            <w:r>
              <w:rPr>
                <w:rFonts w:hint="eastAsia"/>
                <w:color w:val="auto"/>
              </w:rPr>
              <w:t>-</w:t>
            </w:r>
            <w:r>
              <w:rPr>
                <w:rFonts w:hint="eastAsia"/>
                <w:color w:val="auto"/>
                <w:lang w:val="en-US" w:eastAsia="zh-CN"/>
              </w:rPr>
              <w:t>4</w:t>
            </w:r>
            <w:r>
              <w:rPr>
                <w:color w:val="auto"/>
              </w:rPr>
              <w:t>废气产排污节点、污染物及污染物治理设施信息表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47"/>
              <w:gridCol w:w="806"/>
              <w:gridCol w:w="1121"/>
              <w:gridCol w:w="923"/>
              <w:gridCol w:w="1167"/>
              <w:gridCol w:w="801"/>
              <w:gridCol w:w="901"/>
              <w:gridCol w:w="1134"/>
              <w:gridCol w:w="1042"/>
              <w:gridCol w:w="906"/>
              <w:gridCol w:w="840"/>
              <w:gridCol w:w="973"/>
              <w:gridCol w:w="886"/>
              <w:gridCol w:w="675"/>
            </w:tblGrid>
            <w:tr w14:paraId="0EC1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 w:type="pct"/>
                  <w:vMerge w:val="restart"/>
                  <w:tcBorders>
                    <w:tl2br w:val="nil"/>
                    <w:tr2bl w:val="nil"/>
                  </w:tcBorders>
                  <w:vAlign w:val="center"/>
                </w:tcPr>
                <w:p w14:paraId="280F6487">
                  <w:pPr>
                    <w:pStyle w:val="57"/>
                    <w:rPr>
                      <w:b/>
                      <w:bCs w:val="0"/>
                      <w:color w:val="auto"/>
                    </w:rPr>
                  </w:pPr>
                  <w:r>
                    <w:rPr>
                      <w:b/>
                      <w:bCs w:val="0"/>
                      <w:color w:val="auto"/>
                    </w:rPr>
                    <w:t>序号</w:t>
                  </w:r>
                </w:p>
              </w:tc>
              <w:tc>
                <w:tcPr>
                  <w:tcW w:w="349" w:type="pct"/>
                  <w:vMerge w:val="restart"/>
                  <w:tcBorders>
                    <w:tl2br w:val="nil"/>
                    <w:tr2bl w:val="nil"/>
                  </w:tcBorders>
                  <w:vAlign w:val="center"/>
                </w:tcPr>
                <w:p w14:paraId="65EEDD4B">
                  <w:pPr>
                    <w:pStyle w:val="57"/>
                    <w:rPr>
                      <w:b/>
                      <w:bCs w:val="0"/>
                      <w:color w:val="auto"/>
                    </w:rPr>
                  </w:pPr>
                  <w:r>
                    <w:rPr>
                      <w:b/>
                      <w:bCs w:val="0"/>
                      <w:color w:val="auto"/>
                    </w:rPr>
                    <w:t>主要生产单元名称</w:t>
                  </w:r>
                </w:p>
              </w:tc>
              <w:tc>
                <w:tcPr>
                  <w:tcW w:w="297" w:type="pct"/>
                  <w:vMerge w:val="restart"/>
                  <w:tcBorders>
                    <w:tl2br w:val="nil"/>
                    <w:tr2bl w:val="nil"/>
                  </w:tcBorders>
                  <w:vAlign w:val="center"/>
                </w:tcPr>
                <w:p w14:paraId="3088A4AE">
                  <w:pPr>
                    <w:pStyle w:val="57"/>
                    <w:rPr>
                      <w:b/>
                      <w:bCs w:val="0"/>
                      <w:color w:val="auto"/>
                    </w:rPr>
                  </w:pPr>
                  <w:r>
                    <w:rPr>
                      <w:b/>
                      <w:bCs w:val="0"/>
                      <w:color w:val="auto"/>
                    </w:rPr>
                    <w:t>生产设施编号</w:t>
                  </w:r>
                </w:p>
              </w:tc>
              <w:tc>
                <w:tcPr>
                  <w:tcW w:w="413" w:type="pct"/>
                  <w:vMerge w:val="restart"/>
                  <w:tcBorders>
                    <w:tl2br w:val="nil"/>
                    <w:tr2bl w:val="nil"/>
                  </w:tcBorders>
                  <w:vAlign w:val="center"/>
                </w:tcPr>
                <w:p w14:paraId="6F0230CF">
                  <w:pPr>
                    <w:pStyle w:val="57"/>
                    <w:rPr>
                      <w:b/>
                      <w:bCs w:val="0"/>
                      <w:color w:val="auto"/>
                    </w:rPr>
                  </w:pPr>
                  <w:r>
                    <w:rPr>
                      <w:b/>
                      <w:bCs w:val="0"/>
                      <w:color w:val="auto"/>
                    </w:rPr>
                    <w:t>生产设施名称</w:t>
                  </w:r>
                </w:p>
              </w:tc>
              <w:tc>
                <w:tcPr>
                  <w:tcW w:w="340" w:type="pct"/>
                  <w:vMerge w:val="restart"/>
                  <w:tcBorders>
                    <w:tl2br w:val="nil"/>
                    <w:tr2bl w:val="nil"/>
                  </w:tcBorders>
                  <w:vAlign w:val="center"/>
                </w:tcPr>
                <w:p w14:paraId="4E6C7E99">
                  <w:pPr>
                    <w:pStyle w:val="57"/>
                    <w:rPr>
                      <w:b/>
                      <w:bCs w:val="0"/>
                      <w:color w:val="auto"/>
                    </w:rPr>
                  </w:pPr>
                  <w:r>
                    <w:rPr>
                      <w:b/>
                      <w:bCs w:val="0"/>
                      <w:color w:val="auto"/>
                    </w:rPr>
                    <w:t>对应产污环节名称</w:t>
                  </w:r>
                </w:p>
              </w:tc>
              <w:tc>
                <w:tcPr>
                  <w:tcW w:w="429" w:type="pct"/>
                  <w:vMerge w:val="restart"/>
                  <w:tcBorders>
                    <w:tl2br w:val="nil"/>
                    <w:tr2bl w:val="nil"/>
                  </w:tcBorders>
                  <w:vAlign w:val="center"/>
                </w:tcPr>
                <w:p w14:paraId="235FDE1D">
                  <w:pPr>
                    <w:pStyle w:val="57"/>
                    <w:rPr>
                      <w:b/>
                      <w:bCs w:val="0"/>
                      <w:color w:val="auto"/>
                    </w:rPr>
                  </w:pPr>
                  <w:r>
                    <w:rPr>
                      <w:b/>
                      <w:bCs w:val="0"/>
                      <w:color w:val="auto"/>
                    </w:rPr>
                    <w:t>污染物</w:t>
                  </w:r>
                </w:p>
                <w:p w14:paraId="606B5002">
                  <w:pPr>
                    <w:pStyle w:val="57"/>
                    <w:rPr>
                      <w:b/>
                      <w:bCs w:val="0"/>
                      <w:color w:val="auto"/>
                    </w:rPr>
                  </w:pPr>
                  <w:r>
                    <w:rPr>
                      <w:b/>
                      <w:bCs w:val="0"/>
                      <w:color w:val="auto"/>
                    </w:rPr>
                    <w:t>种类</w:t>
                  </w:r>
                </w:p>
              </w:tc>
              <w:tc>
                <w:tcPr>
                  <w:tcW w:w="295" w:type="pct"/>
                  <w:vMerge w:val="restart"/>
                  <w:tcBorders>
                    <w:tl2br w:val="nil"/>
                    <w:tr2bl w:val="nil"/>
                  </w:tcBorders>
                  <w:vAlign w:val="center"/>
                </w:tcPr>
                <w:p w14:paraId="1E11B247">
                  <w:pPr>
                    <w:pStyle w:val="57"/>
                    <w:rPr>
                      <w:b/>
                      <w:bCs w:val="0"/>
                      <w:color w:val="auto"/>
                    </w:rPr>
                  </w:pPr>
                  <w:r>
                    <w:rPr>
                      <w:b/>
                      <w:bCs w:val="0"/>
                      <w:color w:val="auto"/>
                    </w:rPr>
                    <w:t>排放形式</w:t>
                  </w:r>
                </w:p>
              </w:tc>
              <w:tc>
                <w:tcPr>
                  <w:tcW w:w="1467" w:type="pct"/>
                  <w:gridSpan w:val="4"/>
                  <w:tcBorders>
                    <w:tl2br w:val="nil"/>
                    <w:tr2bl w:val="nil"/>
                  </w:tcBorders>
                  <w:vAlign w:val="center"/>
                </w:tcPr>
                <w:p w14:paraId="289864CC">
                  <w:pPr>
                    <w:pStyle w:val="57"/>
                    <w:rPr>
                      <w:b/>
                      <w:bCs w:val="0"/>
                      <w:color w:val="auto"/>
                    </w:rPr>
                  </w:pPr>
                  <w:r>
                    <w:rPr>
                      <w:b/>
                      <w:bCs w:val="0"/>
                      <w:color w:val="auto"/>
                    </w:rPr>
                    <w:t>设施参数</w:t>
                  </w:r>
                </w:p>
              </w:tc>
              <w:tc>
                <w:tcPr>
                  <w:tcW w:w="310" w:type="pct"/>
                  <w:vMerge w:val="restart"/>
                  <w:tcBorders>
                    <w:tl2br w:val="nil"/>
                    <w:tr2bl w:val="nil"/>
                  </w:tcBorders>
                  <w:vAlign w:val="center"/>
                </w:tcPr>
                <w:p w14:paraId="2EE3E481">
                  <w:pPr>
                    <w:pStyle w:val="57"/>
                    <w:rPr>
                      <w:b/>
                      <w:bCs w:val="0"/>
                      <w:color w:val="auto"/>
                    </w:rPr>
                  </w:pPr>
                  <w:r>
                    <w:rPr>
                      <w:b/>
                      <w:bCs w:val="0"/>
                      <w:color w:val="auto"/>
                    </w:rPr>
                    <w:t>有组织排放口编号</w:t>
                  </w:r>
                </w:p>
              </w:tc>
              <w:tc>
                <w:tcPr>
                  <w:tcW w:w="359" w:type="pct"/>
                  <w:vMerge w:val="restart"/>
                  <w:tcBorders>
                    <w:tl2br w:val="nil"/>
                    <w:tr2bl w:val="nil"/>
                  </w:tcBorders>
                  <w:vAlign w:val="center"/>
                </w:tcPr>
                <w:p w14:paraId="20D1C181">
                  <w:pPr>
                    <w:pStyle w:val="57"/>
                    <w:rPr>
                      <w:b/>
                      <w:bCs w:val="0"/>
                      <w:color w:val="auto"/>
                    </w:rPr>
                  </w:pPr>
                  <w:r>
                    <w:rPr>
                      <w:b/>
                      <w:bCs w:val="0"/>
                      <w:color w:val="auto"/>
                    </w:rPr>
                    <w:t>有组织排放口名称</w:t>
                  </w:r>
                </w:p>
              </w:tc>
              <w:tc>
                <w:tcPr>
                  <w:tcW w:w="327" w:type="pct"/>
                  <w:vMerge w:val="restart"/>
                  <w:tcBorders>
                    <w:tl2br w:val="nil"/>
                    <w:tr2bl w:val="nil"/>
                  </w:tcBorders>
                  <w:vAlign w:val="center"/>
                </w:tcPr>
                <w:p w14:paraId="1A403863">
                  <w:pPr>
                    <w:pStyle w:val="57"/>
                    <w:rPr>
                      <w:b/>
                      <w:bCs w:val="0"/>
                      <w:color w:val="auto"/>
                    </w:rPr>
                  </w:pPr>
                  <w:r>
                    <w:rPr>
                      <w:b/>
                      <w:bCs w:val="0"/>
                      <w:color w:val="auto"/>
                    </w:rPr>
                    <w:t>排放口设置是否符合要求</w:t>
                  </w:r>
                </w:p>
              </w:tc>
              <w:tc>
                <w:tcPr>
                  <w:tcW w:w="249" w:type="pct"/>
                  <w:vMerge w:val="restart"/>
                  <w:tcBorders>
                    <w:tl2br w:val="nil"/>
                    <w:tr2bl w:val="nil"/>
                  </w:tcBorders>
                  <w:vAlign w:val="center"/>
                </w:tcPr>
                <w:p w14:paraId="072F1DE1">
                  <w:pPr>
                    <w:pStyle w:val="57"/>
                    <w:rPr>
                      <w:b/>
                      <w:bCs w:val="0"/>
                      <w:color w:val="auto"/>
                    </w:rPr>
                  </w:pPr>
                  <w:r>
                    <w:rPr>
                      <w:b/>
                      <w:bCs w:val="0"/>
                      <w:color w:val="auto"/>
                    </w:rPr>
                    <w:t>排放口类型</w:t>
                  </w:r>
                </w:p>
              </w:tc>
            </w:tr>
            <w:tr w14:paraId="4B0E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 w:type="pct"/>
                  <w:vMerge w:val="continue"/>
                  <w:tcBorders>
                    <w:tl2br w:val="nil"/>
                    <w:tr2bl w:val="nil"/>
                  </w:tcBorders>
                  <w:vAlign w:val="center"/>
                </w:tcPr>
                <w:p w14:paraId="4D5E3F1D">
                  <w:pPr>
                    <w:pStyle w:val="57"/>
                    <w:rPr>
                      <w:color w:val="auto"/>
                    </w:rPr>
                  </w:pPr>
                </w:p>
              </w:tc>
              <w:tc>
                <w:tcPr>
                  <w:tcW w:w="349" w:type="pct"/>
                  <w:vMerge w:val="continue"/>
                  <w:tcBorders>
                    <w:tl2br w:val="nil"/>
                    <w:tr2bl w:val="nil"/>
                  </w:tcBorders>
                  <w:vAlign w:val="center"/>
                </w:tcPr>
                <w:p w14:paraId="72884E71">
                  <w:pPr>
                    <w:pStyle w:val="57"/>
                    <w:rPr>
                      <w:color w:val="auto"/>
                    </w:rPr>
                  </w:pPr>
                </w:p>
              </w:tc>
              <w:tc>
                <w:tcPr>
                  <w:tcW w:w="297" w:type="pct"/>
                  <w:vMerge w:val="continue"/>
                  <w:tcBorders>
                    <w:tl2br w:val="nil"/>
                    <w:tr2bl w:val="nil"/>
                  </w:tcBorders>
                  <w:vAlign w:val="center"/>
                </w:tcPr>
                <w:p w14:paraId="046ECE55">
                  <w:pPr>
                    <w:pStyle w:val="57"/>
                    <w:rPr>
                      <w:color w:val="auto"/>
                    </w:rPr>
                  </w:pPr>
                </w:p>
              </w:tc>
              <w:tc>
                <w:tcPr>
                  <w:tcW w:w="413" w:type="pct"/>
                  <w:vMerge w:val="continue"/>
                  <w:tcBorders>
                    <w:tl2br w:val="nil"/>
                    <w:tr2bl w:val="nil"/>
                  </w:tcBorders>
                  <w:vAlign w:val="center"/>
                </w:tcPr>
                <w:p w14:paraId="6653180A">
                  <w:pPr>
                    <w:pStyle w:val="57"/>
                    <w:rPr>
                      <w:color w:val="auto"/>
                    </w:rPr>
                  </w:pPr>
                </w:p>
              </w:tc>
              <w:tc>
                <w:tcPr>
                  <w:tcW w:w="340" w:type="pct"/>
                  <w:vMerge w:val="continue"/>
                  <w:tcBorders>
                    <w:tl2br w:val="nil"/>
                    <w:tr2bl w:val="nil"/>
                  </w:tcBorders>
                  <w:vAlign w:val="center"/>
                </w:tcPr>
                <w:p w14:paraId="0BA80CC4">
                  <w:pPr>
                    <w:pStyle w:val="57"/>
                    <w:rPr>
                      <w:color w:val="auto"/>
                    </w:rPr>
                  </w:pPr>
                </w:p>
              </w:tc>
              <w:tc>
                <w:tcPr>
                  <w:tcW w:w="429" w:type="pct"/>
                  <w:vMerge w:val="continue"/>
                  <w:tcBorders>
                    <w:tl2br w:val="nil"/>
                    <w:tr2bl w:val="nil"/>
                  </w:tcBorders>
                  <w:vAlign w:val="center"/>
                </w:tcPr>
                <w:p w14:paraId="7ABBDFB9">
                  <w:pPr>
                    <w:pStyle w:val="57"/>
                    <w:rPr>
                      <w:color w:val="auto"/>
                    </w:rPr>
                  </w:pPr>
                </w:p>
              </w:tc>
              <w:tc>
                <w:tcPr>
                  <w:tcW w:w="295" w:type="pct"/>
                  <w:vMerge w:val="continue"/>
                  <w:tcBorders>
                    <w:tl2br w:val="nil"/>
                    <w:tr2bl w:val="nil"/>
                  </w:tcBorders>
                  <w:vAlign w:val="center"/>
                </w:tcPr>
                <w:p w14:paraId="2C575019">
                  <w:pPr>
                    <w:pStyle w:val="57"/>
                    <w:rPr>
                      <w:color w:val="auto"/>
                    </w:rPr>
                  </w:pPr>
                </w:p>
              </w:tc>
              <w:tc>
                <w:tcPr>
                  <w:tcW w:w="332" w:type="pct"/>
                  <w:tcBorders>
                    <w:tl2br w:val="nil"/>
                    <w:tr2bl w:val="nil"/>
                  </w:tcBorders>
                  <w:vAlign w:val="center"/>
                </w:tcPr>
                <w:p w14:paraId="3CBF9251">
                  <w:pPr>
                    <w:pStyle w:val="57"/>
                    <w:rPr>
                      <w:b/>
                      <w:bCs w:val="0"/>
                      <w:color w:val="auto"/>
                    </w:rPr>
                  </w:pPr>
                  <w:r>
                    <w:rPr>
                      <w:b/>
                      <w:bCs w:val="0"/>
                      <w:color w:val="auto"/>
                    </w:rPr>
                    <w:t>污染治理设施编号</w:t>
                  </w:r>
                </w:p>
              </w:tc>
              <w:tc>
                <w:tcPr>
                  <w:tcW w:w="417" w:type="pct"/>
                  <w:tcBorders>
                    <w:tl2br w:val="nil"/>
                    <w:tr2bl w:val="nil"/>
                  </w:tcBorders>
                  <w:vAlign w:val="center"/>
                </w:tcPr>
                <w:p w14:paraId="55541A41">
                  <w:pPr>
                    <w:pStyle w:val="57"/>
                    <w:rPr>
                      <w:b/>
                      <w:bCs w:val="0"/>
                      <w:color w:val="auto"/>
                    </w:rPr>
                  </w:pPr>
                  <w:r>
                    <w:rPr>
                      <w:b/>
                      <w:bCs w:val="0"/>
                      <w:color w:val="auto"/>
                    </w:rPr>
                    <w:t>污染治理设施名称</w:t>
                  </w:r>
                </w:p>
              </w:tc>
              <w:tc>
                <w:tcPr>
                  <w:tcW w:w="384" w:type="pct"/>
                  <w:tcBorders>
                    <w:tl2br w:val="nil"/>
                    <w:tr2bl w:val="nil"/>
                  </w:tcBorders>
                  <w:vAlign w:val="center"/>
                </w:tcPr>
                <w:p w14:paraId="74883B41">
                  <w:pPr>
                    <w:pStyle w:val="57"/>
                    <w:rPr>
                      <w:b/>
                      <w:bCs w:val="0"/>
                      <w:color w:val="auto"/>
                    </w:rPr>
                  </w:pPr>
                  <w:r>
                    <w:rPr>
                      <w:b/>
                      <w:bCs w:val="0"/>
                      <w:color w:val="auto"/>
                    </w:rPr>
                    <w:t>污染治理设施工艺</w:t>
                  </w:r>
                </w:p>
              </w:tc>
              <w:tc>
                <w:tcPr>
                  <w:tcW w:w="333" w:type="pct"/>
                  <w:tcBorders>
                    <w:tl2br w:val="nil"/>
                    <w:tr2bl w:val="nil"/>
                  </w:tcBorders>
                  <w:vAlign w:val="center"/>
                </w:tcPr>
                <w:p w14:paraId="7CA69C16">
                  <w:pPr>
                    <w:pStyle w:val="57"/>
                    <w:rPr>
                      <w:b/>
                      <w:bCs w:val="0"/>
                      <w:color w:val="auto"/>
                    </w:rPr>
                  </w:pPr>
                  <w:r>
                    <w:rPr>
                      <w:b/>
                      <w:bCs w:val="0"/>
                      <w:color w:val="auto"/>
                    </w:rPr>
                    <w:t>是否为可行技术</w:t>
                  </w:r>
                </w:p>
              </w:tc>
              <w:tc>
                <w:tcPr>
                  <w:tcW w:w="310" w:type="pct"/>
                  <w:vMerge w:val="continue"/>
                  <w:tcBorders>
                    <w:tl2br w:val="nil"/>
                    <w:tr2bl w:val="nil"/>
                  </w:tcBorders>
                  <w:vAlign w:val="center"/>
                </w:tcPr>
                <w:p w14:paraId="2212C532">
                  <w:pPr>
                    <w:pStyle w:val="57"/>
                    <w:rPr>
                      <w:color w:val="auto"/>
                    </w:rPr>
                  </w:pPr>
                </w:p>
              </w:tc>
              <w:tc>
                <w:tcPr>
                  <w:tcW w:w="359" w:type="pct"/>
                  <w:vMerge w:val="continue"/>
                  <w:tcBorders>
                    <w:tl2br w:val="nil"/>
                    <w:tr2bl w:val="nil"/>
                  </w:tcBorders>
                  <w:vAlign w:val="center"/>
                </w:tcPr>
                <w:p w14:paraId="2C8C028E">
                  <w:pPr>
                    <w:pStyle w:val="57"/>
                    <w:rPr>
                      <w:color w:val="auto"/>
                    </w:rPr>
                  </w:pPr>
                </w:p>
              </w:tc>
              <w:tc>
                <w:tcPr>
                  <w:tcW w:w="327" w:type="pct"/>
                  <w:vMerge w:val="continue"/>
                  <w:tcBorders>
                    <w:tl2br w:val="nil"/>
                    <w:tr2bl w:val="nil"/>
                  </w:tcBorders>
                  <w:vAlign w:val="center"/>
                </w:tcPr>
                <w:p w14:paraId="1A9EDFA2">
                  <w:pPr>
                    <w:pStyle w:val="57"/>
                    <w:rPr>
                      <w:color w:val="auto"/>
                    </w:rPr>
                  </w:pPr>
                </w:p>
              </w:tc>
              <w:tc>
                <w:tcPr>
                  <w:tcW w:w="249" w:type="pct"/>
                  <w:vMerge w:val="continue"/>
                  <w:tcBorders>
                    <w:tl2br w:val="nil"/>
                    <w:tr2bl w:val="nil"/>
                  </w:tcBorders>
                  <w:vAlign w:val="center"/>
                </w:tcPr>
                <w:p w14:paraId="2DBAD481">
                  <w:pPr>
                    <w:pStyle w:val="57"/>
                    <w:rPr>
                      <w:color w:val="auto"/>
                    </w:rPr>
                  </w:pPr>
                </w:p>
              </w:tc>
            </w:tr>
            <w:tr w14:paraId="123C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 w:type="pct"/>
                  <w:tcBorders>
                    <w:tl2br w:val="nil"/>
                    <w:tr2bl w:val="nil"/>
                  </w:tcBorders>
                  <w:vAlign w:val="center"/>
                </w:tcPr>
                <w:p w14:paraId="07BEC69E">
                  <w:pPr>
                    <w:pStyle w:val="57"/>
                    <w:rPr>
                      <w:rFonts w:hint="eastAsia"/>
                      <w:color w:val="auto"/>
                    </w:rPr>
                  </w:pPr>
                  <w:r>
                    <w:rPr>
                      <w:rFonts w:hint="eastAsia"/>
                      <w:color w:val="auto"/>
                    </w:rPr>
                    <w:t>1</w:t>
                  </w:r>
                </w:p>
              </w:tc>
              <w:tc>
                <w:tcPr>
                  <w:tcW w:w="349" w:type="pct"/>
                  <w:tcBorders>
                    <w:tl2br w:val="nil"/>
                    <w:tr2bl w:val="nil"/>
                  </w:tcBorders>
                  <w:vAlign w:val="center"/>
                </w:tcPr>
                <w:p w14:paraId="34C4692E">
                  <w:pPr>
                    <w:pStyle w:val="57"/>
                    <w:rPr>
                      <w:color w:val="auto"/>
                    </w:rPr>
                  </w:pPr>
                  <w:r>
                    <w:rPr>
                      <w:rFonts w:hint="eastAsia"/>
                      <w:color w:val="auto"/>
                    </w:rPr>
                    <w:t>SCX001</w:t>
                  </w:r>
                </w:p>
              </w:tc>
              <w:tc>
                <w:tcPr>
                  <w:tcW w:w="297" w:type="pct"/>
                  <w:tcBorders>
                    <w:tl2br w:val="nil"/>
                    <w:tr2bl w:val="nil"/>
                  </w:tcBorders>
                  <w:vAlign w:val="center"/>
                </w:tcPr>
                <w:p w14:paraId="3EFA5711">
                  <w:pPr>
                    <w:pStyle w:val="57"/>
                    <w:rPr>
                      <w:color w:val="auto"/>
                    </w:rPr>
                  </w:pPr>
                  <w:r>
                    <w:rPr>
                      <w:color w:val="auto"/>
                    </w:rPr>
                    <w:t>MF00</w:t>
                  </w:r>
                  <w:r>
                    <w:rPr>
                      <w:rFonts w:hint="eastAsia"/>
                      <w:color w:val="auto"/>
                    </w:rPr>
                    <w:t>01</w:t>
                  </w:r>
                </w:p>
              </w:tc>
              <w:tc>
                <w:tcPr>
                  <w:tcW w:w="413" w:type="pct"/>
                  <w:tcBorders>
                    <w:tl2br w:val="nil"/>
                    <w:tr2bl w:val="nil"/>
                  </w:tcBorders>
                  <w:vAlign w:val="center"/>
                </w:tcPr>
                <w:p w14:paraId="582F2507">
                  <w:pPr>
                    <w:pStyle w:val="57"/>
                    <w:rPr>
                      <w:color w:val="auto"/>
                    </w:rPr>
                  </w:pPr>
                  <w:r>
                    <w:rPr>
                      <w:rFonts w:hint="eastAsia"/>
                      <w:color w:val="auto"/>
                    </w:rPr>
                    <w:t>注塑机、热转印机、印刷机、烘干、注墨机</w:t>
                  </w:r>
                </w:p>
              </w:tc>
              <w:tc>
                <w:tcPr>
                  <w:tcW w:w="340" w:type="pct"/>
                  <w:tcBorders>
                    <w:tl2br w:val="nil"/>
                    <w:tr2bl w:val="nil"/>
                  </w:tcBorders>
                  <w:vAlign w:val="center"/>
                </w:tcPr>
                <w:p w14:paraId="13AC1768">
                  <w:pPr>
                    <w:pStyle w:val="57"/>
                    <w:rPr>
                      <w:rFonts w:hint="eastAsia"/>
                      <w:color w:val="auto"/>
                    </w:rPr>
                  </w:pPr>
                  <w:r>
                    <w:rPr>
                      <w:rFonts w:hint="eastAsia"/>
                      <w:color w:val="auto"/>
                    </w:rPr>
                    <w:t>注塑、热转印、印刷、烘干、注墨废气</w:t>
                  </w:r>
                </w:p>
              </w:tc>
              <w:tc>
                <w:tcPr>
                  <w:tcW w:w="429" w:type="pct"/>
                  <w:tcBorders>
                    <w:tl2br w:val="nil"/>
                    <w:tr2bl w:val="nil"/>
                  </w:tcBorders>
                  <w:vAlign w:val="center"/>
                </w:tcPr>
                <w:p w14:paraId="19A66F09">
                  <w:pPr>
                    <w:pStyle w:val="57"/>
                    <w:rPr>
                      <w:rFonts w:hint="eastAsia" w:eastAsia="宋体"/>
                      <w:color w:val="auto"/>
                      <w:lang w:eastAsia="zh-CN"/>
                    </w:rPr>
                  </w:pPr>
                  <w:r>
                    <w:rPr>
                      <w:rFonts w:hint="eastAsia"/>
                      <w:color w:val="auto"/>
                    </w:rPr>
                    <w:t>非甲烷总烃</w:t>
                  </w:r>
                </w:p>
              </w:tc>
              <w:tc>
                <w:tcPr>
                  <w:tcW w:w="295" w:type="pct"/>
                  <w:tcBorders>
                    <w:tl2br w:val="nil"/>
                    <w:tr2bl w:val="nil"/>
                  </w:tcBorders>
                  <w:vAlign w:val="center"/>
                </w:tcPr>
                <w:p w14:paraId="374473BB">
                  <w:pPr>
                    <w:pStyle w:val="57"/>
                    <w:rPr>
                      <w:color w:val="auto"/>
                    </w:rPr>
                  </w:pPr>
                  <w:r>
                    <w:rPr>
                      <w:color w:val="auto"/>
                    </w:rPr>
                    <w:t>有组织</w:t>
                  </w:r>
                </w:p>
              </w:tc>
              <w:tc>
                <w:tcPr>
                  <w:tcW w:w="332" w:type="pct"/>
                  <w:tcBorders>
                    <w:tl2br w:val="nil"/>
                    <w:tr2bl w:val="nil"/>
                  </w:tcBorders>
                  <w:vAlign w:val="center"/>
                </w:tcPr>
                <w:p w14:paraId="13B198AF">
                  <w:pPr>
                    <w:pStyle w:val="57"/>
                    <w:rPr>
                      <w:color w:val="auto"/>
                    </w:rPr>
                  </w:pPr>
                  <w:r>
                    <w:rPr>
                      <w:rFonts w:hint="eastAsia"/>
                      <w:color w:val="auto"/>
                    </w:rPr>
                    <w:t>TA001</w:t>
                  </w:r>
                </w:p>
              </w:tc>
              <w:tc>
                <w:tcPr>
                  <w:tcW w:w="417" w:type="pct"/>
                  <w:tcBorders>
                    <w:tl2br w:val="nil"/>
                    <w:tr2bl w:val="nil"/>
                  </w:tcBorders>
                  <w:vAlign w:val="center"/>
                </w:tcPr>
                <w:p w14:paraId="543147AF">
                  <w:pPr>
                    <w:pStyle w:val="57"/>
                    <w:rPr>
                      <w:rFonts w:hint="eastAsia"/>
                      <w:color w:val="auto"/>
                    </w:rPr>
                  </w:pPr>
                  <w:r>
                    <w:rPr>
                      <w:rFonts w:hint="eastAsia"/>
                      <w:color w:val="auto"/>
                    </w:rPr>
                    <w:t>注塑、热转印、印刷、烘干、注墨废气</w:t>
                  </w:r>
                  <w:r>
                    <w:rPr>
                      <w:color w:val="auto"/>
                    </w:rPr>
                    <w:t>处理系统</w:t>
                  </w:r>
                </w:p>
              </w:tc>
              <w:tc>
                <w:tcPr>
                  <w:tcW w:w="384" w:type="pct"/>
                  <w:tcBorders>
                    <w:tl2br w:val="nil"/>
                    <w:tr2bl w:val="nil"/>
                  </w:tcBorders>
                  <w:vAlign w:val="center"/>
                </w:tcPr>
                <w:p w14:paraId="37254B2B">
                  <w:pPr>
                    <w:pStyle w:val="57"/>
                    <w:rPr>
                      <w:color w:val="auto"/>
                    </w:rPr>
                  </w:pPr>
                  <w:r>
                    <w:rPr>
                      <w:rFonts w:hint="eastAsia"/>
                      <w:color w:val="auto"/>
                    </w:rPr>
                    <w:t>二级活性炭</w:t>
                  </w:r>
                </w:p>
              </w:tc>
              <w:tc>
                <w:tcPr>
                  <w:tcW w:w="333" w:type="pct"/>
                  <w:tcBorders>
                    <w:tl2br w:val="nil"/>
                    <w:tr2bl w:val="nil"/>
                  </w:tcBorders>
                  <w:vAlign w:val="center"/>
                </w:tcPr>
                <w:p w14:paraId="132799DF">
                  <w:pPr>
                    <w:pStyle w:val="57"/>
                    <w:rPr>
                      <w:color w:val="auto"/>
                    </w:rPr>
                  </w:pPr>
                  <w:r>
                    <w:rPr>
                      <w:color w:val="auto"/>
                    </w:rPr>
                    <w:t>是</w:t>
                  </w:r>
                </w:p>
              </w:tc>
              <w:tc>
                <w:tcPr>
                  <w:tcW w:w="310" w:type="pct"/>
                  <w:tcBorders>
                    <w:tl2br w:val="nil"/>
                    <w:tr2bl w:val="nil"/>
                  </w:tcBorders>
                  <w:vAlign w:val="center"/>
                </w:tcPr>
                <w:p w14:paraId="6EE32493">
                  <w:pPr>
                    <w:pStyle w:val="57"/>
                    <w:rPr>
                      <w:color w:val="auto"/>
                    </w:rPr>
                  </w:pPr>
                  <w:r>
                    <w:rPr>
                      <w:rFonts w:hint="eastAsia"/>
                      <w:color w:val="auto"/>
                    </w:rPr>
                    <w:t>DA001</w:t>
                  </w:r>
                </w:p>
              </w:tc>
              <w:tc>
                <w:tcPr>
                  <w:tcW w:w="359" w:type="pct"/>
                  <w:tcBorders>
                    <w:tl2br w:val="nil"/>
                    <w:tr2bl w:val="nil"/>
                  </w:tcBorders>
                  <w:vAlign w:val="center"/>
                </w:tcPr>
                <w:p w14:paraId="4502F18F">
                  <w:pPr>
                    <w:pStyle w:val="57"/>
                    <w:rPr>
                      <w:color w:val="auto"/>
                    </w:rPr>
                  </w:pPr>
                  <w:r>
                    <w:rPr>
                      <w:rFonts w:hint="eastAsia"/>
                      <w:color w:val="auto"/>
                    </w:rPr>
                    <w:t>注塑、热转印、印刷、烘干、注墨废气</w:t>
                  </w:r>
                  <w:r>
                    <w:rPr>
                      <w:color w:val="auto"/>
                    </w:rPr>
                    <w:t>排放口</w:t>
                  </w:r>
                </w:p>
              </w:tc>
              <w:tc>
                <w:tcPr>
                  <w:tcW w:w="327" w:type="pct"/>
                  <w:tcBorders>
                    <w:tl2br w:val="nil"/>
                    <w:tr2bl w:val="nil"/>
                  </w:tcBorders>
                  <w:vAlign w:val="center"/>
                </w:tcPr>
                <w:p w14:paraId="1B83D24B">
                  <w:pPr>
                    <w:pStyle w:val="57"/>
                    <w:rPr>
                      <w:color w:val="auto"/>
                    </w:rPr>
                  </w:pPr>
                  <w:r>
                    <w:rPr>
                      <w:color w:val="auto"/>
                    </w:rPr>
                    <w:t>是</w:t>
                  </w:r>
                </w:p>
              </w:tc>
              <w:tc>
                <w:tcPr>
                  <w:tcW w:w="249" w:type="pct"/>
                  <w:tcBorders>
                    <w:tl2br w:val="nil"/>
                    <w:tr2bl w:val="nil"/>
                  </w:tcBorders>
                  <w:vAlign w:val="center"/>
                </w:tcPr>
                <w:p w14:paraId="4B4EB33E">
                  <w:pPr>
                    <w:pStyle w:val="57"/>
                    <w:rPr>
                      <w:rFonts w:hint="eastAsia"/>
                      <w:color w:val="auto"/>
                    </w:rPr>
                  </w:pPr>
                  <w:r>
                    <w:rPr>
                      <w:rFonts w:hint="eastAsia"/>
                      <w:color w:val="auto"/>
                    </w:rPr>
                    <w:t>一般</w:t>
                  </w:r>
                  <w:r>
                    <w:rPr>
                      <w:color w:val="auto"/>
                    </w:rPr>
                    <w:t>排放口</w:t>
                  </w:r>
                </w:p>
              </w:tc>
            </w:tr>
          </w:tbl>
          <w:p w14:paraId="15EFD1FE">
            <w:pPr>
              <w:pStyle w:val="58"/>
              <w:ind w:firstLine="422"/>
              <w:rPr>
                <w:color w:val="auto"/>
              </w:rPr>
            </w:pPr>
          </w:p>
          <w:p w14:paraId="6AEC005C">
            <w:pPr>
              <w:pStyle w:val="58"/>
              <w:ind w:firstLine="422"/>
              <w:rPr>
                <w:color w:val="auto"/>
              </w:rPr>
            </w:pPr>
          </w:p>
          <w:p w14:paraId="57CD912D">
            <w:pPr>
              <w:pStyle w:val="58"/>
              <w:ind w:firstLine="422"/>
              <w:rPr>
                <w:color w:val="auto"/>
              </w:rPr>
            </w:pPr>
          </w:p>
          <w:p w14:paraId="4FE9AB6A">
            <w:pPr>
              <w:pStyle w:val="58"/>
              <w:ind w:firstLine="422"/>
              <w:rPr>
                <w:color w:val="auto"/>
              </w:rPr>
            </w:pPr>
          </w:p>
          <w:p w14:paraId="6EA55D9B">
            <w:pPr>
              <w:pStyle w:val="58"/>
              <w:ind w:firstLine="422"/>
              <w:rPr>
                <w:color w:val="auto"/>
              </w:rPr>
            </w:pPr>
          </w:p>
          <w:p w14:paraId="71B4DFAA">
            <w:pPr>
              <w:pStyle w:val="58"/>
              <w:ind w:firstLine="422"/>
              <w:rPr>
                <w:color w:val="auto"/>
              </w:rPr>
            </w:pPr>
          </w:p>
          <w:p w14:paraId="51A5C460">
            <w:pPr>
              <w:pStyle w:val="58"/>
              <w:ind w:firstLine="422"/>
              <w:rPr>
                <w:color w:val="auto"/>
              </w:rPr>
            </w:pPr>
          </w:p>
          <w:p w14:paraId="754B28C5">
            <w:pPr>
              <w:pStyle w:val="58"/>
              <w:ind w:firstLine="422"/>
              <w:rPr>
                <w:color w:val="auto"/>
              </w:rPr>
            </w:pPr>
            <w:r>
              <w:rPr>
                <w:color w:val="auto"/>
              </w:rPr>
              <w:t>表4</w:t>
            </w:r>
            <w:r>
              <w:rPr>
                <w:rFonts w:hint="eastAsia"/>
                <w:color w:val="auto"/>
              </w:rPr>
              <w:t>-</w:t>
            </w:r>
            <w:r>
              <w:rPr>
                <w:rFonts w:hint="eastAsia"/>
                <w:color w:val="auto"/>
                <w:lang w:val="en-US" w:eastAsia="zh-CN"/>
              </w:rPr>
              <w:t>5</w:t>
            </w:r>
            <w:r>
              <w:rPr>
                <w:color w:val="auto"/>
              </w:rPr>
              <w:t>大气污染物有组织排放基本信息表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50"/>
              <w:gridCol w:w="983"/>
              <w:gridCol w:w="1265"/>
              <w:gridCol w:w="1029"/>
              <w:gridCol w:w="920"/>
              <w:gridCol w:w="922"/>
              <w:gridCol w:w="1006"/>
              <w:gridCol w:w="794"/>
              <w:gridCol w:w="3121"/>
              <w:gridCol w:w="1066"/>
              <w:gridCol w:w="1060"/>
            </w:tblGrid>
            <w:tr w14:paraId="23B8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 w:type="pct"/>
                  <w:vMerge w:val="restart"/>
                  <w:tcBorders>
                    <w:tl2br w:val="nil"/>
                    <w:tr2bl w:val="nil"/>
                  </w:tcBorders>
                  <w:vAlign w:val="center"/>
                </w:tcPr>
                <w:p w14:paraId="15BC2F6B">
                  <w:pPr>
                    <w:pStyle w:val="57"/>
                    <w:rPr>
                      <w:b/>
                      <w:bCs w:val="0"/>
                      <w:color w:val="auto"/>
                    </w:rPr>
                  </w:pPr>
                  <w:r>
                    <w:rPr>
                      <w:b/>
                      <w:bCs w:val="0"/>
                      <w:color w:val="auto"/>
                    </w:rPr>
                    <w:t>序号</w:t>
                  </w:r>
                </w:p>
              </w:tc>
              <w:tc>
                <w:tcPr>
                  <w:tcW w:w="313" w:type="pct"/>
                  <w:vMerge w:val="restart"/>
                  <w:tcBorders>
                    <w:tl2br w:val="nil"/>
                    <w:tr2bl w:val="nil"/>
                  </w:tcBorders>
                  <w:vAlign w:val="center"/>
                </w:tcPr>
                <w:p w14:paraId="10F47415">
                  <w:pPr>
                    <w:pStyle w:val="57"/>
                    <w:rPr>
                      <w:b/>
                      <w:bCs w:val="0"/>
                      <w:color w:val="auto"/>
                    </w:rPr>
                  </w:pPr>
                  <w:r>
                    <w:rPr>
                      <w:b/>
                      <w:bCs w:val="0"/>
                      <w:color w:val="auto"/>
                    </w:rPr>
                    <w:t>排放口编号</w:t>
                  </w:r>
                </w:p>
              </w:tc>
              <w:tc>
                <w:tcPr>
                  <w:tcW w:w="362" w:type="pct"/>
                  <w:vMerge w:val="restart"/>
                  <w:tcBorders>
                    <w:tl2br w:val="nil"/>
                    <w:tr2bl w:val="nil"/>
                  </w:tcBorders>
                  <w:vAlign w:val="center"/>
                </w:tcPr>
                <w:p w14:paraId="30B27CD8">
                  <w:pPr>
                    <w:pStyle w:val="57"/>
                    <w:rPr>
                      <w:b/>
                      <w:bCs w:val="0"/>
                      <w:color w:val="auto"/>
                    </w:rPr>
                  </w:pPr>
                  <w:r>
                    <w:rPr>
                      <w:b/>
                      <w:bCs w:val="0"/>
                      <w:color w:val="auto"/>
                    </w:rPr>
                    <w:t>污染物种类</w:t>
                  </w:r>
                </w:p>
              </w:tc>
              <w:tc>
                <w:tcPr>
                  <w:tcW w:w="846" w:type="pct"/>
                  <w:gridSpan w:val="2"/>
                  <w:tcBorders>
                    <w:tl2br w:val="nil"/>
                    <w:tr2bl w:val="nil"/>
                  </w:tcBorders>
                  <w:vAlign w:val="center"/>
                </w:tcPr>
                <w:p w14:paraId="65B260ED">
                  <w:pPr>
                    <w:pStyle w:val="57"/>
                    <w:rPr>
                      <w:b/>
                      <w:bCs w:val="0"/>
                      <w:color w:val="auto"/>
                    </w:rPr>
                  </w:pPr>
                  <w:r>
                    <w:rPr>
                      <w:b/>
                      <w:bCs w:val="0"/>
                      <w:color w:val="auto"/>
                    </w:rPr>
                    <w:t>排放口地理坐标</w:t>
                  </w:r>
                </w:p>
              </w:tc>
              <w:tc>
                <w:tcPr>
                  <w:tcW w:w="1343" w:type="pct"/>
                  <w:gridSpan w:val="4"/>
                  <w:tcBorders>
                    <w:tl2br w:val="nil"/>
                    <w:tr2bl w:val="nil"/>
                  </w:tcBorders>
                  <w:vAlign w:val="center"/>
                </w:tcPr>
                <w:p w14:paraId="466B01C1">
                  <w:pPr>
                    <w:pStyle w:val="57"/>
                    <w:rPr>
                      <w:b/>
                      <w:bCs w:val="0"/>
                      <w:color w:val="auto"/>
                    </w:rPr>
                  </w:pPr>
                  <w:r>
                    <w:rPr>
                      <w:b/>
                      <w:bCs w:val="0"/>
                      <w:color w:val="auto"/>
                    </w:rPr>
                    <w:t>排气筒参数</w:t>
                  </w:r>
                </w:p>
              </w:tc>
              <w:tc>
                <w:tcPr>
                  <w:tcW w:w="1935" w:type="pct"/>
                  <w:gridSpan w:val="3"/>
                  <w:tcBorders>
                    <w:tl2br w:val="nil"/>
                    <w:tr2bl w:val="nil"/>
                  </w:tcBorders>
                  <w:vAlign w:val="center"/>
                </w:tcPr>
                <w:p w14:paraId="2DA6D8A4">
                  <w:pPr>
                    <w:pStyle w:val="57"/>
                    <w:rPr>
                      <w:b/>
                      <w:bCs w:val="0"/>
                      <w:color w:val="auto"/>
                    </w:rPr>
                  </w:pPr>
                  <w:r>
                    <w:rPr>
                      <w:b/>
                      <w:bCs w:val="0"/>
                      <w:color w:val="auto"/>
                    </w:rPr>
                    <w:t>国家或地方污染物排放标准</w:t>
                  </w:r>
                </w:p>
              </w:tc>
            </w:tr>
            <w:tr w14:paraId="5DD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9" w:type="pct"/>
                  <w:vMerge w:val="continue"/>
                  <w:tcBorders>
                    <w:tl2br w:val="nil"/>
                    <w:tr2bl w:val="nil"/>
                  </w:tcBorders>
                  <w:vAlign w:val="center"/>
                </w:tcPr>
                <w:p w14:paraId="08AAA2AE">
                  <w:pPr>
                    <w:pStyle w:val="57"/>
                    <w:rPr>
                      <w:b/>
                      <w:bCs w:val="0"/>
                      <w:color w:val="auto"/>
                    </w:rPr>
                  </w:pPr>
                </w:p>
              </w:tc>
              <w:tc>
                <w:tcPr>
                  <w:tcW w:w="313" w:type="pct"/>
                  <w:vMerge w:val="continue"/>
                  <w:tcBorders>
                    <w:tl2br w:val="nil"/>
                    <w:tr2bl w:val="nil"/>
                  </w:tcBorders>
                  <w:vAlign w:val="center"/>
                </w:tcPr>
                <w:p w14:paraId="5E454043">
                  <w:pPr>
                    <w:pStyle w:val="57"/>
                    <w:rPr>
                      <w:b/>
                      <w:bCs w:val="0"/>
                      <w:color w:val="auto"/>
                    </w:rPr>
                  </w:pPr>
                </w:p>
              </w:tc>
              <w:tc>
                <w:tcPr>
                  <w:tcW w:w="362" w:type="pct"/>
                  <w:vMerge w:val="continue"/>
                  <w:tcBorders>
                    <w:tl2br w:val="nil"/>
                    <w:tr2bl w:val="nil"/>
                  </w:tcBorders>
                  <w:vAlign w:val="center"/>
                </w:tcPr>
                <w:p w14:paraId="746EB07F">
                  <w:pPr>
                    <w:pStyle w:val="57"/>
                    <w:rPr>
                      <w:b/>
                      <w:bCs w:val="0"/>
                      <w:color w:val="auto"/>
                    </w:rPr>
                  </w:pPr>
                </w:p>
              </w:tc>
              <w:tc>
                <w:tcPr>
                  <w:tcW w:w="466" w:type="pct"/>
                  <w:tcBorders>
                    <w:tl2br w:val="nil"/>
                    <w:tr2bl w:val="nil"/>
                  </w:tcBorders>
                  <w:vAlign w:val="center"/>
                </w:tcPr>
                <w:p w14:paraId="7EFE0009">
                  <w:pPr>
                    <w:pStyle w:val="57"/>
                    <w:rPr>
                      <w:b/>
                      <w:bCs w:val="0"/>
                      <w:color w:val="auto"/>
                    </w:rPr>
                  </w:pPr>
                  <w:r>
                    <w:rPr>
                      <w:b/>
                      <w:bCs w:val="0"/>
                      <w:color w:val="auto"/>
                    </w:rPr>
                    <w:t>经度</w:t>
                  </w:r>
                </w:p>
              </w:tc>
              <w:tc>
                <w:tcPr>
                  <w:tcW w:w="379" w:type="pct"/>
                  <w:tcBorders>
                    <w:tl2br w:val="nil"/>
                    <w:tr2bl w:val="nil"/>
                  </w:tcBorders>
                  <w:vAlign w:val="center"/>
                </w:tcPr>
                <w:p w14:paraId="36EFCB4F">
                  <w:pPr>
                    <w:pStyle w:val="57"/>
                    <w:rPr>
                      <w:b/>
                      <w:bCs w:val="0"/>
                      <w:color w:val="auto"/>
                    </w:rPr>
                  </w:pPr>
                  <w:r>
                    <w:rPr>
                      <w:b/>
                      <w:bCs w:val="0"/>
                      <w:color w:val="auto"/>
                    </w:rPr>
                    <w:t>纬度</w:t>
                  </w:r>
                </w:p>
              </w:tc>
              <w:tc>
                <w:tcPr>
                  <w:tcW w:w="339" w:type="pct"/>
                  <w:tcBorders>
                    <w:tl2br w:val="nil"/>
                    <w:tr2bl w:val="nil"/>
                  </w:tcBorders>
                  <w:vAlign w:val="center"/>
                </w:tcPr>
                <w:p w14:paraId="1D173D95">
                  <w:pPr>
                    <w:pStyle w:val="57"/>
                    <w:rPr>
                      <w:b/>
                      <w:bCs w:val="0"/>
                      <w:color w:val="auto"/>
                    </w:rPr>
                  </w:pPr>
                  <w:r>
                    <w:rPr>
                      <w:b/>
                      <w:bCs w:val="0"/>
                      <w:color w:val="auto"/>
                    </w:rPr>
                    <w:t>高度m</w:t>
                  </w:r>
                </w:p>
              </w:tc>
              <w:tc>
                <w:tcPr>
                  <w:tcW w:w="340" w:type="pct"/>
                  <w:tcBorders>
                    <w:tl2br w:val="nil"/>
                    <w:tr2bl w:val="nil"/>
                  </w:tcBorders>
                  <w:vAlign w:val="center"/>
                </w:tcPr>
                <w:p w14:paraId="435B29EF">
                  <w:pPr>
                    <w:pStyle w:val="57"/>
                    <w:rPr>
                      <w:b/>
                      <w:bCs w:val="0"/>
                      <w:color w:val="auto"/>
                    </w:rPr>
                  </w:pPr>
                  <w:r>
                    <w:rPr>
                      <w:b/>
                      <w:bCs w:val="0"/>
                      <w:color w:val="auto"/>
                    </w:rPr>
                    <w:t>出口内径m</w:t>
                  </w:r>
                </w:p>
              </w:tc>
              <w:tc>
                <w:tcPr>
                  <w:tcW w:w="371" w:type="pct"/>
                  <w:tcBorders>
                    <w:tl2br w:val="nil"/>
                    <w:tr2bl w:val="nil"/>
                  </w:tcBorders>
                  <w:vAlign w:val="center"/>
                </w:tcPr>
                <w:p w14:paraId="5864A812">
                  <w:pPr>
                    <w:pStyle w:val="57"/>
                    <w:rPr>
                      <w:b/>
                      <w:bCs w:val="0"/>
                      <w:color w:val="auto"/>
                    </w:rPr>
                  </w:pPr>
                  <w:r>
                    <w:rPr>
                      <w:b/>
                      <w:bCs w:val="0"/>
                      <w:color w:val="auto"/>
                    </w:rPr>
                    <w:t>排气温度℃</w:t>
                  </w:r>
                </w:p>
              </w:tc>
              <w:tc>
                <w:tcPr>
                  <w:tcW w:w="292" w:type="pct"/>
                  <w:tcBorders>
                    <w:tl2br w:val="nil"/>
                    <w:tr2bl w:val="nil"/>
                  </w:tcBorders>
                  <w:vAlign w:val="center"/>
                </w:tcPr>
                <w:p w14:paraId="505E966A">
                  <w:pPr>
                    <w:pStyle w:val="57"/>
                    <w:rPr>
                      <w:b/>
                      <w:bCs w:val="0"/>
                      <w:color w:val="auto"/>
                    </w:rPr>
                  </w:pPr>
                  <w:r>
                    <w:rPr>
                      <w:b/>
                      <w:bCs w:val="0"/>
                      <w:color w:val="auto"/>
                    </w:rPr>
                    <w:t>排气量</w:t>
                  </w:r>
                  <w:r>
                    <w:rPr>
                      <w:rFonts w:hint="eastAsia"/>
                      <w:b/>
                      <w:bCs w:val="0"/>
                      <w:color w:val="auto"/>
                    </w:rPr>
                    <w:t>m</w:t>
                  </w:r>
                  <w:r>
                    <w:rPr>
                      <w:rFonts w:hint="eastAsia"/>
                      <w:b/>
                      <w:bCs w:val="0"/>
                      <w:color w:val="auto"/>
                      <w:vertAlign w:val="superscript"/>
                    </w:rPr>
                    <w:t>3</w:t>
                  </w:r>
                  <w:r>
                    <w:rPr>
                      <w:b/>
                      <w:bCs w:val="0"/>
                      <w:color w:val="auto"/>
                    </w:rPr>
                    <w:t>/h</w:t>
                  </w:r>
                </w:p>
              </w:tc>
              <w:tc>
                <w:tcPr>
                  <w:tcW w:w="1151" w:type="pct"/>
                  <w:tcBorders>
                    <w:tl2br w:val="nil"/>
                    <w:tr2bl w:val="nil"/>
                  </w:tcBorders>
                  <w:vAlign w:val="center"/>
                </w:tcPr>
                <w:p w14:paraId="156C9764">
                  <w:pPr>
                    <w:pStyle w:val="57"/>
                    <w:rPr>
                      <w:b/>
                      <w:bCs w:val="0"/>
                      <w:color w:val="auto"/>
                    </w:rPr>
                  </w:pPr>
                  <w:r>
                    <w:rPr>
                      <w:b/>
                      <w:bCs w:val="0"/>
                      <w:color w:val="auto"/>
                    </w:rPr>
                    <w:t>标准名称</w:t>
                  </w:r>
                </w:p>
              </w:tc>
              <w:tc>
                <w:tcPr>
                  <w:tcW w:w="393" w:type="pct"/>
                  <w:tcBorders>
                    <w:tl2br w:val="nil"/>
                    <w:tr2bl w:val="nil"/>
                  </w:tcBorders>
                  <w:vAlign w:val="center"/>
                </w:tcPr>
                <w:p w14:paraId="3BE042E8">
                  <w:pPr>
                    <w:pStyle w:val="57"/>
                    <w:rPr>
                      <w:rFonts w:hint="eastAsia"/>
                      <w:b/>
                      <w:bCs w:val="0"/>
                      <w:color w:val="auto"/>
                    </w:rPr>
                  </w:pPr>
                  <w:r>
                    <w:rPr>
                      <w:b/>
                      <w:bCs w:val="0"/>
                      <w:color w:val="auto"/>
                    </w:rPr>
                    <w:t>浓度限值mg/N</w:t>
                  </w:r>
                  <w:r>
                    <w:rPr>
                      <w:rFonts w:hint="eastAsia"/>
                      <w:b/>
                      <w:bCs w:val="0"/>
                      <w:color w:val="auto"/>
                    </w:rPr>
                    <w:t>m</w:t>
                  </w:r>
                  <w:r>
                    <w:rPr>
                      <w:rFonts w:hint="eastAsia"/>
                      <w:b/>
                      <w:bCs w:val="0"/>
                      <w:color w:val="auto"/>
                      <w:vertAlign w:val="superscript"/>
                    </w:rPr>
                    <w:t>3</w:t>
                  </w:r>
                </w:p>
              </w:tc>
              <w:tc>
                <w:tcPr>
                  <w:tcW w:w="390" w:type="pct"/>
                  <w:tcBorders>
                    <w:tl2br w:val="nil"/>
                    <w:tr2bl w:val="nil"/>
                  </w:tcBorders>
                  <w:vAlign w:val="center"/>
                </w:tcPr>
                <w:p w14:paraId="6E86D76D">
                  <w:pPr>
                    <w:pStyle w:val="57"/>
                    <w:rPr>
                      <w:b/>
                      <w:bCs w:val="0"/>
                      <w:color w:val="auto"/>
                    </w:rPr>
                  </w:pPr>
                  <w:r>
                    <w:rPr>
                      <w:b/>
                      <w:bCs w:val="0"/>
                      <w:color w:val="auto"/>
                    </w:rPr>
                    <w:t>速率限值kg/h</w:t>
                  </w:r>
                </w:p>
              </w:tc>
            </w:tr>
            <w:tr w14:paraId="01C3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9" w:type="pct"/>
                  <w:tcBorders>
                    <w:tl2br w:val="nil"/>
                    <w:tr2bl w:val="nil"/>
                  </w:tcBorders>
                  <w:vAlign w:val="center"/>
                </w:tcPr>
                <w:p w14:paraId="25DE2AD8">
                  <w:pPr>
                    <w:pStyle w:val="57"/>
                    <w:rPr>
                      <w:color w:val="auto"/>
                    </w:rPr>
                  </w:pPr>
                  <w:r>
                    <w:rPr>
                      <w:rFonts w:hint="eastAsia"/>
                      <w:color w:val="auto"/>
                    </w:rPr>
                    <w:t>1</w:t>
                  </w:r>
                </w:p>
              </w:tc>
              <w:tc>
                <w:tcPr>
                  <w:tcW w:w="313" w:type="pct"/>
                  <w:tcBorders>
                    <w:tl2br w:val="nil"/>
                    <w:tr2bl w:val="nil"/>
                  </w:tcBorders>
                  <w:vAlign w:val="center"/>
                </w:tcPr>
                <w:p w14:paraId="46D1C13C">
                  <w:pPr>
                    <w:pStyle w:val="57"/>
                    <w:rPr>
                      <w:color w:val="auto"/>
                    </w:rPr>
                  </w:pPr>
                  <w:r>
                    <w:rPr>
                      <w:rFonts w:hint="eastAsia"/>
                      <w:color w:val="auto"/>
                    </w:rPr>
                    <w:t>DA001</w:t>
                  </w:r>
                </w:p>
              </w:tc>
              <w:tc>
                <w:tcPr>
                  <w:tcW w:w="362" w:type="pct"/>
                  <w:tcBorders>
                    <w:tl2br w:val="nil"/>
                    <w:tr2bl w:val="nil"/>
                  </w:tcBorders>
                  <w:vAlign w:val="center"/>
                </w:tcPr>
                <w:p w14:paraId="28474113">
                  <w:pPr>
                    <w:pStyle w:val="57"/>
                    <w:rPr>
                      <w:rFonts w:hint="eastAsia"/>
                      <w:color w:val="auto"/>
                    </w:rPr>
                  </w:pPr>
                  <w:r>
                    <w:rPr>
                      <w:rFonts w:hint="eastAsia"/>
                      <w:color w:val="auto"/>
                    </w:rPr>
                    <w:t>非甲烷总烃</w:t>
                  </w:r>
                </w:p>
              </w:tc>
              <w:tc>
                <w:tcPr>
                  <w:tcW w:w="466" w:type="pct"/>
                  <w:tcBorders>
                    <w:tl2br w:val="nil"/>
                    <w:tr2bl w:val="nil"/>
                  </w:tcBorders>
                  <w:vAlign w:val="center"/>
                </w:tcPr>
                <w:p w14:paraId="4EF0CAEE">
                  <w:pPr>
                    <w:pStyle w:val="57"/>
                    <w:rPr>
                      <w:rFonts w:hint="eastAsia"/>
                      <w:color w:val="auto"/>
                    </w:rPr>
                  </w:pPr>
                  <w:r>
                    <w:rPr>
                      <w:rFonts w:hint="eastAsia"/>
                      <w:color w:val="auto"/>
                    </w:rPr>
                    <w:t>116.97194981</w:t>
                  </w:r>
                </w:p>
              </w:tc>
              <w:tc>
                <w:tcPr>
                  <w:tcW w:w="379" w:type="pct"/>
                  <w:tcBorders>
                    <w:tl2br w:val="nil"/>
                    <w:tr2bl w:val="nil"/>
                  </w:tcBorders>
                  <w:vAlign w:val="center"/>
                </w:tcPr>
                <w:p w14:paraId="3FECEA4B">
                  <w:pPr>
                    <w:pStyle w:val="57"/>
                    <w:rPr>
                      <w:rFonts w:hint="eastAsia"/>
                      <w:color w:val="auto"/>
                    </w:rPr>
                  </w:pPr>
                  <w:r>
                    <w:rPr>
                      <w:rFonts w:hint="eastAsia"/>
                      <w:color w:val="auto"/>
                    </w:rPr>
                    <w:t>33.57369464</w:t>
                  </w:r>
                </w:p>
              </w:tc>
              <w:tc>
                <w:tcPr>
                  <w:tcW w:w="339" w:type="pct"/>
                  <w:tcBorders>
                    <w:tl2br w:val="nil"/>
                    <w:tr2bl w:val="nil"/>
                  </w:tcBorders>
                  <w:vAlign w:val="center"/>
                </w:tcPr>
                <w:p w14:paraId="630EF4B9">
                  <w:pPr>
                    <w:pStyle w:val="57"/>
                    <w:rPr>
                      <w:color w:val="auto"/>
                    </w:rPr>
                  </w:pPr>
                  <w:r>
                    <w:rPr>
                      <w:color w:val="auto"/>
                    </w:rPr>
                    <w:t>15</w:t>
                  </w:r>
                </w:p>
              </w:tc>
              <w:tc>
                <w:tcPr>
                  <w:tcW w:w="340" w:type="pct"/>
                  <w:tcBorders>
                    <w:tl2br w:val="nil"/>
                    <w:tr2bl w:val="nil"/>
                  </w:tcBorders>
                  <w:vAlign w:val="center"/>
                </w:tcPr>
                <w:p w14:paraId="2FE5D8CB">
                  <w:pPr>
                    <w:pStyle w:val="57"/>
                    <w:rPr>
                      <w:rFonts w:hint="eastAsia"/>
                      <w:color w:val="auto"/>
                    </w:rPr>
                  </w:pPr>
                  <w:r>
                    <w:rPr>
                      <w:rFonts w:hint="eastAsia"/>
                      <w:color w:val="auto"/>
                    </w:rPr>
                    <w:t>0.5</w:t>
                  </w:r>
                </w:p>
              </w:tc>
              <w:tc>
                <w:tcPr>
                  <w:tcW w:w="371" w:type="pct"/>
                  <w:tcBorders>
                    <w:tl2br w:val="nil"/>
                    <w:tr2bl w:val="nil"/>
                  </w:tcBorders>
                  <w:vAlign w:val="center"/>
                </w:tcPr>
                <w:p w14:paraId="4640A12B">
                  <w:pPr>
                    <w:pStyle w:val="57"/>
                    <w:rPr>
                      <w:color w:val="auto"/>
                    </w:rPr>
                  </w:pPr>
                  <w:r>
                    <w:rPr>
                      <w:color w:val="auto"/>
                    </w:rPr>
                    <w:t>25</w:t>
                  </w:r>
                </w:p>
              </w:tc>
              <w:tc>
                <w:tcPr>
                  <w:tcW w:w="292" w:type="pct"/>
                  <w:tcBorders>
                    <w:tl2br w:val="nil"/>
                    <w:tr2bl w:val="nil"/>
                  </w:tcBorders>
                  <w:vAlign w:val="center"/>
                </w:tcPr>
                <w:p w14:paraId="1ADC15E9">
                  <w:pPr>
                    <w:pStyle w:val="57"/>
                    <w:rPr>
                      <w:rFonts w:hint="eastAsia"/>
                      <w:color w:val="auto"/>
                    </w:rPr>
                  </w:pPr>
                  <w:r>
                    <w:rPr>
                      <w:rFonts w:hint="eastAsia"/>
                      <w:color w:val="auto"/>
                    </w:rPr>
                    <w:t>15000</w:t>
                  </w:r>
                </w:p>
              </w:tc>
              <w:tc>
                <w:tcPr>
                  <w:tcW w:w="1151" w:type="pct"/>
                  <w:tcBorders>
                    <w:tl2br w:val="nil"/>
                    <w:tr2bl w:val="nil"/>
                  </w:tcBorders>
                  <w:vAlign w:val="center"/>
                </w:tcPr>
                <w:p w14:paraId="0952FA93">
                  <w:pPr>
                    <w:pStyle w:val="57"/>
                    <w:rPr>
                      <w:rFonts w:hint="eastAsia"/>
                      <w:color w:val="auto"/>
                    </w:rPr>
                  </w:pPr>
                  <w:r>
                    <w:rPr>
                      <w:rFonts w:hint="eastAsia"/>
                      <w:color w:val="auto"/>
                    </w:rPr>
                    <w:t>《合成树脂工业污染物排放标准》（GB31572-2015）中表5大气污染物特别排放限值及表9企业边界大气污染物浓度限值、安徽省地方标准《固定源挥发性有机物综合排放标准第6部分:其他行业》（DB34/4812.6-2024）表1挥发性有机物基本污染物项目排放限值及安徽省地方标准《固定源挥发性有机物综合排放标准第4部分:印刷工业》（DB34/4812.4-2024）较严值</w:t>
                  </w:r>
                </w:p>
              </w:tc>
              <w:tc>
                <w:tcPr>
                  <w:tcW w:w="393" w:type="pct"/>
                  <w:tcBorders>
                    <w:tl2br w:val="nil"/>
                    <w:tr2bl w:val="nil"/>
                  </w:tcBorders>
                  <w:vAlign w:val="center"/>
                </w:tcPr>
                <w:p w14:paraId="45831D0A">
                  <w:pPr>
                    <w:pStyle w:val="57"/>
                    <w:rPr>
                      <w:color w:val="auto"/>
                    </w:rPr>
                  </w:pPr>
                  <w:r>
                    <w:rPr>
                      <w:rFonts w:hint="eastAsia"/>
                      <w:color w:val="auto"/>
                    </w:rPr>
                    <w:t>40</w:t>
                  </w:r>
                </w:p>
              </w:tc>
              <w:tc>
                <w:tcPr>
                  <w:tcW w:w="390" w:type="pct"/>
                  <w:tcBorders>
                    <w:tl2br w:val="nil"/>
                    <w:tr2bl w:val="nil"/>
                  </w:tcBorders>
                  <w:vAlign w:val="center"/>
                </w:tcPr>
                <w:p w14:paraId="199024A1">
                  <w:pPr>
                    <w:pStyle w:val="57"/>
                    <w:rPr>
                      <w:color w:val="auto"/>
                    </w:rPr>
                  </w:pPr>
                  <w:r>
                    <w:rPr>
                      <w:rFonts w:hint="eastAsia"/>
                      <w:color w:val="auto"/>
                    </w:rPr>
                    <w:t>1.5</w:t>
                  </w:r>
                </w:p>
              </w:tc>
            </w:tr>
          </w:tbl>
          <w:p w14:paraId="577C0018">
            <w:pPr>
              <w:pStyle w:val="72"/>
              <w:widowControl/>
              <w:ind w:left="0"/>
              <w:rPr>
                <w:rFonts w:ascii="Times New Roman"/>
                <w:b/>
                <w:bCs/>
                <w:color w:val="auto"/>
              </w:rPr>
            </w:pPr>
            <w:r>
              <w:rPr>
                <w:rFonts w:hint="eastAsia"/>
                <w:color w:val="auto"/>
              </w:rPr>
              <w:t>表</w:t>
            </w:r>
            <w:r>
              <w:rPr>
                <w:rFonts w:ascii="Times New Roman"/>
                <w:b/>
                <w:bCs/>
                <w:color w:val="auto"/>
              </w:rPr>
              <w:t>4-</w:t>
            </w:r>
            <w:r>
              <w:rPr>
                <w:rFonts w:hint="eastAsia" w:ascii="Times New Roman"/>
                <w:b/>
                <w:bCs/>
                <w:color w:val="auto"/>
                <w:lang w:val="en-US" w:eastAsia="zh-CN"/>
              </w:rPr>
              <w:t>6</w:t>
            </w:r>
            <w:r>
              <w:rPr>
                <w:rFonts w:ascii="Times New Roman"/>
                <w:b/>
                <w:bCs/>
                <w:color w:val="auto"/>
                <w:spacing w:val="-10"/>
              </w:rPr>
              <w:t>大气污染物无组织排放基本信息</w:t>
            </w:r>
            <w:r>
              <w:rPr>
                <w:rFonts w:ascii="Times New Roman"/>
                <w:b/>
                <w:bCs/>
                <w:color w:val="auto"/>
              </w:rPr>
              <w:t>表</w:t>
            </w:r>
          </w:p>
          <w:tbl>
            <w:tblPr>
              <w:tblStyle w:val="37"/>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62"/>
              <w:gridCol w:w="1281"/>
              <w:gridCol w:w="1287"/>
              <w:gridCol w:w="1462"/>
              <w:gridCol w:w="4912"/>
              <w:gridCol w:w="1430"/>
              <w:gridCol w:w="821"/>
              <w:gridCol w:w="765"/>
            </w:tblGrid>
            <w:tr w14:paraId="08F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01" w:type="dxa"/>
                  <w:vMerge w:val="restart"/>
                  <w:tcBorders>
                    <w:tl2br w:val="nil"/>
                    <w:tr2bl w:val="nil"/>
                  </w:tcBorders>
                  <w:vAlign w:val="center"/>
                </w:tcPr>
                <w:p w14:paraId="572597C1">
                  <w:pPr>
                    <w:pStyle w:val="57"/>
                    <w:rPr>
                      <w:b/>
                      <w:bCs w:val="0"/>
                      <w:color w:val="auto"/>
                    </w:rPr>
                  </w:pPr>
                  <w:r>
                    <w:rPr>
                      <w:b/>
                      <w:bCs w:val="0"/>
                      <w:color w:val="auto"/>
                    </w:rPr>
                    <w:t>序号</w:t>
                  </w:r>
                </w:p>
              </w:tc>
              <w:tc>
                <w:tcPr>
                  <w:tcW w:w="862" w:type="dxa"/>
                  <w:vMerge w:val="restart"/>
                  <w:tcBorders>
                    <w:tl2br w:val="nil"/>
                    <w:tr2bl w:val="nil"/>
                  </w:tcBorders>
                  <w:vAlign w:val="center"/>
                </w:tcPr>
                <w:p w14:paraId="3477469F">
                  <w:pPr>
                    <w:pStyle w:val="57"/>
                    <w:rPr>
                      <w:b/>
                      <w:bCs w:val="0"/>
                      <w:color w:val="auto"/>
                    </w:rPr>
                  </w:pPr>
                  <w:r>
                    <w:rPr>
                      <w:b/>
                      <w:bCs w:val="0"/>
                      <w:color w:val="auto"/>
                    </w:rPr>
                    <w:t>生产设施编号</w:t>
                  </w:r>
                </w:p>
              </w:tc>
              <w:tc>
                <w:tcPr>
                  <w:tcW w:w="1281" w:type="dxa"/>
                  <w:vMerge w:val="restart"/>
                  <w:tcBorders>
                    <w:tl2br w:val="nil"/>
                    <w:tr2bl w:val="nil"/>
                  </w:tcBorders>
                  <w:vAlign w:val="center"/>
                </w:tcPr>
                <w:p w14:paraId="48518C2C">
                  <w:pPr>
                    <w:pStyle w:val="57"/>
                    <w:rPr>
                      <w:b/>
                      <w:bCs w:val="0"/>
                      <w:color w:val="auto"/>
                    </w:rPr>
                  </w:pPr>
                  <w:r>
                    <w:rPr>
                      <w:b/>
                      <w:bCs w:val="0"/>
                      <w:color w:val="auto"/>
                    </w:rPr>
                    <w:t>产污环节</w:t>
                  </w:r>
                </w:p>
              </w:tc>
              <w:tc>
                <w:tcPr>
                  <w:tcW w:w="1287" w:type="dxa"/>
                  <w:vMerge w:val="restart"/>
                  <w:tcBorders>
                    <w:tl2br w:val="nil"/>
                    <w:tr2bl w:val="nil"/>
                  </w:tcBorders>
                  <w:vAlign w:val="center"/>
                </w:tcPr>
                <w:p w14:paraId="758C9EDC">
                  <w:pPr>
                    <w:pStyle w:val="57"/>
                    <w:rPr>
                      <w:b/>
                      <w:bCs w:val="0"/>
                      <w:color w:val="auto"/>
                    </w:rPr>
                  </w:pPr>
                  <w:r>
                    <w:rPr>
                      <w:b/>
                      <w:bCs w:val="0"/>
                      <w:color w:val="auto"/>
                    </w:rPr>
                    <w:t>污染物种类</w:t>
                  </w:r>
                </w:p>
              </w:tc>
              <w:tc>
                <w:tcPr>
                  <w:tcW w:w="1462" w:type="dxa"/>
                  <w:vMerge w:val="restart"/>
                  <w:tcBorders>
                    <w:tl2br w:val="nil"/>
                    <w:tr2bl w:val="nil"/>
                  </w:tcBorders>
                  <w:vAlign w:val="center"/>
                </w:tcPr>
                <w:p w14:paraId="25E8037E">
                  <w:pPr>
                    <w:pStyle w:val="57"/>
                    <w:rPr>
                      <w:b/>
                      <w:bCs w:val="0"/>
                      <w:color w:val="auto"/>
                    </w:rPr>
                  </w:pPr>
                  <w:r>
                    <w:rPr>
                      <w:b/>
                      <w:bCs w:val="0"/>
                      <w:color w:val="auto"/>
                    </w:rPr>
                    <w:t>主要污染防治措施</w:t>
                  </w:r>
                </w:p>
              </w:tc>
              <w:tc>
                <w:tcPr>
                  <w:tcW w:w="6342" w:type="dxa"/>
                  <w:gridSpan w:val="2"/>
                  <w:tcBorders>
                    <w:tl2br w:val="nil"/>
                    <w:tr2bl w:val="nil"/>
                  </w:tcBorders>
                  <w:vAlign w:val="center"/>
                </w:tcPr>
                <w:p w14:paraId="11B941A7">
                  <w:pPr>
                    <w:pStyle w:val="57"/>
                    <w:rPr>
                      <w:b/>
                      <w:bCs w:val="0"/>
                      <w:color w:val="auto"/>
                    </w:rPr>
                  </w:pPr>
                  <w:r>
                    <w:rPr>
                      <w:b/>
                      <w:bCs w:val="0"/>
                      <w:color w:val="auto"/>
                    </w:rPr>
                    <w:t>国家或地方污染物排放标准</w:t>
                  </w:r>
                </w:p>
              </w:tc>
              <w:tc>
                <w:tcPr>
                  <w:tcW w:w="821" w:type="dxa"/>
                  <w:vMerge w:val="restart"/>
                  <w:tcBorders>
                    <w:tl2br w:val="nil"/>
                    <w:tr2bl w:val="nil"/>
                  </w:tcBorders>
                  <w:vAlign w:val="center"/>
                </w:tcPr>
                <w:p w14:paraId="6E25CF0F">
                  <w:pPr>
                    <w:pStyle w:val="57"/>
                    <w:rPr>
                      <w:b/>
                      <w:bCs w:val="0"/>
                      <w:color w:val="auto"/>
                    </w:rPr>
                  </w:pPr>
                  <w:r>
                    <w:rPr>
                      <w:b/>
                      <w:bCs w:val="0"/>
                      <w:color w:val="auto"/>
                    </w:rPr>
                    <w:t>其他信息</w:t>
                  </w:r>
                </w:p>
              </w:tc>
              <w:tc>
                <w:tcPr>
                  <w:tcW w:w="765" w:type="dxa"/>
                  <w:vMerge w:val="restart"/>
                  <w:tcBorders>
                    <w:tl2br w:val="nil"/>
                    <w:tr2bl w:val="nil"/>
                  </w:tcBorders>
                  <w:vAlign w:val="center"/>
                </w:tcPr>
                <w:p w14:paraId="37CE1A97">
                  <w:pPr>
                    <w:pStyle w:val="57"/>
                    <w:rPr>
                      <w:b/>
                      <w:bCs w:val="0"/>
                      <w:color w:val="auto"/>
                    </w:rPr>
                  </w:pPr>
                  <w:r>
                    <w:rPr>
                      <w:b/>
                      <w:bCs w:val="0"/>
                      <w:color w:val="auto"/>
                    </w:rPr>
                    <w:t>备注</w:t>
                  </w:r>
                </w:p>
              </w:tc>
            </w:tr>
            <w:tr w14:paraId="0BEE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1" w:type="dxa"/>
                  <w:vMerge w:val="continue"/>
                  <w:tcBorders>
                    <w:tl2br w:val="nil"/>
                    <w:tr2bl w:val="nil"/>
                  </w:tcBorders>
                  <w:vAlign w:val="center"/>
                </w:tcPr>
                <w:p w14:paraId="0A14E8D9">
                  <w:pPr>
                    <w:pStyle w:val="57"/>
                    <w:rPr>
                      <w:color w:val="auto"/>
                    </w:rPr>
                  </w:pPr>
                </w:p>
              </w:tc>
              <w:tc>
                <w:tcPr>
                  <w:tcW w:w="862" w:type="dxa"/>
                  <w:vMerge w:val="continue"/>
                  <w:tcBorders>
                    <w:tl2br w:val="nil"/>
                    <w:tr2bl w:val="nil"/>
                  </w:tcBorders>
                  <w:vAlign w:val="center"/>
                </w:tcPr>
                <w:p w14:paraId="35DC9CB3">
                  <w:pPr>
                    <w:pStyle w:val="57"/>
                    <w:rPr>
                      <w:color w:val="auto"/>
                    </w:rPr>
                  </w:pPr>
                </w:p>
              </w:tc>
              <w:tc>
                <w:tcPr>
                  <w:tcW w:w="1281" w:type="dxa"/>
                  <w:vMerge w:val="continue"/>
                  <w:tcBorders>
                    <w:tl2br w:val="nil"/>
                    <w:tr2bl w:val="nil"/>
                  </w:tcBorders>
                  <w:vAlign w:val="center"/>
                </w:tcPr>
                <w:p w14:paraId="19457187">
                  <w:pPr>
                    <w:pStyle w:val="57"/>
                    <w:rPr>
                      <w:color w:val="auto"/>
                    </w:rPr>
                  </w:pPr>
                </w:p>
              </w:tc>
              <w:tc>
                <w:tcPr>
                  <w:tcW w:w="1287" w:type="dxa"/>
                  <w:vMerge w:val="continue"/>
                  <w:tcBorders>
                    <w:tl2br w:val="nil"/>
                    <w:tr2bl w:val="nil"/>
                  </w:tcBorders>
                  <w:vAlign w:val="center"/>
                </w:tcPr>
                <w:p w14:paraId="4CDE9D1A">
                  <w:pPr>
                    <w:pStyle w:val="57"/>
                    <w:rPr>
                      <w:color w:val="auto"/>
                    </w:rPr>
                  </w:pPr>
                </w:p>
              </w:tc>
              <w:tc>
                <w:tcPr>
                  <w:tcW w:w="1462" w:type="dxa"/>
                  <w:vMerge w:val="continue"/>
                  <w:tcBorders>
                    <w:tl2br w:val="nil"/>
                    <w:tr2bl w:val="nil"/>
                  </w:tcBorders>
                  <w:vAlign w:val="center"/>
                </w:tcPr>
                <w:p w14:paraId="5B8708E9">
                  <w:pPr>
                    <w:pStyle w:val="57"/>
                    <w:rPr>
                      <w:color w:val="auto"/>
                    </w:rPr>
                  </w:pPr>
                </w:p>
              </w:tc>
              <w:tc>
                <w:tcPr>
                  <w:tcW w:w="4912" w:type="dxa"/>
                  <w:tcBorders>
                    <w:tl2br w:val="nil"/>
                    <w:tr2bl w:val="nil"/>
                  </w:tcBorders>
                  <w:vAlign w:val="center"/>
                </w:tcPr>
                <w:p w14:paraId="2E5A292D">
                  <w:pPr>
                    <w:pStyle w:val="57"/>
                    <w:rPr>
                      <w:b/>
                      <w:bCs w:val="0"/>
                      <w:color w:val="auto"/>
                    </w:rPr>
                  </w:pPr>
                  <w:r>
                    <w:rPr>
                      <w:b/>
                      <w:bCs w:val="0"/>
                      <w:color w:val="auto"/>
                    </w:rPr>
                    <w:t>标准名称</w:t>
                  </w:r>
                </w:p>
              </w:tc>
              <w:tc>
                <w:tcPr>
                  <w:tcW w:w="1430" w:type="dxa"/>
                  <w:tcBorders>
                    <w:tl2br w:val="nil"/>
                    <w:tr2bl w:val="nil"/>
                  </w:tcBorders>
                  <w:vAlign w:val="center"/>
                </w:tcPr>
                <w:p w14:paraId="420158B3">
                  <w:pPr>
                    <w:pStyle w:val="57"/>
                    <w:rPr>
                      <w:rFonts w:hint="eastAsia"/>
                      <w:b/>
                      <w:bCs w:val="0"/>
                      <w:color w:val="auto"/>
                    </w:rPr>
                  </w:pPr>
                  <w:r>
                    <w:rPr>
                      <w:b/>
                      <w:bCs w:val="0"/>
                      <w:color w:val="auto"/>
                    </w:rPr>
                    <w:t>浓度限值mg/N</w:t>
                  </w:r>
                  <w:r>
                    <w:rPr>
                      <w:rFonts w:hint="eastAsia"/>
                      <w:b/>
                      <w:bCs w:val="0"/>
                      <w:color w:val="auto"/>
                    </w:rPr>
                    <w:t>m</w:t>
                  </w:r>
                  <w:r>
                    <w:rPr>
                      <w:rFonts w:hint="eastAsia"/>
                      <w:b/>
                      <w:bCs w:val="0"/>
                      <w:color w:val="auto"/>
                      <w:vertAlign w:val="superscript"/>
                    </w:rPr>
                    <w:t>3</w:t>
                  </w:r>
                </w:p>
              </w:tc>
              <w:tc>
                <w:tcPr>
                  <w:tcW w:w="821" w:type="dxa"/>
                  <w:vMerge w:val="continue"/>
                  <w:tcBorders>
                    <w:tl2br w:val="nil"/>
                    <w:tr2bl w:val="nil"/>
                  </w:tcBorders>
                  <w:vAlign w:val="center"/>
                </w:tcPr>
                <w:p w14:paraId="39FD06D4">
                  <w:pPr>
                    <w:pStyle w:val="57"/>
                    <w:rPr>
                      <w:color w:val="auto"/>
                    </w:rPr>
                  </w:pPr>
                </w:p>
              </w:tc>
              <w:tc>
                <w:tcPr>
                  <w:tcW w:w="765" w:type="dxa"/>
                  <w:vMerge w:val="continue"/>
                  <w:tcBorders>
                    <w:tl2br w:val="nil"/>
                    <w:tr2bl w:val="nil"/>
                  </w:tcBorders>
                  <w:vAlign w:val="center"/>
                </w:tcPr>
                <w:p w14:paraId="4613A17E">
                  <w:pPr>
                    <w:pStyle w:val="57"/>
                    <w:rPr>
                      <w:color w:val="auto"/>
                    </w:rPr>
                  </w:pPr>
                </w:p>
              </w:tc>
            </w:tr>
            <w:tr w14:paraId="2240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01" w:type="dxa"/>
                  <w:tcBorders>
                    <w:tl2br w:val="nil"/>
                    <w:tr2bl w:val="nil"/>
                  </w:tcBorders>
                  <w:vAlign w:val="center"/>
                </w:tcPr>
                <w:p w14:paraId="7164D2A1">
                  <w:pPr>
                    <w:pStyle w:val="57"/>
                    <w:rPr>
                      <w:rFonts w:hint="eastAsia"/>
                      <w:color w:val="auto"/>
                    </w:rPr>
                  </w:pPr>
                  <w:r>
                    <w:rPr>
                      <w:rFonts w:hint="eastAsia"/>
                      <w:color w:val="auto"/>
                    </w:rPr>
                    <w:t>1</w:t>
                  </w:r>
                </w:p>
              </w:tc>
              <w:tc>
                <w:tcPr>
                  <w:tcW w:w="862" w:type="dxa"/>
                  <w:tcBorders>
                    <w:tl2br w:val="nil"/>
                    <w:tr2bl w:val="nil"/>
                  </w:tcBorders>
                  <w:vAlign w:val="center"/>
                </w:tcPr>
                <w:p w14:paraId="64E4E977">
                  <w:pPr>
                    <w:pStyle w:val="57"/>
                    <w:rPr>
                      <w:color w:val="auto"/>
                    </w:rPr>
                  </w:pPr>
                  <w:r>
                    <w:rPr>
                      <w:color w:val="auto"/>
                    </w:rPr>
                    <w:t>/</w:t>
                  </w:r>
                </w:p>
              </w:tc>
              <w:tc>
                <w:tcPr>
                  <w:tcW w:w="1281" w:type="dxa"/>
                  <w:tcBorders>
                    <w:tl2br w:val="nil"/>
                    <w:tr2bl w:val="nil"/>
                  </w:tcBorders>
                  <w:vAlign w:val="center"/>
                </w:tcPr>
                <w:p w14:paraId="65D452AB">
                  <w:pPr>
                    <w:pStyle w:val="57"/>
                    <w:rPr>
                      <w:color w:val="auto"/>
                    </w:rPr>
                  </w:pPr>
                  <w:r>
                    <w:rPr>
                      <w:rFonts w:hint="eastAsia"/>
                      <w:color w:val="auto"/>
                    </w:rPr>
                    <w:t>注塑、热转印、印刷、烘干、注墨</w:t>
                  </w:r>
                </w:p>
              </w:tc>
              <w:tc>
                <w:tcPr>
                  <w:tcW w:w="1287" w:type="dxa"/>
                  <w:tcBorders>
                    <w:tl2br w:val="nil"/>
                    <w:tr2bl w:val="nil"/>
                  </w:tcBorders>
                  <w:vAlign w:val="center"/>
                </w:tcPr>
                <w:p w14:paraId="51A680E9">
                  <w:pPr>
                    <w:pStyle w:val="57"/>
                    <w:rPr>
                      <w:color w:val="auto"/>
                    </w:rPr>
                  </w:pPr>
                  <w:r>
                    <w:rPr>
                      <w:rFonts w:hint="eastAsia"/>
                      <w:color w:val="auto"/>
                    </w:rPr>
                    <w:t>非甲烷总烃</w:t>
                  </w:r>
                </w:p>
              </w:tc>
              <w:tc>
                <w:tcPr>
                  <w:tcW w:w="1462" w:type="dxa"/>
                  <w:tcBorders>
                    <w:tl2br w:val="nil"/>
                    <w:tr2bl w:val="nil"/>
                  </w:tcBorders>
                  <w:vAlign w:val="center"/>
                </w:tcPr>
                <w:p w14:paraId="5E62E98B">
                  <w:pPr>
                    <w:pStyle w:val="57"/>
                    <w:rPr>
                      <w:color w:val="auto"/>
                    </w:rPr>
                  </w:pPr>
                  <w:r>
                    <w:rPr>
                      <w:color w:val="auto"/>
                    </w:rPr>
                    <w:t>加强管理，设置软帘、挡板提高收集效率</w:t>
                  </w:r>
                </w:p>
              </w:tc>
              <w:tc>
                <w:tcPr>
                  <w:tcW w:w="4912" w:type="dxa"/>
                  <w:tcBorders>
                    <w:tl2br w:val="nil"/>
                    <w:tr2bl w:val="nil"/>
                  </w:tcBorders>
                  <w:vAlign w:val="center"/>
                </w:tcPr>
                <w:p w14:paraId="0CE84D82">
                  <w:pPr>
                    <w:pStyle w:val="57"/>
                    <w:rPr>
                      <w:rFonts w:hint="eastAsia"/>
                      <w:color w:val="auto"/>
                    </w:rPr>
                  </w:pPr>
                  <w:r>
                    <w:rPr>
                      <w:rFonts w:hint="eastAsia"/>
                      <w:color w:val="auto"/>
                    </w:rPr>
                    <w:t>《合成树脂工业污染物排放标准》（GB31572-2015）中表5大气污染物特别排放限值及表9企业边界大气污染物浓度限值</w:t>
                  </w:r>
                </w:p>
              </w:tc>
              <w:tc>
                <w:tcPr>
                  <w:tcW w:w="1430" w:type="dxa"/>
                  <w:tcBorders>
                    <w:tl2br w:val="nil"/>
                    <w:tr2bl w:val="nil"/>
                  </w:tcBorders>
                  <w:vAlign w:val="center"/>
                </w:tcPr>
                <w:p w14:paraId="3F4A9CF6">
                  <w:pPr>
                    <w:pStyle w:val="57"/>
                    <w:rPr>
                      <w:color w:val="auto"/>
                    </w:rPr>
                  </w:pPr>
                  <w:r>
                    <w:rPr>
                      <w:rFonts w:hint="eastAsia"/>
                      <w:color w:val="auto"/>
                    </w:rPr>
                    <w:t>4.0</w:t>
                  </w:r>
                </w:p>
              </w:tc>
              <w:tc>
                <w:tcPr>
                  <w:tcW w:w="821" w:type="dxa"/>
                  <w:tcBorders>
                    <w:tl2br w:val="nil"/>
                    <w:tr2bl w:val="nil"/>
                  </w:tcBorders>
                  <w:vAlign w:val="center"/>
                </w:tcPr>
                <w:p w14:paraId="29EC07D0">
                  <w:pPr>
                    <w:pStyle w:val="57"/>
                    <w:rPr>
                      <w:color w:val="auto"/>
                    </w:rPr>
                  </w:pPr>
                  <w:r>
                    <w:rPr>
                      <w:color w:val="auto"/>
                    </w:rPr>
                    <w:t>/</w:t>
                  </w:r>
                </w:p>
              </w:tc>
              <w:tc>
                <w:tcPr>
                  <w:tcW w:w="765" w:type="dxa"/>
                  <w:tcBorders>
                    <w:tl2br w:val="nil"/>
                    <w:tr2bl w:val="nil"/>
                  </w:tcBorders>
                  <w:vAlign w:val="center"/>
                </w:tcPr>
                <w:p w14:paraId="3AFC74D6">
                  <w:pPr>
                    <w:pStyle w:val="57"/>
                    <w:rPr>
                      <w:color w:val="auto"/>
                    </w:rPr>
                  </w:pPr>
                  <w:r>
                    <w:rPr>
                      <w:color w:val="auto"/>
                    </w:rPr>
                    <w:t>/</w:t>
                  </w:r>
                </w:p>
              </w:tc>
            </w:tr>
          </w:tbl>
          <w:p w14:paraId="5EFB112F">
            <w:pPr>
              <w:pStyle w:val="23"/>
              <w:ind w:left="0" w:leftChars="0" w:firstLine="0" w:firstLineChars="0"/>
              <w:rPr>
                <w:color w:val="auto"/>
              </w:rPr>
            </w:pPr>
          </w:p>
        </w:tc>
      </w:tr>
    </w:tbl>
    <w:p w14:paraId="69E8946E">
      <w:pPr>
        <w:pStyle w:val="23"/>
        <w:ind w:left="0" w:leftChars="0" w:firstLine="0" w:firstLineChars="0"/>
        <w:rPr>
          <w:color w:val="auto"/>
        </w:rPr>
        <w:sectPr>
          <w:pgSz w:w="16838" w:h="11906" w:orient="landscape"/>
          <w:pgMar w:top="1417" w:right="1417" w:bottom="1417" w:left="1247" w:header="567" w:footer="851" w:gutter="0"/>
          <w:cols w:space="720" w:num="1"/>
          <w:docGrid w:linePitch="312" w:charSpace="0"/>
        </w:sectPr>
      </w:pPr>
    </w:p>
    <w:tbl>
      <w:tblPr>
        <w:tblStyle w:val="38"/>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532"/>
      </w:tblGrid>
      <w:tr w14:paraId="534F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69" w:hRule="atLeast"/>
        </w:trPr>
        <w:tc>
          <w:tcPr>
            <w:tcW w:w="760" w:type="dxa"/>
          </w:tcPr>
          <w:p w14:paraId="23B24C77">
            <w:pPr>
              <w:pStyle w:val="14"/>
              <w:ind w:left="480"/>
              <w:rPr>
                <w:rFonts w:hint="eastAsia"/>
                <w:color w:val="auto"/>
              </w:rPr>
            </w:pPr>
          </w:p>
          <w:p w14:paraId="1884DB3B">
            <w:pPr>
              <w:pStyle w:val="14"/>
              <w:ind w:left="480"/>
              <w:rPr>
                <w:rFonts w:hint="eastAsia"/>
                <w:color w:val="auto"/>
              </w:rPr>
            </w:pPr>
          </w:p>
          <w:p w14:paraId="4604C556">
            <w:pPr>
              <w:pStyle w:val="14"/>
              <w:ind w:left="0" w:leftChars="0" w:firstLine="0" w:firstLineChars="0"/>
              <w:rPr>
                <w:rFonts w:hint="eastAsia"/>
                <w:color w:val="auto"/>
              </w:rPr>
            </w:pPr>
          </w:p>
          <w:p w14:paraId="6702B591">
            <w:pPr>
              <w:pStyle w:val="14"/>
              <w:ind w:left="0" w:leftChars="0" w:firstLine="0" w:firstLineChars="0"/>
              <w:rPr>
                <w:rFonts w:hint="eastAsia"/>
                <w:color w:val="auto"/>
              </w:rPr>
            </w:pPr>
          </w:p>
          <w:p w14:paraId="05B6F090">
            <w:pPr>
              <w:pStyle w:val="14"/>
              <w:ind w:left="0" w:leftChars="0" w:firstLine="0" w:firstLineChars="0"/>
              <w:rPr>
                <w:rFonts w:hint="eastAsia"/>
                <w:color w:val="auto"/>
              </w:rPr>
            </w:pPr>
          </w:p>
          <w:p w14:paraId="44B60E31">
            <w:pPr>
              <w:pStyle w:val="14"/>
              <w:ind w:left="0" w:leftChars="0" w:firstLine="0" w:firstLineChars="0"/>
              <w:rPr>
                <w:rFonts w:hint="eastAsia"/>
                <w:color w:val="auto"/>
              </w:rPr>
            </w:pPr>
          </w:p>
          <w:p w14:paraId="41B46074">
            <w:pPr>
              <w:pStyle w:val="14"/>
              <w:ind w:left="0" w:leftChars="0" w:firstLine="0" w:firstLineChars="0"/>
              <w:rPr>
                <w:rFonts w:hint="eastAsia"/>
                <w:color w:val="auto"/>
              </w:rPr>
            </w:pPr>
          </w:p>
          <w:p w14:paraId="6803F6D2">
            <w:pPr>
              <w:pStyle w:val="14"/>
              <w:ind w:left="0" w:leftChars="0" w:firstLine="0" w:firstLineChars="0"/>
              <w:rPr>
                <w:rFonts w:hint="eastAsia"/>
                <w:color w:val="auto"/>
              </w:rPr>
            </w:pPr>
          </w:p>
          <w:p w14:paraId="7B648580">
            <w:pPr>
              <w:pStyle w:val="14"/>
              <w:ind w:left="0" w:leftChars="0" w:firstLine="0" w:firstLineChars="0"/>
              <w:rPr>
                <w:rFonts w:hint="eastAsia"/>
                <w:color w:val="auto"/>
              </w:rPr>
            </w:pPr>
          </w:p>
          <w:p w14:paraId="6573E8B2">
            <w:pPr>
              <w:pStyle w:val="14"/>
              <w:ind w:left="0" w:leftChars="0" w:firstLine="0" w:firstLineChars="0"/>
              <w:rPr>
                <w:rFonts w:hint="eastAsia"/>
                <w:color w:val="auto"/>
              </w:rPr>
            </w:pPr>
          </w:p>
          <w:p w14:paraId="61E84774">
            <w:pPr>
              <w:pStyle w:val="14"/>
              <w:ind w:left="0" w:leftChars="0" w:firstLine="0" w:firstLineChars="0"/>
              <w:rPr>
                <w:rFonts w:hint="eastAsia"/>
                <w:color w:val="auto"/>
              </w:rPr>
            </w:pPr>
          </w:p>
          <w:p w14:paraId="26D1A6AE">
            <w:pPr>
              <w:pStyle w:val="14"/>
              <w:ind w:left="0" w:leftChars="0" w:firstLine="0" w:firstLineChars="0"/>
              <w:rPr>
                <w:rFonts w:hint="eastAsia"/>
                <w:color w:val="auto"/>
              </w:rPr>
            </w:pPr>
          </w:p>
          <w:p w14:paraId="2403B7A5">
            <w:pPr>
              <w:pStyle w:val="14"/>
              <w:ind w:left="0" w:leftChars="0" w:firstLine="0" w:firstLineChars="0"/>
              <w:rPr>
                <w:rFonts w:hint="eastAsia"/>
                <w:color w:val="auto"/>
              </w:rPr>
            </w:pPr>
          </w:p>
          <w:p w14:paraId="0F45A242">
            <w:pPr>
              <w:pStyle w:val="14"/>
              <w:ind w:left="0" w:leftChars="0" w:firstLine="0" w:firstLineChars="0"/>
              <w:rPr>
                <w:rFonts w:hint="eastAsia"/>
                <w:color w:val="auto"/>
              </w:rPr>
            </w:pPr>
          </w:p>
          <w:p w14:paraId="7F900A55">
            <w:pPr>
              <w:pStyle w:val="14"/>
              <w:ind w:left="0" w:leftChars="0" w:firstLine="0" w:firstLineChars="0"/>
              <w:rPr>
                <w:rFonts w:hint="eastAsia"/>
                <w:color w:val="auto"/>
              </w:rPr>
            </w:pPr>
          </w:p>
          <w:p w14:paraId="1014B024">
            <w:pPr>
              <w:pStyle w:val="14"/>
              <w:ind w:left="0" w:leftChars="0" w:firstLine="0" w:firstLineChars="0"/>
              <w:rPr>
                <w:color w:val="auto"/>
              </w:rPr>
            </w:pPr>
            <w:r>
              <w:rPr>
                <w:rFonts w:hint="eastAsia"/>
                <w:b/>
                <w:bCs/>
                <w:color w:val="auto"/>
                <w:sz w:val="24"/>
              </w:rPr>
              <w:t>运营期环境影响和保护措施</w:t>
            </w:r>
          </w:p>
        </w:tc>
        <w:tc>
          <w:tcPr>
            <w:tcW w:w="8532" w:type="dxa"/>
            <w:vMerge w:val="restart"/>
          </w:tcPr>
          <w:p w14:paraId="19E17770">
            <w:pPr>
              <w:widowControl/>
              <w:ind w:firstLine="482"/>
              <w:rPr>
                <w:b/>
                <w:bCs/>
                <w:color w:val="auto"/>
                <w:kern w:val="0"/>
              </w:rPr>
            </w:pPr>
            <w:r>
              <w:rPr>
                <w:rFonts w:hint="eastAsia"/>
                <w:b/>
                <w:color w:val="auto"/>
                <w:kern w:val="0"/>
              </w:rPr>
              <w:t>（2）</w:t>
            </w:r>
            <w:r>
              <w:rPr>
                <w:rFonts w:hint="eastAsia"/>
                <w:b/>
                <w:bCs/>
                <w:color w:val="auto"/>
                <w:kern w:val="0"/>
              </w:rPr>
              <w:t>废气可行技术分析</w:t>
            </w:r>
          </w:p>
          <w:p w14:paraId="6AD21EF1">
            <w:pPr>
              <w:widowControl/>
              <w:ind w:firstLine="482"/>
              <w:rPr>
                <w:b/>
                <w:bCs/>
                <w:color w:val="auto"/>
                <w:kern w:val="0"/>
              </w:rPr>
            </w:pPr>
            <w:r>
              <w:rPr>
                <w:rFonts w:hint="eastAsia"/>
                <w:b/>
                <w:bCs/>
                <w:color w:val="auto"/>
                <w:kern w:val="0"/>
              </w:rPr>
              <w:t>①注塑、热转印、印刷、烘干、注墨废气处理可行性分析</w:t>
            </w:r>
          </w:p>
          <w:p w14:paraId="369FFBEB">
            <w:pPr>
              <w:widowControl/>
              <w:ind w:firstLine="480"/>
              <w:rPr>
                <w:color w:val="auto"/>
                <w:kern w:val="0"/>
              </w:rPr>
            </w:pPr>
            <w:r>
              <w:rPr>
                <w:rFonts w:hint="eastAsia"/>
                <w:color w:val="auto"/>
                <w:kern w:val="0"/>
              </w:rPr>
              <w:t>根据《排污许可证申请与核发技术规范橡胶和塑料制品工业》（HJ1122-2020）</w:t>
            </w:r>
            <w:r>
              <w:rPr>
                <w:color w:val="auto"/>
                <w:kern w:val="0"/>
              </w:rPr>
              <w:t>中的</w:t>
            </w:r>
            <w:r>
              <w:rPr>
                <w:rFonts w:hint="eastAsia"/>
                <w:color w:val="auto"/>
                <w:kern w:val="0"/>
              </w:rPr>
              <w:t>“表</w:t>
            </w:r>
            <w:r>
              <w:rPr>
                <w:color w:val="auto"/>
                <w:kern w:val="0"/>
              </w:rPr>
              <w:t>A.2</w:t>
            </w:r>
            <w:r>
              <w:rPr>
                <w:rFonts w:hint="eastAsia"/>
                <w:color w:val="auto"/>
                <w:kern w:val="0"/>
              </w:rPr>
              <w:t>塑料制品工业排污单位废气污染防治可行技术参考表”，“塑料丝、绳及编织品制造”，“非甲烷总烃”</w:t>
            </w:r>
            <w:r>
              <w:rPr>
                <w:color w:val="auto"/>
                <w:kern w:val="0"/>
              </w:rPr>
              <w:t>采用</w:t>
            </w:r>
            <w:r>
              <w:rPr>
                <w:rFonts w:hint="eastAsia"/>
                <w:color w:val="auto"/>
                <w:kern w:val="0"/>
              </w:rPr>
              <w:t>“喷淋；吸附；吸附浓缩+热力燃烧/催化燃烧”</w:t>
            </w:r>
            <w:r>
              <w:rPr>
                <w:color w:val="auto"/>
                <w:kern w:val="0"/>
              </w:rPr>
              <w:t>处理属于可行技术</w:t>
            </w:r>
            <w:r>
              <w:rPr>
                <w:rFonts w:hint="eastAsia"/>
                <w:color w:val="auto"/>
                <w:kern w:val="0"/>
              </w:rPr>
              <w:t>。</w:t>
            </w:r>
          </w:p>
          <w:p w14:paraId="5EE7A3E2">
            <w:pPr>
              <w:widowControl/>
              <w:ind w:firstLine="480"/>
              <w:rPr>
                <w:color w:val="auto"/>
                <w:kern w:val="0"/>
              </w:rPr>
            </w:pPr>
            <w:r>
              <w:rPr>
                <w:rFonts w:hint="eastAsia"/>
                <w:color w:val="auto"/>
                <w:kern w:val="0"/>
              </w:rPr>
              <w:t>因此，本项目注塑、热转印、印刷、烘干、注墨废气收集后经“二级活性炭”</w:t>
            </w:r>
            <w:r>
              <w:rPr>
                <w:color w:val="auto"/>
                <w:kern w:val="0"/>
              </w:rPr>
              <w:t>处理</w:t>
            </w:r>
            <w:r>
              <w:rPr>
                <w:rFonts w:hint="eastAsia"/>
                <w:color w:val="auto"/>
                <w:kern w:val="0"/>
              </w:rPr>
              <w:t>是可行的</w:t>
            </w:r>
            <w:r>
              <w:rPr>
                <w:color w:val="auto"/>
                <w:kern w:val="0"/>
              </w:rPr>
              <w:t>。</w:t>
            </w:r>
          </w:p>
          <w:p w14:paraId="05C38BBF">
            <w:pPr>
              <w:widowControl/>
              <w:ind w:firstLine="482"/>
              <w:rPr>
                <w:b/>
                <w:bCs/>
                <w:color w:val="auto"/>
                <w:kern w:val="0"/>
              </w:rPr>
            </w:pPr>
            <w:r>
              <w:rPr>
                <w:rFonts w:hint="eastAsia"/>
                <w:b/>
                <w:bCs/>
                <w:color w:val="auto"/>
                <w:kern w:val="0"/>
              </w:rPr>
              <w:t>②关于《吸附法工业有机废气治理工程技术规范》（HJ2026—2013）符合性分析</w:t>
            </w:r>
          </w:p>
          <w:p w14:paraId="3318ECFD">
            <w:pPr>
              <w:widowControl/>
              <w:ind w:firstLine="480"/>
              <w:rPr>
                <w:rFonts w:hint="eastAsia"/>
                <w:color w:val="auto"/>
              </w:rPr>
            </w:pPr>
            <w:r>
              <w:rPr>
                <w:rFonts w:hint="eastAsia"/>
                <w:color w:val="auto"/>
              </w:rPr>
              <w:t>活性炭是一种非极性表面、疏水性和亲有机物的吸附剂，能够有效去除废气中的有机溶剂和臭味，与有机废气接触时产生强烈的相互物理作用力-范德华力，在此力作用下，有机废气中的有害成分被截留，使气体得到净化。为达到稳定的工作效率，活性炭需定期更换。</w:t>
            </w:r>
          </w:p>
          <w:p w14:paraId="3A5AE569">
            <w:pPr>
              <w:ind w:firstLine="480"/>
              <w:rPr>
                <w:color w:val="auto"/>
              </w:rPr>
            </w:pPr>
            <w:r>
              <w:rPr>
                <w:color w:val="auto"/>
              </w:rPr>
              <w:t>本项目采用固定床吸附，活性炭采用蜂窝状活性炭吸附。根据《吸附法工业有机废气治理工程技术规范》（HJ2026-2013）的相关要求</w:t>
            </w:r>
            <w:r>
              <w:rPr>
                <w:rFonts w:hint="eastAsia"/>
                <w:color w:val="auto"/>
              </w:rPr>
              <w:t>，采用蜂窝状吸附剂时，气体流速宜低于1.2m/s</w:t>
            </w:r>
            <w:r>
              <w:rPr>
                <w:color w:val="auto"/>
              </w:rPr>
              <w:t>，活性炭采用蜂窝状活性炭吸附</w:t>
            </w:r>
            <w:r>
              <w:rPr>
                <w:rFonts w:hint="eastAsia"/>
                <w:color w:val="auto"/>
              </w:rPr>
              <w:t>，废气温度为室温，温度低于40℃。</w:t>
            </w:r>
            <w:r>
              <w:rPr>
                <w:color w:val="auto"/>
              </w:rPr>
              <w:t>本项目</w:t>
            </w:r>
            <w:r>
              <w:rPr>
                <w:rFonts w:hint="eastAsia"/>
                <w:color w:val="auto"/>
              </w:rPr>
              <w:t>1</w:t>
            </w:r>
            <w:r>
              <w:rPr>
                <w:color w:val="auto"/>
              </w:rPr>
              <w:t>套</w:t>
            </w:r>
            <w:r>
              <w:rPr>
                <w:rFonts w:hint="eastAsia"/>
                <w:color w:val="auto"/>
              </w:rPr>
              <w:t>二级</w:t>
            </w:r>
            <w:r>
              <w:rPr>
                <w:color w:val="auto"/>
              </w:rPr>
              <w:t>活性炭每级活性炭装置基本参数如下表所示：</w:t>
            </w:r>
          </w:p>
          <w:p w14:paraId="0BEA855D">
            <w:pPr>
              <w:pStyle w:val="58"/>
              <w:ind w:firstLine="422"/>
              <w:rPr>
                <w:color w:val="auto"/>
              </w:rPr>
            </w:pPr>
            <w:r>
              <w:rPr>
                <w:color w:val="auto"/>
              </w:rPr>
              <w:t>表</w:t>
            </w:r>
            <w:r>
              <w:rPr>
                <w:rFonts w:hint="eastAsia"/>
                <w:color w:val="auto"/>
              </w:rPr>
              <w:t>4-</w:t>
            </w:r>
            <w:r>
              <w:rPr>
                <w:rFonts w:hint="eastAsia"/>
                <w:color w:val="auto"/>
                <w:lang w:val="en-US" w:eastAsia="zh-CN"/>
              </w:rPr>
              <w:t>7</w:t>
            </w:r>
            <w:r>
              <w:rPr>
                <w:color w:val="auto"/>
              </w:rPr>
              <w:t>活性炭装置基本参数</w:t>
            </w:r>
          </w:p>
          <w:tbl>
            <w:tblPr>
              <w:tblStyle w:val="37"/>
              <w:tblW w:w="82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8"/>
              <w:gridCol w:w="905"/>
              <w:gridCol w:w="670"/>
              <w:gridCol w:w="725"/>
              <w:gridCol w:w="729"/>
              <w:gridCol w:w="1048"/>
              <w:gridCol w:w="690"/>
              <w:gridCol w:w="762"/>
              <w:gridCol w:w="972"/>
              <w:gridCol w:w="812"/>
              <w:gridCol w:w="641"/>
            </w:tblGrid>
            <w:tr w14:paraId="5B4C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38" w:type="dxa"/>
                  <w:tcBorders>
                    <w:tl2br w:val="nil"/>
                    <w:tr2bl w:val="nil"/>
                  </w:tcBorders>
                  <w:vAlign w:val="center"/>
                </w:tcPr>
                <w:p w14:paraId="0E613EA6">
                  <w:pPr>
                    <w:pStyle w:val="57"/>
                    <w:rPr>
                      <w:b/>
                      <w:bCs w:val="0"/>
                      <w:color w:val="auto"/>
                    </w:rPr>
                  </w:pPr>
                  <w:r>
                    <w:rPr>
                      <w:b/>
                      <w:bCs w:val="0"/>
                      <w:color w:val="auto"/>
                    </w:rPr>
                    <w:t>序号</w:t>
                  </w:r>
                </w:p>
              </w:tc>
              <w:tc>
                <w:tcPr>
                  <w:tcW w:w="905" w:type="dxa"/>
                  <w:tcBorders>
                    <w:tl2br w:val="nil"/>
                    <w:tr2bl w:val="nil"/>
                  </w:tcBorders>
                  <w:vAlign w:val="center"/>
                </w:tcPr>
                <w:p w14:paraId="3A4B0215">
                  <w:pPr>
                    <w:pStyle w:val="57"/>
                    <w:rPr>
                      <w:b/>
                      <w:bCs w:val="0"/>
                      <w:color w:val="auto"/>
                    </w:rPr>
                  </w:pPr>
                  <w:r>
                    <w:rPr>
                      <w:rFonts w:hint="eastAsia"/>
                      <w:b/>
                      <w:bCs w:val="0"/>
                      <w:color w:val="auto"/>
                    </w:rPr>
                    <w:t>排气筒</w:t>
                  </w:r>
                </w:p>
              </w:tc>
              <w:tc>
                <w:tcPr>
                  <w:tcW w:w="670" w:type="dxa"/>
                  <w:tcBorders>
                    <w:tl2br w:val="nil"/>
                    <w:tr2bl w:val="nil"/>
                  </w:tcBorders>
                  <w:vAlign w:val="center"/>
                </w:tcPr>
                <w:p w14:paraId="50C1DD7C">
                  <w:pPr>
                    <w:pStyle w:val="57"/>
                    <w:rPr>
                      <w:b/>
                      <w:bCs w:val="0"/>
                      <w:color w:val="auto"/>
                    </w:rPr>
                  </w:pPr>
                  <w:r>
                    <w:rPr>
                      <w:b/>
                      <w:bCs w:val="0"/>
                      <w:color w:val="auto"/>
                    </w:rPr>
                    <w:t>吸附量(t/a)</w:t>
                  </w:r>
                </w:p>
              </w:tc>
              <w:tc>
                <w:tcPr>
                  <w:tcW w:w="725" w:type="dxa"/>
                  <w:tcBorders>
                    <w:tl2br w:val="nil"/>
                    <w:tr2bl w:val="nil"/>
                  </w:tcBorders>
                  <w:vAlign w:val="center"/>
                </w:tcPr>
                <w:p w14:paraId="4A0DF474">
                  <w:pPr>
                    <w:pStyle w:val="57"/>
                    <w:rPr>
                      <w:rFonts w:hint="eastAsia"/>
                      <w:b/>
                      <w:bCs w:val="0"/>
                      <w:color w:val="auto"/>
                    </w:rPr>
                  </w:pPr>
                  <w:r>
                    <w:rPr>
                      <w:rFonts w:hint="eastAsia"/>
                      <w:b/>
                      <w:bCs w:val="0"/>
                      <w:color w:val="auto"/>
                    </w:rPr>
                    <w:t>活性炭量</w:t>
                  </w:r>
                </w:p>
                <w:p w14:paraId="47EEA789">
                  <w:pPr>
                    <w:pStyle w:val="57"/>
                    <w:rPr>
                      <w:b/>
                      <w:bCs w:val="0"/>
                      <w:color w:val="auto"/>
                    </w:rPr>
                  </w:pPr>
                  <w:r>
                    <w:rPr>
                      <w:b/>
                      <w:bCs w:val="0"/>
                      <w:color w:val="auto"/>
                    </w:rPr>
                    <w:t>(t/a)</w:t>
                  </w:r>
                </w:p>
              </w:tc>
              <w:tc>
                <w:tcPr>
                  <w:tcW w:w="729" w:type="dxa"/>
                  <w:tcBorders>
                    <w:tl2br w:val="nil"/>
                    <w:tr2bl w:val="nil"/>
                  </w:tcBorders>
                  <w:vAlign w:val="center"/>
                </w:tcPr>
                <w:p w14:paraId="0F0DF14A">
                  <w:pPr>
                    <w:pStyle w:val="57"/>
                    <w:rPr>
                      <w:rFonts w:hint="eastAsia"/>
                      <w:b/>
                      <w:bCs w:val="0"/>
                      <w:color w:val="auto"/>
                    </w:rPr>
                  </w:pPr>
                  <w:r>
                    <w:rPr>
                      <w:rFonts w:hint="eastAsia"/>
                      <w:b/>
                      <w:bCs w:val="0"/>
                      <w:color w:val="auto"/>
                    </w:rPr>
                    <w:t>单箱填充量</w:t>
                  </w:r>
                  <w:r>
                    <w:rPr>
                      <w:b/>
                      <w:bCs w:val="0"/>
                      <w:color w:val="auto"/>
                    </w:rPr>
                    <w:t>(t/a)</w:t>
                  </w:r>
                </w:p>
              </w:tc>
              <w:tc>
                <w:tcPr>
                  <w:tcW w:w="1048" w:type="dxa"/>
                  <w:tcBorders>
                    <w:tl2br w:val="nil"/>
                    <w:tr2bl w:val="nil"/>
                  </w:tcBorders>
                  <w:vAlign w:val="center"/>
                </w:tcPr>
                <w:p w14:paraId="5E3B1509">
                  <w:pPr>
                    <w:pStyle w:val="57"/>
                    <w:rPr>
                      <w:b/>
                      <w:bCs w:val="0"/>
                      <w:color w:val="auto"/>
                    </w:rPr>
                  </w:pPr>
                  <w:r>
                    <w:rPr>
                      <w:b/>
                      <w:bCs w:val="0"/>
                      <w:color w:val="auto"/>
                    </w:rPr>
                    <w:t>废气流量（m³/h</w:t>
                  </w:r>
                  <w:r>
                    <w:rPr>
                      <w:rFonts w:hint="eastAsia"/>
                      <w:b/>
                      <w:bCs w:val="0"/>
                      <w:color w:val="auto"/>
                    </w:rPr>
                    <w:t>）</w:t>
                  </w:r>
                </w:p>
              </w:tc>
              <w:tc>
                <w:tcPr>
                  <w:tcW w:w="690" w:type="dxa"/>
                  <w:tcBorders>
                    <w:tl2br w:val="nil"/>
                    <w:tr2bl w:val="nil"/>
                  </w:tcBorders>
                  <w:vAlign w:val="center"/>
                </w:tcPr>
                <w:p w14:paraId="5FC4F8BF">
                  <w:pPr>
                    <w:pStyle w:val="57"/>
                    <w:rPr>
                      <w:rFonts w:hint="eastAsia"/>
                      <w:b/>
                      <w:bCs w:val="0"/>
                      <w:color w:val="auto"/>
                    </w:rPr>
                  </w:pPr>
                  <w:r>
                    <w:rPr>
                      <w:rFonts w:hint="eastAsia"/>
                      <w:b/>
                      <w:bCs w:val="0"/>
                      <w:color w:val="auto"/>
                    </w:rPr>
                    <w:t>截面积</w:t>
                  </w:r>
                  <w:r>
                    <w:rPr>
                      <w:b/>
                      <w:bCs w:val="0"/>
                      <w:color w:val="auto"/>
                    </w:rPr>
                    <w:t>(</w:t>
                  </w:r>
                  <w:r>
                    <w:rPr>
                      <w:rFonts w:hint="eastAsia"/>
                      <w:b/>
                      <w:bCs w:val="0"/>
                      <w:color w:val="auto"/>
                    </w:rPr>
                    <w:t>㎡）</w:t>
                  </w:r>
                </w:p>
              </w:tc>
              <w:tc>
                <w:tcPr>
                  <w:tcW w:w="762" w:type="dxa"/>
                  <w:tcBorders>
                    <w:tl2br w:val="nil"/>
                    <w:tr2bl w:val="nil"/>
                  </w:tcBorders>
                  <w:vAlign w:val="center"/>
                </w:tcPr>
                <w:p w14:paraId="2A2DFDD0">
                  <w:pPr>
                    <w:pStyle w:val="57"/>
                    <w:rPr>
                      <w:rFonts w:hint="eastAsia"/>
                      <w:b/>
                      <w:bCs w:val="0"/>
                      <w:color w:val="auto"/>
                    </w:rPr>
                  </w:pPr>
                  <w:r>
                    <w:rPr>
                      <w:rFonts w:hint="eastAsia"/>
                      <w:b/>
                      <w:bCs w:val="0"/>
                      <w:color w:val="auto"/>
                    </w:rPr>
                    <w:t>废气流速</w:t>
                  </w:r>
                  <w:r>
                    <w:rPr>
                      <w:b/>
                      <w:bCs w:val="0"/>
                      <w:color w:val="auto"/>
                    </w:rPr>
                    <w:t>m/s</w:t>
                  </w:r>
                </w:p>
              </w:tc>
              <w:tc>
                <w:tcPr>
                  <w:tcW w:w="972" w:type="dxa"/>
                  <w:tcBorders>
                    <w:tl2br w:val="nil"/>
                    <w:tr2bl w:val="nil"/>
                  </w:tcBorders>
                  <w:vAlign w:val="center"/>
                </w:tcPr>
                <w:p w14:paraId="3697FDE7">
                  <w:pPr>
                    <w:pStyle w:val="57"/>
                    <w:rPr>
                      <w:rFonts w:hint="eastAsia"/>
                      <w:b/>
                      <w:bCs w:val="0"/>
                      <w:color w:val="auto"/>
                    </w:rPr>
                  </w:pPr>
                  <w:r>
                    <w:rPr>
                      <w:rFonts w:hint="eastAsia"/>
                      <w:b/>
                      <w:bCs w:val="0"/>
                      <w:color w:val="auto"/>
                    </w:rPr>
                    <w:t>更换周期</w:t>
                  </w:r>
                  <w:r>
                    <w:rPr>
                      <w:b/>
                      <w:bCs w:val="0"/>
                      <w:color w:val="auto"/>
                    </w:rPr>
                    <w:t>(</w:t>
                  </w:r>
                  <w:r>
                    <w:rPr>
                      <w:rFonts w:hint="eastAsia"/>
                      <w:b/>
                      <w:bCs w:val="0"/>
                      <w:color w:val="auto"/>
                    </w:rPr>
                    <w:t>月</w:t>
                  </w:r>
                  <w:r>
                    <w:rPr>
                      <w:b/>
                      <w:bCs w:val="0"/>
                      <w:color w:val="auto"/>
                    </w:rPr>
                    <w:t>/</w:t>
                  </w:r>
                  <w:r>
                    <w:rPr>
                      <w:rFonts w:hint="eastAsia"/>
                      <w:b/>
                      <w:bCs w:val="0"/>
                      <w:color w:val="auto"/>
                    </w:rPr>
                    <w:t>次）</w:t>
                  </w:r>
                </w:p>
              </w:tc>
              <w:tc>
                <w:tcPr>
                  <w:tcW w:w="812" w:type="dxa"/>
                  <w:tcBorders>
                    <w:tl2br w:val="nil"/>
                    <w:tr2bl w:val="nil"/>
                  </w:tcBorders>
                  <w:noWrap/>
                  <w:vAlign w:val="center"/>
                </w:tcPr>
                <w:p w14:paraId="6A9EF7DF">
                  <w:pPr>
                    <w:pStyle w:val="57"/>
                    <w:rPr>
                      <w:rFonts w:hint="eastAsia"/>
                      <w:b/>
                      <w:bCs w:val="0"/>
                      <w:color w:val="auto"/>
                    </w:rPr>
                  </w:pPr>
                  <w:r>
                    <w:rPr>
                      <w:rFonts w:hint="eastAsia"/>
                      <w:b/>
                      <w:bCs w:val="0"/>
                      <w:color w:val="auto"/>
                    </w:rPr>
                    <w:t>碘值</w:t>
                  </w:r>
                </w:p>
                <w:p w14:paraId="6883B66B">
                  <w:pPr>
                    <w:pStyle w:val="57"/>
                    <w:rPr>
                      <w:rFonts w:hint="eastAsia"/>
                      <w:b/>
                      <w:bCs w:val="0"/>
                      <w:color w:val="auto"/>
                    </w:rPr>
                  </w:pPr>
                  <w:r>
                    <w:rPr>
                      <w:rFonts w:hint="eastAsia"/>
                      <w:b/>
                      <w:bCs w:val="0"/>
                      <w:color w:val="auto"/>
                    </w:rPr>
                    <w:t>（mg/g）</w:t>
                  </w:r>
                </w:p>
              </w:tc>
              <w:tc>
                <w:tcPr>
                  <w:tcW w:w="641" w:type="dxa"/>
                  <w:tcBorders>
                    <w:tl2br w:val="nil"/>
                    <w:tr2bl w:val="nil"/>
                  </w:tcBorders>
                  <w:noWrap/>
                  <w:vAlign w:val="center"/>
                </w:tcPr>
                <w:p w14:paraId="0B9BD56E">
                  <w:pPr>
                    <w:pStyle w:val="57"/>
                    <w:rPr>
                      <w:rFonts w:hint="eastAsia"/>
                      <w:b/>
                      <w:bCs w:val="0"/>
                      <w:color w:val="auto"/>
                    </w:rPr>
                  </w:pPr>
                  <w:r>
                    <w:rPr>
                      <w:rFonts w:hint="eastAsia"/>
                      <w:b/>
                      <w:bCs w:val="0"/>
                      <w:color w:val="auto"/>
                    </w:rPr>
                    <w:t>温度</w:t>
                  </w:r>
                </w:p>
                <w:p w14:paraId="0E7123D2">
                  <w:pPr>
                    <w:pStyle w:val="57"/>
                    <w:rPr>
                      <w:rFonts w:hint="eastAsia"/>
                      <w:b/>
                      <w:bCs w:val="0"/>
                      <w:color w:val="auto"/>
                    </w:rPr>
                  </w:pPr>
                  <w:r>
                    <w:rPr>
                      <w:rFonts w:hint="eastAsia"/>
                      <w:b/>
                      <w:bCs w:val="0"/>
                      <w:color w:val="auto"/>
                    </w:rPr>
                    <w:t>（℃）</w:t>
                  </w:r>
                </w:p>
              </w:tc>
            </w:tr>
            <w:tr w14:paraId="5C70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338" w:type="dxa"/>
                  <w:tcBorders>
                    <w:tl2br w:val="nil"/>
                    <w:tr2bl w:val="nil"/>
                  </w:tcBorders>
                  <w:vAlign w:val="center"/>
                </w:tcPr>
                <w:p w14:paraId="51A429A7">
                  <w:pPr>
                    <w:pStyle w:val="57"/>
                    <w:rPr>
                      <w:color w:val="auto"/>
                    </w:rPr>
                  </w:pPr>
                  <w:r>
                    <w:rPr>
                      <w:color w:val="auto"/>
                    </w:rPr>
                    <w:t>1</w:t>
                  </w:r>
                </w:p>
              </w:tc>
              <w:tc>
                <w:tcPr>
                  <w:tcW w:w="905" w:type="dxa"/>
                  <w:tcBorders>
                    <w:tl2br w:val="nil"/>
                    <w:tr2bl w:val="nil"/>
                  </w:tcBorders>
                  <w:vAlign w:val="center"/>
                </w:tcPr>
                <w:p w14:paraId="3EDAA297">
                  <w:pPr>
                    <w:pStyle w:val="57"/>
                    <w:rPr>
                      <w:color w:val="auto"/>
                    </w:rPr>
                  </w:pPr>
                  <w:r>
                    <w:rPr>
                      <w:color w:val="auto"/>
                    </w:rPr>
                    <w:t>DA001</w:t>
                  </w:r>
                </w:p>
              </w:tc>
              <w:tc>
                <w:tcPr>
                  <w:tcW w:w="670" w:type="dxa"/>
                  <w:tcBorders>
                    <w:tl2br w:val="nil"/>
                    <w:tr2bl w:val="nil"/>
                  </w:tcBorders>
                  <w:vAlign w:val="center"/>
                </w:tcPr>
                <w:p w14:paraId="785964D8">
                  <w:pPr>
                    <w:pStyle w:val="57"/>
                    <w:bidi w:val="0"/>
                    <w:rPr>
                      <w:color w:val="auto"/>
                    </w:rPr>
                  </w:pPr>
                  <w:r>
                    <w:rPr>
                      <w:rFonts w:hint="default"/>
                      <w:color w:val="auto"/>
                      <w:lang w:val="en-US" w:eastAsia="zh-CN"/>
                    </w:rPr>
                    <w:t>3.89</w:t>
                  </w:r>
                </w:p>
              </w:tc>
              <w:tc>
                <w:tcPr>
                  <w:tcW w:w="725" w:type="dxa"/>
                  <w:tcBorders>
                    <w:tl2br w:val="nil"/>
                    <w:tr2bl w:val="nil"/>
                  </w:tcBorders>
                  <w:vAlign w:val="center"/>
                </w:tcPr>
                <w:p w14:paraId="58B52E2B">
                  <w:pPr>
                    <w:pStyle w:val="57"/>
                    <w:bidi w:val="0"/>
                    <w:rPr>
                      <w:color w:val="auto"/>
                    </w:rPr>
                  </w:pPr>
                  <w:r>
                    <w:rPr>
                      <w:rFonts w:hint="default"/>
                      <w:color w:val="auto"/>
                      <w:lang w:val="en-US" w:eastAsia="zh-CN"/>
                    </w:rPr>
                    <w:t>15.56</w:t>
                  </w:r>
                </w:p>
              </w:tc>
              <w:tc>
                <w:tcPr>
                  <w:tcW w:w="729" w:type="dxa"/>
                  <w:tcBorders>
                    <w:tl2br w:val="nil"/>
                    <w:tr2bl w:val="nil"/>
                  </w:tcBorders>
                  <w:vAlign w:val="center"/>
                </w:tcPr>
                <w:p w14:paraId="02B0A6C3">
                  <w:pPr>
                    <w:pStyle w:val="57"/>
                    <w:bidi w:val="0"/>
                    <w:rPr>
                      <w:color w:val="auto"/>
                    </w:rPr>
                  </w:pPr>
                  <w:r>
                    <w:rPr>
                      <w:rFonts w:hint="default"/>
                      <w:color w:val="auto"/>
                      <w:lang w:val="en-US" w:eastAsia="zh-CN"/>
                    </w:rPr>
                    <w:t>1.3</w:t>
                  </w:r>
                </w:p>
              </w:tc>
              <w:tc>
                <w:tcPr>
                  <w:tcW w:w="1048" w:type="dxa"/>
                  <w:tcBorders>
                    <w:tl2br w:val="nil"/>
                    <w:tr2bl w:val="nil"/>
                  </w:tcBorders>
                  <w:vAlign w:val="center"/>
                </w:tcPr>
                <w:p w14:paraId="49E37B18">
                  <w:pPr>
                    <w:pStyle w:val="57"/>
                    <w:bidi w:val="0"/>
                    <w:rPr>
                      <w:color w:val="auto"/>
                    </w:rPr>
                  </w:pPr>
                  <w:r>
                    <w:rPr>
                      <w:rFonts w:hint="default"/>
                      <w:color w:val="auto"/>
                      <w:lang w:val="en-US" w:eastAsia="zh-CN"/>
                    </w:rPr>
                    <w:t>15000</w:t>
                  </w:r>
                </w:p>
              </w:tc>
              <w:tc>
                <w:tcPr>
                  <w:tcW w:w="690" w:type="dxa"/>
                  <w:tcBorders>
                    <w:tl2br w:val="nil"/>
                    <w:tr2bl w:val="nil"/>
                  </w:tcBorders>
                  <w:vAlign w:val="center"/>
                </w:tcPr>
                <w:p w14:paraId="7F6F1E76">
                  <w:pPr>
                    <w:pStyle w:val="57"/>
                    <w:bidi w:val="0"/>
                    <w:rPr>
                      <w:color w:val="auto"/>
                    </w:rPr>
                  </w:pPr>
                  <w:r>
                    <w:rPr>
                      <w:rFonts w:hint="default"/>
                      <w:color w:val="auto"/>
                      <w:lang w:val="en-US" w:eastAsia="zh-CN"/>
                    </w:rPr>
                    <w:t>3.75</w:t>
                  </w:r>
                </w:p>
              </w:tc>
              <w:tc>
                <w:tcPr>
                  <w:tcW w:w="762" w:type="dxa"/>
                  <w:tcBorders>
                    <w:tl2br w:val="nil"/>
                    <w:tr2bl w:val="nil"/>
                  </w:tcBorders>
                  <w:vAlign w:val="center"/>
                </w:tcPr>
                <w:p w14:paraId="0C12BC87">
                  <w:pPr>
                    <w:pStyle w:val="57"/>
                    <w:bidi w:val="0"/>
                    <w:rPr>
                      <w:color w:val="auto"/>
                    </w:rPr>
                  </w:pPr>
                  <w:r>
                    <w:rPr>
                      <w:rFonts w:hint="default"/>
                      <w:color w:val="auto"/>
                      <w:lang w:val="en-US" w:eastAsia="zh-CN"/>
                    </w:rPr>
                    <w:t>1.11</w:t>
                  </w:r>
                </w:p>
              </w:tc>
              <w:tc>
                <w:tcPr>
                  <w:tcW w:w="972" w:type="dxa"/>
                  <w:tcBorders>
                    <w:tl2br w:val="nil"/>
                    <w:tr2bl w:val="nil"/>
                  </w:tcBorders>
                  <w:vAlign w:val="center"/>
                </w:tcPr>
                <w:p w14:paraId="4C708133">
                  <w:pPr>
                    <w:pStyle w:val="57"/>
                    <w:bidi w:val="0"/>
                    <w:rPr>
                      <w:color w:val="auto"/>
                    </w:rPr>
                  </w:pPr>
                  <w:r>
                    <w:rPr>
                      <w:rFonts w:hint="default"/>
                      <w:color w:val="auto"/>
                      <w:lang w:val="en-US" w:eastAsia="zh-CN"/>
                    </w:rPr>
                    <w:t>2</w:t>
                  </w:r>
                </w:p>
              </w:tc>
              <w:tc>
                <w:tcPr>
                  <w:tcW w:w="812" w:type="dxa"/>
                  <w:tcBorders>
                    <w:tl2br w:val="nil"/>
                    <w:tr2bl w:val="nil"/>
                  </w:tcBorders>
                  <w:noWrap/>
                  <w:vAlign w:val="center"/>
                </w:tcPr>
                <w:p w14:paraId="21273E87">
                  <w:pPr>
                    <w:pStyle w:val="57"/>
                    <w:rPr>
                      <w:rFonts w:hint="eastAsia"/>
                      <w:color w:val="auto"/>
                    </w:rPr>
                  </w:pPr>
                  <w:r>
                    <w:rPr>
                      <w:rFonts w:hint="eastAsia"/>
                      <w:color w:val="auto"/>
                    </w:rPr>
                    <w:t>大于</w:t>
                  </w:r>
                  <w:r>
                    <w:rPr>
                      <w:color w:val="auto"/>
                    </w:rPr>
                    <w:t>800</w:t>
                  </w:r>
                </w:p>
              </w:tc>
              <w:tc>
                <w:tcPr>
                  <w:tcW w:w="641" w:type="dxa"/>
                  <w:tcBorders>
                    <w:tl2br w:val="nil"/>
                    <w:tr2bl w:val="nil"/>
                  </w:tcBorders>
                  <w:noWrap/>
                  <w:vAlign w:val="center"/>
                </w:tcPr>
                <w:p w14:paraId="0BF483D7">
                  <w:pPr>
                    <w:pStyle w:val="57"/>
                    <w:rPr>
                      <w:color w:val="auto"/>
                    </w:rPr>
                  </w:pPr>
                  <w:r>
                    <w:rPr>
                      <w:color w:val="auto"/>
                    </w:rPr>
                    <w:t>&lt;40</w:t>
                  </w:r>
                </w:p>
              </w:tc>
            </w:tr>
          </w:tbl>
          <w:p w14:paraId="46026E3C">
            <w:pPr>
              <w:ind w:firstLine="480"/>
              <w:rPr>
                <w:color w:val="auto"/>
              </w:rPr>
            </w:pPr>
            <w:r>
              <w:rPr>
                <w:color w:val="auto"/>
              </w:rPr>
              <w:t>根据《吸附法工业有机废气治理工程技术规范》（HJ2026-2013）</w:t>
            </w:r>
            <w:r>
              <w:rPr>
                <w:rFonts w:hint="eastAsia"/>
                <w:color w:val="auto"/>
              </w:rPr>
              <w:t>，本项目活性炭吸附装置相关参数满足相关要求。</w:t>
            </w:r>
          </w:p>
          <w:p w14:paraId="6696638F">
            <w:pPr>
              <w:pStyle w:val="80"/>
              <w:spacing w:line="360" w:lineRule="auto"/>
              <w:ind w:firstLine="482" w:firstLineChars="200"/>
              <w:rPr>
                <w:b/>
                <w:color w:val="auto"/>
                <w:kern w:val="0"/>
              </w:rPr>
            </w:pPr>
            <w:r>
              <w:rPr>
                <w:rFonts w:hint="eastAsia"/>
                <w:b/>
                <w:color w:val="auto"/>
                <w:kern w:val="0"/>
              </w:rPr>
              <w:t>（3）非正常工况</w:t>
            </w:r>
          </w:p>
          <w:p w14:paraId="73993FDD">
            <w:pPr>
              <w:ind w:firstLine="480"/>
              <w:rPr>
                <w:color w:val="auto"/>
              </w:rPr>
            </w:pPr>
            <w:r>
              <w:rPr>
                <w:rFonts w:hint="eastAsia"/>
                <w:color w:val="auto"/>
              </w:rPr>
              <w:t>①非正常工况废气排放</w:t>
            </w:r>
          </w:p>
          <w:p w14:paraId="418D7E4F">
            <w:pPr>
              <w:widowControl/>
              <w:ind w:firstLine="480"/>
              <w:rPr>
                <w:color w:val="auto"/>
              </w:rPr>
            </w:pPr>
            <w:r>
              <w:rPr>
                <w:color w:val="auto"/>
              </w:rPr>
              <w:t>非正常排放是指生产过程中开停车（工、炉）、设备检修、工艺设备运转异常等非正常工况下的污染物排放</w:t>
            </w:r>
            <w:r>
              <w:rPr>
                <w:rFonts w:hint="eastAsia"/>
                <w:color w:val="auto"/>
              </w:rPr>
              <w:t>，</w:t>
            </w:r>
            <w:r>
              <w:rPr>
                <w:color w:val="auto"/>
              </w:rPr>
              <w:t>以及污染物排放控制措施达不到应有效率等情况下的排放。项目生产过程中启动设备、关停设备后环保设备均处于运行状态</w:t>
            </w:r>
            <w:r>
              <w:rPr>
                <w:rFonts w:hint="eastAsia"/>
                <w:color w:val="auto"/>
              </w:rPr>
              <w:t>，</w:t>
            </w:r>
            <w:r>
              <w:rPr>
                <w:color w:val="auto"/>
              </w:rPr>
              <w:t>废气可得到有效的收集处理</w:t>
            </w:r>
            <w:r>
              <w:rPr>
                <w:rFonts w:hint="eastAsia"/>
                <w:color w:val="auto"/>
              </w:rPr>
              <w:t>，</w:t>
            </w:r>
            <w:r>
              <w:rPr>
                <w:color w:val="auto"/>
              </w:rPr>
              <w:t>故启动设备、关停设备不作为非正常工况分析。非正常排放主要发生在环保设备不能正常运营而导致污染物事故排放</w:t>
            </w:r>
            <w:r>
              <w:rPr>
                <w:rFonts w:hint="eastAsia"/>
                <w:color w:val="auto"/>
              </w:rPr>
              <w:t>，由于本项目生产单元简单，生产设备停车仅需直接断电即可，</w:t>
            </w:r>
            <w:r>
              <w:rPr>
                <w:color w:val="auto"/>
              </w:rPr>
              <w:t>当废气处理设施出现故障时</w:t>
            </w:r>
            <w:r>
              <w:rPr>
                <w:rFonts w:hint="eastAsia"/>
                <w:color w:val="auto"/>
              </w:rPr>
              <w:t>，约30分钟之内可发现并停止生产，待维修完成后重启生产，废气处理设备应日常检修，杜绝事故排放</w:t>
            </w:r>
            <w:r>
              <w:rPr>
                <w:color w:val="auto"/>
              </w:rPr>
              <w:t>。</w:t>
            </w:r>
            <w:r>
              <w:rPr>
                <w:rFonts w:hint="eastAsia"/>
                <w:color w:val="auto"/>
              </w:rPr>
              <w:t>具体事故状态下废气排放浓度、速率、达标情况如下表所示。本项目非正常工况废气排放情况详见下表4-</w:t>
            </w:r>
            <w:r>
              <w:rPr>
                <w:rFonts w:hint="eastAsia"/>
                <w:color w:val="auto"/>
                <w:lang w:val="en-US" w:eastAsia="zh-CN"/>
              </w:rPr>
              <w:t>8</w:t>
            </w:r>
            <w:r>
              <w:rPr>
                <w:rFonts w:hint="eastAsia"/>
                <w:color w:val="auto"/>
              </w:rPr>
              <w:t>。</w:t>
            </w:r>
          </w:p>
          <w:p w14:paraId="7A7E792D">
            <w:pPr>
              <w:pStyle w:val="58"/>
              <w:ind w:firstLine="422"/>
              <w:rPr>
                <w:color w:val="auto"/>
              </w:rPr>
            </w:pPr>
            <w:r>
              <w:rPr>
                <w:rFonts w:hint="eastAsia"/>
                <w:color w:val="auto"/>
              </w:rPr>
              <w:t>表4</w:t>
            </w:r>
            <w:r>
              <w:rPr>
                <w:color w:val="auto"/>
              </w:rPr>
              <w:t>-</w:t>
            </w:r>
            <w:r>
              <w:rPr>
                <w:rFonts w:hint="eastAsia"/>
                <w:color w:val="auto"/>
                <w:lang w:val="en-US" w:eastAsia="zh-CN"/>
              </w:rPr>
              <w:t>8</w:t>
            </w:r>
            <w:r>
              <w:rPr>
                <w:rFonts w:hint="eastAsia"/>
                <w:color w:val="auto"/>
              </w:rPr>
              <w:t>非正常工况废气排放情况一览表</w:t>
            </w:r>
          </w:p>
          <w:tbl>
            <w:tblPr>
              <w:tblStyle w:val="37"/>
              <w:tblW w:w="4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0"/>
              <w:gridCol w:w="609"/>
              <w:gridCol w:w="1259"/>
              <w:gridCol w:w="802"/>
              <w:gridCol w:w="658"/>
              <w:gridCol w:w="1119"/>
              <w:gridCol w:w="1119"/>
              <w:gridCol w:w="987"/>
              <w:gridCol w:w="1403"/>
            </w:tblGrid>
            <w:tr w14:paraId="3BD3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30" w:type="dxa"/>
                  <w:vMerge w:val="restart"/>
                  <w:tcBorders>
                    <w:tl2br w:val="nil"/>
                    <w:tr2bl w:val="nil"/>
                  </w:tcBorders>
                  <w:vAlign w:val="center"/>
                </w:tcPr>
                <w:p w14:paraId="69455797">
                  <w:pPr>
                    <w:pStyle w:val="57"/>
                    <w:rPr>
                      <w:rFonts w:hint="eastAsia"/>
                      <w:b/>
                      <w:bCs w:val="0"/>
                      <w:color w:val="auto"/>
                    </w:rPr>
                  </w:pPr>
                  <w:r>
                    <w:rPr>
                      <w:rFonts w:hint="eastAsia"/>
                      <w:b/>
                      <w:bCs w:val="0"/>
                      <w:color w:val="auto"/>
                    </w:rPr>
                    <w:t>序号</w:t>
                  </w:r>
                </w:p>
              </w:tc>
              <w:tc>
                <w:tcPr>
                  <w:tcW w:w="609" w:type="dxa"/>
                  <w:vMerge w:val="restart"/>
                  <w:tcBorders>
                    <w:tl2br w:val="nil"/>
                    <w:tr2bl w:val="nil"/>
                  </w:tcBorders>
                  <w:vAlign w:val="center"/>
                </w:tcPr>
                <w:p w14:paraId="4DB7708E">
                  <w:pPr>
                    <w:pStyle w:val="57"/>
                    <w:rPr>
                      <w:rFonts w:hint="eastAsia"/>
                      <w:b/>
                      <w:bCs w:val="0"/>
                      <w:color w:val="auto"/>
                    </w:rPr>
                  </w:pPr>
                  <w:r>
                    <w:rPr>
                      <w:rFonts w:hint="eastAsia"/>
                      <w:b/>
                      <w:bCs w:val="0"/>
                      <w:color w:val="auto"/>
                    </w:rPr>
                    <w:t>污染源</w:t>
                  </w:r>
                </w:p>
              </w:tc>
              <w:tc>
                <w:tcPr>
                  <w:tcW w:w="1259" w:type="dxa"/>
                  <w:vMerge w:val="restart"/>
                  <w:tcBorders>
                    <w:tl2br w:val="nil"/>
                    <w:tr2bl w:val="nil"/>
                  </w:tcBorders>
                  <w:vAlign w:val="center"/>
                </w:tcPr>
                <w:p w14:paraId="477D0486">
                  <w:pPr>
                    <w:pStyle w:val="57"/>
                    <w:rPr>
                      <w:rFonts w:hint="eastAsia"/>
                      <w:b/>
                      <w:bCs w:val="0"/>
                      <w:color w:val="auto"/>
                    </w:rPr>
                  </w:pPr>
                  <w:r>
                    <w:rPr>
                      <w:rFonts w:hint="eastAsia"/>
                      <w:b/>
                      <w:bCs w:val="0"/>
                      <w:color w:val="auto"/>
                    </w:rPr>
                    <w:t>污染物名称</w:t>
                  </w:r>
                </w:p>
              </w:tc>
              <w:tc>
                <w:tcPr>
                  <w:tcW w:w="802" w:type="dxa"/>
                  <w:vMerge w:val="restart"/>
                  <w:tcBorders>
                    <w:tl2br w:val="nil"/>
                    <w:tr2bl w:val="nil"/>
                  </w:tcBorders>
                  <w:noWrap/>
                  <w:vAlign w:val="center"/>
                </w:tcPr>
                <w:p w14:paraId="00CE86AE">
                  <w:pPr>
                    <w:pStyle w:val="57"/>
                    <w:rPr>
                      <w:rFonts w:hint="eastAsia"/>
                      <w:b/>
                      <w:bCs w:val="0"/>
                      <w:color w:val="auto"/>
                    </w:rPr>
                  </w:pPr>
                  <w:r>
                    <w:rPr>
                      <w:rFonts w:hint="eastAsia"/>
                      <w:b/>
                      <w:bCs w:val="0"/>
                      <w:color w:val="auto"/>
                    </w:rPr>
                    <w:t>发生频次</w:t>
                  </w:r>
                </w:p>
              </w:tc>
              <w:tc>
                <w:tcPr>
                  <w:tcW w:w="658" w:type="dxa"/>
                  <w:vMerge w:val="restart"/>
                  <w:tcBorders>
                    <w:tl2br w:val="nil"/>
                    <w:tr2bl w:val="nil"/>
                  </w:tcBorders>
                  <w:noWrap/>
                  <w:vAlign w:val="center"/>
                </w:tcPr>
                <w:p w14:paraId="1DCCA390">
                  <w:pPr>
                    <w:pStyle w:val="57"/>
                    <w:rPr>
                      <w:rFonts w:hint="eastAsia"/>
                      <w:b/>
                      <w:bCs w:val="0"/>
                      <w:color w:val="auto"/>
                    </w:rPr>
                  </w:pPr>
                  <w:r>
                    <w:rPr>
                      <w:rFonts w:hint="eastAsia"/>
                      <w:b/>
                      <w:bCs w:val="0"/>
                      <w:color w:val="auto"/>
                    </w:rPr>
                    <w:t>持续时间（</w:t>
                  </w:r>
                  <w:r>
                    <w:rPr>
                      <w:b/>
                      <w:bCs w:val="0"/>
                      <w:color w:val="auto"/>
                    </w:rPr>
                    <w:t>h</w:t>
                  </w:r>
                  <w:r>
                    <w:rPr>
                      <w:rFonts w:hint="eastAsia"/>
                      <w:b/>
                      <w:bCs w:val="0"/>
                      <w:color w:val="auto"/>
                    </w:rPr>
                    <w:t>）</w:t>
                  </w:r>
                </w:p>
              </w:tc>
              <w:tc>
                <w:tcPr>
                  <w:tcW w:w="3225" w:type="dxa"/>
                  <w:gridSpan w:val="3"/>
                  <w:tcBorders>
                    <w:tl2br w:val="nil"/>
                    <w:tr2bl w:val="nil"/>
                  </w:tcBorders>
                  <w:noWrap/>
                  <w:vAlign w:val="center"/>
                </w:tcPr>
                <w:p w14:paraId="3737CD5B">
                  <w:pPr>
                    <w:pStyle w:val="57"/>
                    <w:rPr>
                      <w:rFonts w:hint="eastAsia"/>
                      <w:b/>
                      <w:bCs w:val="0"/>
                      <w:color w:val="auto"/>
                    </w:rPr>
                  </w:pPr>
                  <w:r>
                    <w:rPr>
                      <w:rFonts w:hint="eastAsia"/>
                      <w:b/>
                      <w:bCs w:val="0"/>
                      <w:color w:val="auto"/>
                    </w:rPr>
                    <w:t>非正常排放状况</w:t>
                  </w:r>
                </w:p>
              </w:tc>
              <w:tc>
                <w:tcPr>
                  <w:tcW w:w="1403" w:type="dxa"/>
                  <w:vMerge w:val="restart"/>
                  <w:tcBorders>
                    <w:tl2br w:val="nil"/>
                    <w:tr2bl w:val="nil"/>
                  </w:tcBorders>
                  <w:noWrap/>
                  <w:vAlign w:val="center"/>
                </w:tcPr>
                <w:p w14:paraId="4CE15815">
                  <w:pPr>
                    <w:pStyle w:val="57"/>
                    <w:rPr>
                      <w:rFonts w:hint="eastAsia"/>
                      <w:b/>
                      <w:bCs w:val="0"/>
                      <w:color w:val="auto"/>
                    </w:rPr>
                  </w:pPr>
                  <w:r>
                    <w:rPr>
                      <w:rFonts w:hint="eastAsia"/>
                      <w:b/>
                      <w:bCs w:val="0"/>
                      <w:color w:val="auto"/>
                    </w:rPr>
                    <w:t>应对措施</w:t>
                  </w:r>
                </w:p>
              </w:tc>
            </w:tr>
            <w:tr w14:paraId="0FFE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330" w:type="dxa"/>
                  <w:vMerge w:val="continue"/>
                  <w:tcBorders>
                    <w:tl2br w:val="nil"/>
                    <w:tr2bl w:val="nil"/>
                  </w:tcBorders>
                  <w:vAlign w:val="center"/>
                </w:tcPr>
                <w:p w14:paraId="1102BFBD">
                  <w:pPr>
                    <w:pStyle w:val="57"/>
                    <w:rPr>
                      <w:rFonts w:hint="eastAsia"/>
                      <w:color w:val="auto"/>
                    </w:rPr>
                  </w:pPr>
                </w:p>
              </w:tc>
              <w:tc>
                <w:tcPr>
                  <w:tcW w:w="609" w:type="dxa"/>
                  <w:vMerge w:val="continue"/>
                  <w:tcBorders>
                    <w:tl2br w:val="nil"/>
                    <w:tr2bl w:val="nil"/>
                  </w:tcBorders>
                  <w:vAlign w:val="center"/>
                </w:tcPr>
                <w:p w14:paraId="364AFFD9">
                  <w:pPr>
                    <w:pStyle w:val="57"/>
                    <w:rPr>
                      <w:rFonts w:hint="eastAsia"/>
                      <w:color w:val="auto"/>
                    </w:rPr>
                  </w:pPr>
                </w:p>
              </w:tc>
              <w:tc>
                <w:tcPr>
                  <w:tcW w:w="1259" w:type="dxa"/>
                  <w:vMerge w:val="continue"/>
                  <w:tcBorders>
                    <w:tl2br w:val="nil"/>
                    <w:tr2bl w:val="nil"/>
                  </w:tcBorders>
                  <w:vAlign w:val="center"/>
                </w:tcPr>
                <w:p w14:paraId="1D39B7F7">
                  <w:pPr>
                    <w:pStyle w:val="57"/>
                    <w:rPr>
                      <w:rFonts w:hint="eastAsia"/>
                      <w:color w:val="auto"/>
                    </w:rPr>
                  </w:pPr>
                </w:p>
              </w:tc>
              <w:tc>
                <w:tcPr>
                  <w:tcW w:w="802" w:type="dxa"/>
                  <w:vMerge w:val="continue"/>
                  <w:tcBorders>
                    <w:tl2br w:val="nil"/>
                    <w:tr2bl w:val="nil"/>
                  </w:tcBorders>
                  <w:noWrap/>
                  <w:vAlign w:val="center"/>
                </w:tcPr>
                <w:p w14:paraId="5CBF92A2">
                  <w:pPr>
                    <w:pStyle w:val="57"/>
                    <w:rPr>
                      <w:rFonts w:hint="eastAsia"/>
                      <w:color w:val="auto"/>
                    </w:rPr>
                  </w:pPr>
                </w:p>
              </w:tc>
              <w:tc>
                <w:tcPr>
                  <w:tcW w:w="658" w:type="dxa"/>
                  <w:vMerge w:val="continue"/>
                  <w:tcBorders>
                    <w:tl2br w:val="nil"/>
                    <w:tr2bl w:val="nil"/>
                  </w:tcBorders>
                  <w:noWrap/>
                  <w:vAlign w:val="center"/>
                </w:tcPr>
                <w:p w14:paraId="23D77626">
                  <w:pPr>
                    <w:pStyle w:val="57"/>
                    <w:rPr>
                      <w:rFonts w:hint="eastAsia"/>
                      <w:color w:val="auto"/>
                    </w:rPr>
                  </w:pPr>
                </w:p>
              </w:tc>
              <w:tc>
                <w:tcPr>
                  <w:tcW w:w="1119" w:type="dxa"/>
                  <w:tcBorders>
                    <w:tl2br w:val="nil"/>
                    <w:tr2bl w:val="nil"/>
                  </w:tcBorders>
                  <w:vAlign w:val="center"/>
                </w:tcPr>
                <w:p w14:paraId="199689CF">
                  <w:pPr>
                    <w:pStyle w:val="57"/>
                    <w:rPr>
                      <w:rFonts w:hint="eastAsia"/>
                      <w:b/>
                      <w:bCs w:val="0"/>
                      <w:color w:val="auto"/>
                    </w:rPr>
                  </w:pPr>
                  <w:r>
                    <w:rPr>
                      <w:rFonts w:hint="eastAsia"/>
                      <w:b/>
                      <w:bCs w:val="0"/>
                      <w:color w:val="auto"/>
                    </w:rPr>
                    <w:t>排放浓度（</w:t>
                  </w:r>
                  <w:r>
                    <w:rPr>
                      <w:b/>
                      <w:bCs w:val="0"/>
                      <w:color w:val="auto"/>
                    </w:rPr>
                    <w:t>mg/</w:t>
                  </w:r>
                  <w:r>
                    <w:rPr>
                      <w:rFonts w:hint="eastAsia"/>
                      <w:b/>
                      <w:bCs w:val="0"/>
                      <w:color w:val="auto"/>
                    </w:rPr>
                    <w:t>m</w:t>
                  </w:r>
                  <w:r>
                    <w:rPr>
                      <w:rFonts w:hint="eastAsia"/>
                      <w:b/>
                      <w:bCs w:val="0"/>
                      <w:color w:val="auto"/>
                      <w:vertAlign w:val="superscript"/>
                    </w:rPr>
                    <w:t>3</w:t>
                  </w:r>
                  <w:r>
                    <w:rPr>
                      <w:rFonts w:hint="eastAsia"/>
                      <w:b/>
                      <w:bCs w:val="0"/>
                      <w:color w:val="auto"/>
                    </w:rPr>
                    <w:t>）</w:t>
                  </w:r>
                </w:p>
              </w:tc>
              <w:tc>
                <w:tcPr>
                  <w:tcW w:w="1119" w:type="dxa"/>
                  <w:tcBorders>
                    <w:tl2br w:val="nil"/>
                    <w:tr2bl w:val="nil"/>
                  </w:tcBorders>
                  <w:vAlign w:val="center"/>
                </w:tcPr>
                <w:p w14:paraId="715E1155">
                  <w:pPr>
                    <w:pStyle w:val="57"/>
                    <w:rPr>
                      <w:rFonts w:hint="eastAsia"/>
                      <w:b/>
                      <w:bCs w:val="0"/>
                      <w:color w:val="auto"/>
                    </w:rPr>
                  </w:pPr>
                  <w:r>
                    <w:rPr>
                      <w:rFonts w:hint="eastAsia"/>
                      <w:b/>
                      <w:bCs w:val="0"/>
                      <w:color w:val="auto"/>
                    </w:rPr>
                    <w:t>排放速率（</w:t>
                  </w:r>
                  <w:r>
                    <w:rPr>
                      <w:b/>
                      <w:bCs w:val="0"/>
                      <w:color w:val="auto"/>
                    </w:rPr>
                    <w:t>kg/h</w:t>
                  </w:r>
                  <w:r>
                    <w:rPr>
                      <w:rFonts w:hint="eastAsia"/>
                      <w:b/>
                      <w:bCs w:val="0"/>
                      <w:color w:val="auto"/>
                    </w:rPr>
                    <w:t>）</w:t>
                  </w:r>
                </w:p>
              </w:tc>
              <w:tc>
                <w:tcPr>
                  <w:tcW w:w="987" w:type="dxa"/>
                  <w:tcBorders>
                    <w:tl2br w:val="nil"/>
                    <w:tr2bl w:val="nil"/>
                  </w:tcBorders>
                  <w:vAlign w:val="center"/>
                </w:tcPr>
                <w:p w14:paraId="4F0E99E3">
                  <w:pPr>
                    <w:pStyle w:val="57"/>
                    <w:rPr>
                      <w:rFonts w:hint="eastAsia"/>
                      <w:b/>
                      <w:bCs w:val="0"/>
                      <w:color w:val="auto"/>
                    </w:rPr>
                  </w:pPr>
                  <w:r>
                    <w:rPr>
                      <w:rFonts w:hint="eastAsia"/>
                      <w:b/>
                      <w:bCs w:val="0"/>
                      <w:color w:val="auto"/>
                    </w:rPr>
                    <w:t>排放量</w:t>
                  </w:r>
                </w:p>
                <w:p w14:paraId="33ACA594">
                  <w:pPr>
                    <w:pStyle w:val="57"/>
                    <w:rPr>
                      <w:rFonts w:hint="eastAsia"/>
                      <w:b/>
                      <w:bCs w:val="0"/>
                      <w:color w:val="auto"/>
                    </w:rPr>
                  </w:pPr>
                  <w:r>
                    <w:rPr>
                      <w:rFonts w:hint="eastAsia"/>
                      <w:b/>
                      <w:bCs w:val="0"/>
                      <w:color w:val="auto"/>
                    </w:rPr>
                    <w:t>（</w:t>
                  </w:r>
                  <w:r>
                    <w:rPr>
                      <w:b/>
                      <w:bCs w:val="0"/>
                      <w:color w:val="auto"/>
                    </w:rPr>
                    <w:t>kg/</w:t>
                  </w:r>
                  <w:r>
                    <w:rPr>
                      <w:rFonts w:hint="eastAsia"/>
                      <w:b/>
                      <w:bCs w:val="0"/>
                      <w:color w:val="auto"/>
                    </w:rPr>
                    <w:t>次）</w:t>
                  </w:r>
                </w:p>
              </w:tc>
              <w:tc>
                <w:tcPr>
                  <w:tcW w:w="1403" w:type="dxa"/>
                  <w:vMerge w:val="continue"/>
                  <w:tcBorders>
                    <w:tl2br w:val="nil"/>
                    <w:tr2bl w:val="nil"/>
                  </w:tcBorders>
                  <w:noWrap/>
                  <w:vAlign w:val="center"/>
                </w:tcPr>
                <w:p w14:paraId="0F488E05">
                  <w:pPr>
                    <w:pStyle w:val="57"/>
                    <w:rPr>
                      <w:rFonts w:hint="eastAsia"/>
                      <w:color w:val="auto"/>
                    </w:rPr>
                  </w:pPr>
                </w:p>
              </w:tc>
            </w:tr>
            <w:tr w14:paraId="2F32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30" w:type="dxa"/>
                  <w:tcBorders>
                    <w:tl2br w:val="nil"/>
                    <w:tr2bl w:val="nil"/>
                  </w:tcBorders>
                  <w:vAlign w:val="center"/>
                </w:tcPr>
                <w:p w14:paraId="056B8E24">
                  <w:pPr>
                    <w:pStyle w:val="57"/>
                    <w:rPr>
                      <w:color w:val="auto"/>
                    </w:rPr>
                  </w:pPr>
                  <w:r>
                    <w:rPr>
                      <w:rFonts w:hint="eastAsia"/>
                      <w:color w:val="auto"/>
                    </w:rPr>
                    <w:t>1</w:t>
                  </w:r>
                </w:p>
              </w:tc>
              <w:tc>
                <w:tcPr>
                  <w:tcW w:w="609" w:type="dxa"/>
                  <w:tcBorders>
                    <w:tl2br w:val="nil"/>
                    <w:tr2bl w:val="nil"/>
                  </w:tcBorders>
                  <w:vAlign w:val="center"/>
                </w:tcPr>
                <w:p w14:paraId="11B26CB9">
                  <w:pPr>
                    <w:pStyle w:val="57"/>
                    <w:rPr>
                      <w:color w:val="auto"/>
                    </w:rPr>
                  </w:pPr>
                  <w:r>
                    <w:rPr>
                      <w:rFonts w:hint="eastAsia"/>
                      <w:color w:val="auto"/>
                    </w:rPr>
                    <w:t>DA001</w:t>
                  </w:r>
                </w:p>
              </w:tc>
              <w:tc>
                <w:tcPr>
                  <w:tcW w:w="1259" w:type="dxa"/>
                  <w:tcBorders>
                    <w:top w:val="single" w:color="auto" w:sz="4" w:space="0"/>
                    <w:tl2br w:val="nil"/>
                    <w:tr2bl w:val="nil"/>
                  </w:tcBorders>
                  <w:vAlign w:val="center"/>
                </w:tcPr>
                <w:p w14:paraId="5FA9DFB1">
                  <w:pPr>
                    <w:pStyle w:val="57"/>
                    <w:rPr>
                      <w:rFonts w:hint="eastAsia"/>
                      <w:color w:val="auto"/>
                    </w:rPr>
                  </w:pPr>
                  <w:r>
                    <w:rPr>
                      <w:rFonts w:hint="eastAsia"/>
                      <w:color w:val="auto"/>
                    </w:rPr>
                    <w:t>非甲烷总烃</w:t>
                  </w:r>
                </w:p>
              </w:tc>
              <w:tc>
                <w:tcPr>
                  <w:tcW w:w="802" w:type="dxa"/>
                  <w:tcBorders>
                    <w:top w:val="single" w:color="auto" w:sz="4" w:space="0"/>
                    <w:tl2br w:val="nil"/>
                    <w:tr2bl w:val="nil"/>
                  </w:tcBorders>
                  <w:vAlign w:val="center"/>
                </w:tcPr>
                <w:p w14:paraId="26B43522">
                  <w:pPr>
                    <w:pStyle w:val="57"/>
                    <w:rPr>
                      <w:color w:val="auto"/>
                    </w:rPr>
                  </w:pPr>
                  <w:r>
                    <w:rPr>
                      <w:color w:val="auto"/>
                    </w:rPr>
                    <w:t>&lt;2</w:t>
                  </w:r>
                  <w:r>
                    <w:rPr>
                      <w:rFonts w:hint="eastAsia"/>
                      <w:color w:val="auto"/>
                    </w:rPr>
                    <w:t>次</w:t>
                  </w:r>
                  <w:r>
                    <w:rPr>
                      <w:color w:val="auto"/>
                    </w:rPr>
                    <w:t>/</w:t>
                  </w:r>
                  <w:r>
                    <w:rPr>
                      <w:rFonts w:hint="eastAsia"/>
                      <w:color w:val="auto"/>
                    </w:rPr>
                    <w:t>年</w:t>
                  </w:r>
                </w:p>
              </w:tc>
              <w:tc>
                <w:tcPr>
                  <w:tcW w:w="658" w:type="dxa"/>
                  <w:tcBorders>
                    <w:top w:val="single" w:color="auto" w:sz="4" w:space="0"/>
                    <w:tl2br w:val="nil"/>
                    <w:tr2bl w:val="nil"/>
                  </w:tcBorders>
                  <w:vAlign w:val="center"/>
                </w:tcPr>
                <w:p w14:paraId="5EDFE58D">
                  <w:pPr>
                    <w:pStyle w:val="57"/>
                    <w:rPr>
                      <w:color w:val="auto"/>
                    </w:rPr>
                  </w:pPr>
                  <w:r>
                    <w:rPr>
                      <w:color w:val="auto"/>
                    </w:rPr>
                    <w:t>0.5</w:t>
                  </w:r>
                </w:p>
              </w:tc>
              <w:tc>
                <w:tcPr>
                  <w:tcW w:w="1119" w:type="dxa"/>
                  <w:tcBorders>
                    <w:top w:val="single" w:color="auto" w:sz="4" w:space="0"/>
                    <w:tl2br w:val="nil"/>
                    <w:tr2bl w:val="nil"/>
                  </w:tcBorders>
                  <w:vAlign w:val="center"/>
                </w:tcPr>
                <w:p w14:paraId="201FDEDE">
                  <w:pPr>
                    <w:pStyle w:val="57"/>
                    <w:bidi w:val="0"/>
                    <w:rPr>
                      <w:color w:val="auto"/>
                    </w:rPr>
                  </w:pPr>
                  <w:r>
                    <w:rPr>
                      <w:rFonts w:hint="eastAsia"/>
                      <w:color w:val="auto"/>
                      <w:lang w:val="en-US" w:eastAsia="zh-CN"/>
                    </w:rPr>
                    <w:t>96</w:t>
                  </w:r>
                </w:p>
              </w:tc>
              <w:tc>
                <w:tcPr>
                  <w:tcW w:w="1119" w:type="dxa"/>
                  <w:tcBorders>
                    <w:tl2br w:val="nil"/>
                    <w:tr2bl w:val="nil"/>
                  </w:tcBorders>
                  <w:vAlign w:val="center"/>
                </w:tcPr>
                <w:p w14:paraId="44A60E4F">
                  <w:pPr>
                    <w:pStyle w:val="57"/>
                    <w:bidi w:val="0"/>
                    <w:rPr>
                      <w:color w:val="auto"/>
                    </w:rPr>
                  </w:pPr>
                  <w:r>
                    <w:rPr>
                      <w:rFonts w:hint="eastAsia"/>
                      <w:color w:val="auto"/>
                      <w:lang w:val="en-US" w:eastAsia="zh-CN"/>
                    </w:rPr>
                    <w:t>1.44</w:t>
                  </w:r>
                </w:p>
              </w:tc>
              <w:tc>
                <w:tcPr>
                  <w:tcW w:w="987" w:type="dxa"/>
                  <w:tcBorders>
                    <w:top w:val="single" w:color="auto" w:sz="4" w:space="0"/>
                    <w:tl2br w:val="nil"/>
                    <w:tr2bl w:val="nil"/>
                  </w:tcBorders>
                  <w:vAlign w:val="center"/>
                </w:tcPr>
                <w:p w14:paraId="335DB070">
                  <w:pPr>
                    <w:pStyle w:val="57"/>
                    <w:rPr>
                      <w:rFonts w:hint="default" w:eastAsia="宋体"/>
                      <w:color w:val="auto"/>
                      <w:lang w:val="en-US" w:eastAsia="zh-CN"/>
                    </w:rPr>
                  </w:pPr>
                  <w:r>
                    <w:rPr>
                      <w:rFonts w:hint="eastAsia"/>
                      <w:color w:val="auto"/>
                      <w:lang w:val="en-US" w:eastAsia="zh-CN"/>
                    </w:rPr>
                    <w:t>0.72</w:t>
                  </w:r>
                </w:p>
              </w:tc>
              <w:tc>
                <w:tcPr>
                  <w:tcW w:w="1403" w:type="dxa"/>
                  <w:tcBorders>
                    <w:top w:val="single" w:color="auto" w:sz="4" w:space="0"/>
                    <w:tl2br w:val="nil"/>
                    <w:tr2bl w:val="nil"/>
                  </w:tcBorders>
                  <w:vAlign w:val="center"/>
                </w:tcPr>
                <w:p w14:paraId="41FD6933">
                  <w:pPr>
                    <w:pStyle w:val="57"/>
                    <w:rPr>
                      <w:rFonts w:hint="eastAsia"/>
                      <w:color w:val="auto"/>
                    </w:rPr>
                  </w:pPr>
                  <w:r>
                    <w:rPr>
                      <w:rFonts w:hint="eastAsia"/>
                      <w:color w:val="auto"/>
                    </w:rPr>
                    <w:t>立即停止相关产污环节并检修</w:t>
                  </w:r>
                </w:p>
              </w:tc>
            </w:tr>
          </w:tbl>
          <w:p w14:paraId="62DA4CA1">
            <w:pPr>
              <w:ind w:firstLine="480"/>
              <w:rPr>
                <w:color w:val="auto"/>
              </w:rPr>
            </w:pPr>
            <w:r>
              <w:rPr>
                <w:rFonts w:hint="eastAsia"/>
                <w:color w:val="auto"/>
              </w:rPr>
              <w:t>②非正常工况的防范和监控措施</w:t>
            </w:r>
          </w:p>
          <w:p w14:paraId="3639CA05">
            <w:pPr>
              <w:ind w:firstLine="480"/>
              <w:rPr>
                <w:color w:val="auto"/>
              </w:rPr>
            </w:pPr>
            <w:r>
              <w:rPr>
                <w:rFonts w:hint="eastAsia"/>
                <w:color w:val="auto"/>
              </w:rPr>
              <w:t>项目非正常工况指生产过程中设备检修、工艺设备运转异常等非正常工况下的污染物排放，以及污染物排放控制措施达不到应有效率等情况下的排放。出现非正常情况时，应立即停产检修，待所有生产设备、环保设备恢复正常后再投入生产。企业需加大对环保设施的巡检力度，派专门的人员负责日常维护与检修。</w:t>
            </w:r>
          </w:p>
          <w:p w14:paraId="12D40CEE">
            <w:pPr>
              <w:ind w:firstLine="480"/>
              <w:rPr>
                <w:color w:val="auto"/>
              </w:rPr>
            </w:pPr>
            <w:r>
              <w:rPr>
                <w:rFonts w:hint="eastAsia"/>
                <w:color w:val="auto"/>
              </w:rPr>
              <w:t>综上所述，本项目废气排放对周边大气环境影响较小。本项目大气环境影响可接受。</w:t>
            </w:r>
          </w:p>
          <w:p w14:paraId="47640A67">
            <w:pPr>
              <w:pStyle w:val="80"/>
              <w:spacing w:line="360" w:lineRule="auto"/>
              <w:ind w:firstLine="482" w:firstLineChars="200"/>
              <w:rPr>
                <w:b/>
                <w:color w:val="auto"/>
                <w:kern w:val="0"/>
              </w:rPr>
            </w:pPr>
            <w:r>
              <w:rPr>
                <w:rFonts w:hint="eastAsia"/>
                <w:b/>
                <w:color w:val="auto"/>
                <w:kern w:val="0"/>
              </w:rPr>
              <w:t>（4）</w:t>
            </w:r>
            <w:r>
              <w:rPr>
                <w:b/>
                <w:color w:val="auto"/>
                <w:kern w:val="0"/>
              </w:rPr>
              <w:t>废</w:t>
            </w:r>
            <w:r>
              <w:rPr>
                <w:rFonts w:hint="eastAsia"/>
                <w:b/>
                <w:color w:val="auto"/>
                <w:kern w:val="0"/>
              </w:rPr>
              <w:t>气</w:t>
            </w:r>
            <w:r>
              <w:rPr>
                <w:b/>
                <w:color w:val="auto"/>
                <w:kern w:val="0"/>
              </w:rPr>
              <w:t>污染源监测计划</w:t>
            </w:r>
          </w:p>
          <w:p w14:paraId="027A50C9">
            <w:pPr>
              <w:ind w:firstLine="480"/>
              <w:rPr>
                <w:rFonts w:ascii="TT5A56o02" w:hAnsi="TT5A56o02"/>
                <w:color w:val="auto"/>
              </w:rPr>
            </w:pPr>
            <w:r>
              <w:rPr>
                <w:rFonts w:hint="eastAsia" w:ascii="TT5A56o02" w:hAnsi="TT5A56o02"/>
                <w:color w:val="auto"/>
              </w:rPr>
              <w:t>根据《排污单位自行监测技术指南橡胶和塑料制品》（HJ1207—2021）、《排污许可证申请与核发技术规范印刷工业》（HJ1066-2019），制定本项目大气监测计划。</w:t>
            </w:r>
            <w:r>
              <w:rPr>
                <w:rFonts w:ascii="TT5A56o02" w:hAnsi="TT5A56o02"/>
                <w:color w:val="auto"/>
              </w:rPr>
              <w:t>本项目大气污染物监测要求详见表4-</w:t>
            </w:r>
            <w:r>
              <w:rPr>
                <w:rFonts w:hint="eastAsia" w:ascii="TT5A56o02" w:hAnsi="TT5A56o02"/>
                <w:color w:val="auto"/>
                <w:lang w:val="en-US" w:eastAsia="zh-CN"/>
              </w:rPr>
              <w:t>9</w:t>
            </w:r>
            <w:r>
              <w:rPr>
                <w:rFonts w:ascii="TT5A56o02" w:hAnsi="TT5A56o02"/>
                <w:color w:val="auto"/>
              </w:rPr>
              <w:t>。</w:t>
            </w:r>
          </w:p>
          <w:p w14:paraId="75902613">
            <w:pPr>
              <w:pStyle w:val="58"/>
              <w:ind w:firstLine="422"/>
              <w:rPr>
                <w:color w:val="auto"/>
              </w:rPr>
            </w:pPr>
            <w:r>
              <w:rPr>
                <w:color w:val="auto"/>
              </w:rPr>
              <w:t>表4-</w:t>
            </w:r>
            <w:r>
              <w:rPr>
                <w:rFonts w:hint="eastAsia"/>
                <w:color w:val="auto"/>
                <w:lang w:val="en-US" w:eastAsia="zh-CN"/>
              </w:rPr>
              <w:t>9</w:t>
            </w:r>
            <w:r>
              <w:rPr>
                <w:color w:val="auto"/>
              </w:rPr>
              <w:t>废气污染源监测计划</w:t>
            </w:r>
          </w:p>
          <w:tbl>
            <w:tblPr>
              <w:tblStyle w:val="3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579"/>
              <w:gridCol w:w="2471"/>
              <w:gridCol w:w="2017"/>
            </w:tblGrid>
            <w:tr w14:paraId="02C0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36" w:type="pct"/>
                  <w:tcBorders>
                    <w:tl2br w:val="nil"/>
                    <w:tr2bl w:val="nil"/>
                  </w:tcBorders>
                  <w:vAlign w:val="center"/>
                </w:tcPr>
                <w:p w14:paraId="50B6D009">
                  <w:pPr>
                    <w:pStyle w:val="57"/>
                    <w:rPr>
                      <w:b/>
                      <w:bCs w:val="0"/>
                      <w:color w:val="auto"/>
                    </w:rPr>
                  </w:pPr>
                  <w:r>
                    <w:rPr>
                      <w:b/>
                      <w:bCs w:val="0"/>
                      <w:color w:val="auto"/>
                    </w:rPr>
                    <w:t>序号</w:t>
                  </w:r>
                </w:p>
              </w:tc>
              <w:tc>
                <w:tcPr>
                  <w:tcW w:w="1555" w:type="pct"/>
                  <w:tcBorders>
                    <w:tl2br w:val="nil"/>
                    <w:tr2bl w:val="nil"/>
                  </w:tcBorders>
                  <w:vAlign w:val="center"/>
                </w:tcPr>
                <w:p w14:paraId="56D3D907">
                  <w:pPr>
                    <w:pStyle w:val="57"/>
                    <w:rPr>
                      <w:b/>
                      <w:bCs w:val="0"/>
                      <w:color w:val="auto"/>
                    </w:rPr>
                  </w:pPr>
                  <w:r>
                    <w:rPr>
                      <w:rFonts w:hint="eastAsia"/>
                      <w:b/>
                      <w:bCs w:val="0"/>
                      <w:color w:val="auto"/>
                    </w:rPr>
                    <w:t>监测点位</w:t>
                  </w:r>
                </w:p>
              </w:tc>
              <w:tc>
                <w:tcPr>
                  <w:tcW w:w="1490" w:type="pct"/>
                  <w:tcBorders>
                    <w:tl2br w:val="nil"/>
                    <w:tr2bl w:val="nil"/>
                  </w:tcBorders>
                  <w:vAlign w:val="center"/>
                </w:tcPr>
                <w:p w14:paraId="4ED7F998">
                  <w:pPr>
                    <w:pStyle w:val="57"/>
                    <w:rPr>
                      <w:b/>
                      <w:bCs w:val="0"/>
                      <w:color w:val="auto"/>
                    </w:rPr>
                  </w:pPr>
                  <w:r>
                    <w:rPr>
                      <w:rFonts w:hint="eastAsia"/>
                      <w:b/>
                      <w:bCs w:val="0"/>
                      <w:color w:val="auto"/>
                    </w:rPr>
                    <w:t>监测指标</w:t>
                  </w:r>
                </w:p>
              </w:tc>
              <w:tc>
                <w:tcPr>
                  <w:tcW w:w="1217" w:type="pct"/>
                  <w:tcBorders>
                    <w:tl2br w:val="nil"/>
                    <w:tr2bl w:val="nil"/>
                  </w:tcBorders>
                  <w:vAlign w:val="center"/>
                </w:tcPr>
                <w:p w14:paraId="2A0F168F">
                  <w:pPr>
                    <w:pStyle w:val="57"/>
                    <w:rPr>
                      <w:b/>
                      <w:bCs w:val="0"/>
                      <w:color w:val="auto"/>
                    </w:rPr>
                  </w:pPr>
                  <w:r>
                    <w:rPr>
                      <w:b/>
                      <w:bCs w:val="0"/>
                      <w:color w:val="auto"/>
                    </w:rPr>
                    <w:t>监测频次</w:t>
                  </w:r>
                </w:p>
              </w:tc>
            </w:tr>
            <w:tr w14:paraId="769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6" w:type="pct"/>
                  <w:tcBorders>
                    <w:tl2br w:val="nil"/>
                    <w:tr2bl w:val="nil"/>
                  </w:tcBorders>
                  <w:vAlign w:val="center"/>
                </w:tcPr>
                <w:p w14:paraId="37F27340">
                  <w:pPr>
                    <w:pStyle w:val="57"/>
                    <w:rPr>
                      <w:color w:val="auto"/>
                    </w:rPr>
                  </w:pPr>
                  <w:r>
                    <w:rPr>
                      <w:color w:val="auto"/>
                    </w:rPr>
                    <w:t>1</w:t>
                  </w:r>
                </w:p>
              </w:tc>
              <w:tc>
                <w:tcPr>
                  <w:tcW w:w="1555" w:type="pct"/>
                  <w:tcBorders>
                    <w:tl2br w:val="nil"/>
                    <w:tr2bl w:val="nil"/>
                  </w:tcBorders>
                  <w:vAlign w:val="center"/>
                </w:tcPr>
                <w:p w14:paraId="5D66059F">
                  <w:pPr>
                    <w:pStyle w:val="57"/>
                    <w:rPr>
                      <w:color w:val="auto"/>
                    </w:rPr>
                  </w:pPr>
                  <w:r>
                    <w:rPr>
                      <w:rFonts w:hint="eastAsia"/>
                      <w:color w:val="auto"/>
                    </w:rPr>
                    <w:t>废气排放口（DA001）</w:t>
                  </w:r>
                </w:p>
              </w:tc>
              <w:tc>
                <w:tcPr>
                  <w:tcW w:w="1490" w:type="pct"/>
                  <w:tcBorders>
                    <w:tl2br w:val="nil"/>
                    <w:tr2bl w:val="nil"/>
                  </w:tcBorders>
                  <w:vAlign w:val="center"/>
                </w:tcPr>
                <w:p w14:paraId="05A30355">
                  <w:pPr>
                    <w:pStyle w:val="57"/>
                    <w:rPr>
                      <w:rFonts w:hint="eastAsia" w:eastAsia="宋体"/>
                      <w:color w:val="auto"/>
                      <w:lang w:eastAsia="zh-CN"/>
                    </w:rPr>
                  </w:pPr>
                  <w:r>
                    <w:rPr>
                      <w:rFonts w:hint="eastAsia"/>
                      <w:color w:val="auto"/>
                    </w:rPr>
                    <w:t>非甲烷总烃</w:t>
                  </w:r>
                </w:p>
              </w:tc>
              <w:tc>
                <w:tcPr>
                  <w:tcW w:w="1217" w:type="pct"/>
                  <w:tcBorders>
                    <w:tl2br w:val="nil"/>
                    <w:tr2bl w:val="nil"/>
                  </w:tcBorders>
                  <w:vAlign w:val="center"/>
                </w:tcPr>
                <w:p w14:paraId="1071432D">
                  <w:pPr>
                    <w:pStyle w:val="57"/>
                    <w:rPr>
                      <w:color w:val="auto"/>
                    </w:rPr>
                  </w:pPr>
                  <w:r>
                    <w:rPr>
                      <w:rFonts w:hint="eastAsia"/>
                      <w:color w:val="auto"/>
                    </w:rPr>
                    <w:t>半年</w:t>
                  </w:r>
                  <w:r>
                    <w:rPr>
                      <w:color w:val="auto"/>
                    </w:rPr>
                    <w:t>一次</w:t>
                  </w:r>
                </w:p>
              </w:tc>
            </w:tr>
            <w:tr w14:paraId="1A0A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6" w:type="pct"/>
                  <w:tcBorders>
                    <w:tl2br w:val="nil"/>
                    <w:tr2bl w:val="nil"/>
                  </w:tcBorders>
                  <w:vAlign w:val="center"/>
                </w:tcPr>
                <w:p w14:paraId="11169905">
                  <w:pPr>
                    <w:pStyle w:val="57"/>
                    <w:rPr>
                      <w:color w:val="auto"/>
                    </w:rPr>
                  </w:pPr>
                  <w:r>
                    <w:rPr>
                      <w:rFonts w:hint="eastAsia"/>
                      <w:color w:val="auto"/>
                    </w:rPr>
                    <w:t>2</w:t>
                  </w:r>
                </w:p>
              </w:tc>
              <w:tc>
                <w:tcPr>
                  <w:tcW w:w="1555" w:type="pct"/>
                  <w:tcBorders>
                    <w:tl2br w:val="nil"/>
                    <w:tr2bl w:val="nil"/>
                  </w:tcBorders>
                  <w:vAlign w:val="center"/>
                </w:tcPr>
                <w:p w14:paraId="7DC82227">
                  <w:pPr>
                    <w:pStyle w:val="57"/>
                    <w:rPr>
                      <w:color w:val="auto"/>
                    </w:rPr>
                  </w:pPr>
                  <w:r>
                    <w:rPr>
                      <w:rFonts w:hint="eastAsia"/>
                      <w:color w:val="auto"/>
                    </w:rPr>
                    <w:t>厂界监控点</w:t>
                  </w:r>
                </w:p>
              </w:tc>
              <w:tc>
                <w:tcPr>
                  <w:tcW w:w="1490" w:type="pct"/>
                  <w:tcBorders>
                    <w:tl2br w:val="nil"/>
                    <w:tr2bl w:val="nil"/>
                  </w:tcBorders>
                  <w:vAlign w:val="center"/>
                </w:tcPr>
                <w:p w14:paraId="40A53AF8">
                  <w:pPr>
                    <w:pStyle w:val="57"/>
                    <w:rPr>
                      <w:rFonts w:hint="eastAsia" w:eastAsia="宋体"/>
                      <w:color w:val="auto"/>
                      <w:lang w:eastAsia="zh-CN"/>
                    </w:rPr>
                  </w:pPr>
                  <w:r>
                    <w:rPr>
                      <w:rFonts w:hint="eastAsia"/>
                      <w:color w:val="auto"/>
                    </w:rPr>
                    <w:t>非甲烷总烃</w:t>
                  </w:r>
                </w:p>
              </w:tc>
              <w:tc>
                <w:tcPr>
                  <w:tcW w:w="1217" w:type="pct"/>
                  <w:tcBorders>
                    <w:tl2br w:val="nil"/>
                    <w:tr2bl w:val="nil"/>
                  </w:tcBorders>
                  <w:vAlign w:val="center"/>
                </w:tcPr>
                <w:p w14:paraId="2024EF6B">
                  <w:pPr>
                    <w:pStyle w:val="57"/>
                    <w:rPr>
                      <w:color w:val="auto"/>
                    </w:rPr>
                  </w:pPr>
                  <w:r>
                    <w:rPr>
                      <w:rFonts w:hint="eastAsia"/>
                      <w:color w:val="auto"/>
                    </w:rPr>
                    <w:t>半年</w:t>
                  </w:r>
                  <w:r>
                    <w:rPr>
                      <w:color w:val="auto"/>
                    </w:rPr>
                    <w:t>一次</w:t>
                  </w:r>
                </w:p>
              </w:tc>
            </w:tr>
          </w:tbl>
          <w:p w14:paraId="7CB3CB31">
            <w:pPr>
              <w:pStyle w:val="80"/>
              <w:spacing w:line="360" w:lineRule="auto"/>
              <w:rPr>
                <w:rFonts w:hint="eastAsia"/>
                <w:b/>
                <w:color w:val="auto"/>
                <w:kern w:val="0"/>
              </w:rPr>
            </w:pPr>
          </w:p>
          <w:p w14:paraId="6D85B486">
            <w:pPr>
              <w:pStyle w:val="80"/>
              <w:spacing w:line="360" w:lineRule="auto"/>
              <w:rPr>
                <w:rFonts w:hint="eastAsia"/>
                <w:b/>
                <w:color w:val="auto"/>
                <w:kern w:val="0"/>
              </w:rPr>
            </w:pPr>
          </w:p>
          <w:p w14:paraId="6A0BB7F9">
            <w:pPr>
              <w:pStyle w:val="80"/>
              <w:spacing w:line="360" w:lineRule="auto"/>
              <w:rPr>
                <w:rFonts w:hint="eastAsia"/>
                <w:b/>
                <w:color w:val="auto"/>
                <w:kern w:val="0"/>
              </w:rPr>
            </w:pPr>
          </w:p>
          <w:p w14:paraId="651EF85B">
            <w:pPr>
              <w:pStyle w:val="80"/>
              <w:spacing w:line="360" w:lineRule="auto"/>
              <w:rPr>
                <w:rFonts w:hint="eastAsia"/>
                <w:b/>
                <w:color w:val="auto"/>
                <w:kern w:val="0"/>
              </w:rPr>
            </w:pPr>
          </w:p>
          <w:p w14:paraId="6D0CB282">
            <w:pPr>
              <w:pStyle w:val="80"/>
              <w:spacing w:line="360" w:lineRule="auto"/>
              <w:rPr>
                <w:rFonts w:hint="eastAsia"/>
                <w:b/>
                <w:color w:val="auto"/>
                <w:kern w:val="0"/>
              </w:rPr>
            </w:pPr>
          </w:p>
          <w:p w14:paraId="34A9A8C4">
            <w:pPr>
              <w:pStyle w:val="80"/>
              <w:spacing w:line="360" w:lineRule="auto"/>
              <w:rPr>
                <w:b/>
                <w:color w:val="auto"/>
                <w:kern w:val="0"/>
              </w:rPr>
            </w:pPr>
            <w:r>
              <w:rPr>
                <w:rFonts w:hint="eastAsia"/>
                <w:b/>
                <w:color w:val="auto"/>
                <w:kern w:val="0"/>
              </w:rPr>
              <w:t>2、</w:t>
            </w:r>
            <w:r>
              <w:rPr>
                <w:b/>
                <w:color w:val="auto"/>
                <w:kern w:val="0"/>
              </w:rPr>
              <w:t>废水</w:t>
            </w:r>
          </w:p>
          <w:p w14:paraId="7B7F6ADF">
            <w:pPr>
              <w:pStyle w:val="80"/>
              <w:spacing w:line="360" w:lineRule="auto"/>
              <w:ind w:firstLine="480" w:firstLineChars="200"/>
              <w:rPr>
                <w:bCs/>
                <w:color w:val="auto"/>
                <w:kern w:val="0"/>
              </w:rPr>
            </w:pPr>
            <w:r>
              <w:rPr>
                <w:rFonts w:hint="eastAsia"/>
                <w:bCs/>
                <w:color w:val="auto"/>
                <w:kern w:val="0"/>
              </w:rPr>
              <w:t>（1）</w:t>
            </w:r>
            <w:r>
              <w:rPr>
                <w:bCs/>
                <w:color w:val="auto"/>
                <w:kern w:val="0"/>
              </w:rPr>
              <w:t>废水源强</w:t>
            </w:r>
          </w:p>
          <w:p w14:paraId="133B9253">
            <w:pPr>
              <w:pStyle w:val="80"/>
              <w:spacing w:line="360" w:lineRule="auto"/>
              <w:ind w:firstLine="480" w:firstLineChars="200"/>
              <w:rPr>
                <w:color w:val="auto"/>
              </w:rPr>
            </w:pPr>
            <w:r>
              <w:rPr>
                <w:bCs/>
                <w:color w:val="auto"/>
                <w:kern w:val="0"/>
              </w:rPr>
              <w:t>生活污水</w:t>
            </w:r>
            <w:r>
              <w:rPr>
                <w:rFonts w:hint="eastAsia"/>
                <w:bCs/>
                <w:color w:val="auto"/>
                <w:kern w:val="0"/>
              </w:rPr>
              <w:t>3.84m</w:t>
            </w:r>
            <w:r>
              <w:rPr>
                <w:rFonts w:hint="eastAsia"/>
                <w:bCs/>
                <w:color w:val="auto"/>
                <w:kern w:val="0"/>
                <w:vertAlign w:val="superscript"/>
              </w:rPr>
              <w:t>3</w:t>
            </w:r>
            <w:r>
              <w:rPr>
                <w:bCs/>
                <w:color w:val="auto"/>
                <w:kern w:val="0"/>
              </w:rPr>
              <w:t>/d（</w:t>
            </w:r>
            <w:r>
              <w:rPr>
                <w:rFonts w:hint="eastAsia"/>
                <w:bCs/>
                <w:color w:val="auto"/>
                <w:kern w:val="0"/>
              </w:rPr>
              <w:t>1152</w:t>
            </w:r>
            <w:r>
              <w:rPr>
                <w:rFonts w:hint="eastAsia"/>
                <w:color w:val="auto"/>
              </w:rPr>
              <w:t>m</w:t>
            </w:r>
            <w:r>
              <w:rPr>
                <w:rFonts w:hint="eastAsia"/>
                <w:color w:val="auto"/>
                <w:vertAlign w:val="superscript"/>
              </w:rPr>
              <w:t>3</w:t>
            </w:r>
            <w:r>
              <w:rPr>
                <w:color w:val="auto"/>
              </w:rPr>
              <w:t>/a）</w:t>
            </w:r>
            <w:r>
              <w:rPr>
                <w:rFonts w:hint="eastAsia"/>
                <w:color w:val="auto"/>
              </w:rPr>
              <w:t>经化粪池预处理后接管污水管网，生活污水污染因子及浓度主要为</w:t>
            </w:r>
            <w:r>
              <w:rPr>
                <w:color w:val="auto"/>
              </w:rPr>
              <w:t>COD：</w:t>
            </w:r>
            <w:r>
              <w:rPr>
                <w:rFonts w:hint="eastAsia"/>
                <w:color w:val="auto"/>
              </w:rPr>
              <w:t>350</w:t>
            </w:r>
            <w:r>
              <w:rPr>
                <w:color w:val="auto"/>
              </w:rPr>
              <w:t>mg/L、BOD：</w:t>
            </w:r>
            <w:r>
              <w:rPr>
                <w:rFonts w:hint="eastAsia"/>
                <w:color w:val="auto"/>
              </w:rPr>
              <w:t>200</w:t>
            </w:r>
            <w:r>
              <w:rPr>
                <w:color w:val="auto"/>
              </w:rPr>
              <w:t>mg/L、SS：</w:t>
            </w:r>
            <w:r>
              <w:rPr>
                <w:rFonts w:hint="eastAsia"/>
                <w:color w:val="auto"/>
              </w:rPr>
              <w:t>200</w:t>
            </w:r>
            <w:r>
              <w:rPr>
                <w:color w:val="auto"/>
              </w:rPr>
              <w:t>mg/L、N</w:t>
            </w:r>
            <w:r>
              <w:rPr>
                <w:rFonts w:hint="eastAsia"/>
                <w:color w:val="auto"/>
              </w:rPr>
              <w:t>H</w:t>
            </w:r>
            <w:r>
              <w:rPr>
                <w:rFonts w:hint="eastAsia"/>
                <w:color w:val="auto"/>
                <w:vertAlign w:val="subscript"/>
              </w:rPr>
              <w:t>3</w:t>
            </w:r>
            <w:r>
              <w:rPr>
                <w:color w:val="auto"/>
              </w:rPr>
              <w:t>-N：25mg/L，</w:t>
            </w:r>
            <w:r>
              <w:rPr>
                <w:rFonts w:hint="eastAsia"/>
                <w:color w:val="auto"/>
              </w:rPr>
              <w:t>化粪池</w:t>
            </w:r>
            <w:r>
              <w:rPr>
                <w:color w:val="auto"/>
              </w:rPr>
              <w:t>COD、BOD、SS、N</w:t>
            </w:r>
            <w:r>
              <w:rPr>
                <w:rFonts w:hint="eastAsia"/>
                <w:color w:val="auto"/>
              </w:rPr>
              <w:t>H</w:t>
            </w:r>
            <w:r>
              <w:rPr>
                <w:rFonts w:hint="eastAsia"/>
                <w:color w:val="auto"/>
                <w:vertAlign w:val="subscript"/>
              </w:rPr>
              <w:t>3</w:t>
            </w:r>
            <w:r>
              <w:rPr>
                <w:color w:val="auto"/>
              </w:rPr>
              <w:t>-N</w:t>
            </w:r>
            <w:r>
              <w:rPr>
                <w:rFonts w:hint="eastAsia"/>
                <w:color w:val="auto"/>
              </w:rPr>
              <w:t>的处理效率分别为20%、10%、10%、5%。</w:t>
            </w:r>
          </w:p>
          <w:p w14:paraId="6CCBFBC8">
            <w:pPr>
              <w:pStyle w:val="58"/>
              <w:ind w:firstLine="422"/>
              <w:rPr>
                <w:color w:val="auto"/>
              </w:rPr>
            </w:pPr>
            <w:r>
              <w:rPr>
                <w:color w:val="auto"/>
              </w:rPr>
              <w:t>表4-</w:t>
            </w:r>
            <w:r>
              <w:rPr>
                <w:rFonts w:hint="eastAsia"/>
                <w:color w:val="auto"/>
              </w:rPr>
              <w:t>1</w:t>
            </w:r>
            <w:r>
              <w:rPr>
                <w:rFonts w:hint="eastAsia"/>
                <w:color w:val="auto"/>
                <w:lang w:val="en-US" w:eastAsia="zh-CN"/>
              </w:rPr>
              <w:t>0</w:t>
            </w:r>
            <w:r>
              <w:rPr>
                <w:color w:val="auto"/>
              </w:rPr>
              <w:t>项目废水污染物排放情况一览表</w:t>
            </w:r>
          </w:p>
          <w:tbl>
            <w:tblPr>
              <w:tblStyle w:val="37"/>
              <w:tblW w:w="8299" w:type="dxa"/>
              <w:jc w:val="center"/>
              <w:tblLayout w:type="fixed"/>
              <w:tblCellMar>
                <w:top w:w="0" w:type="dxa"/>
                <w:left w:w="108" w:type="dxa"/>
                <w:bottom w:w="0" w:type="dxa"/>
                <w:right w:w="108" w:type="dxa"/>
              </w:tblCellMar>
            </w:tblPr>
            <w:tblGrid>
              <w:gridCol w:w="613"/>
              <w:gridCol w:w="1078"/>
              <w:gridCol w:w="790"/>
              <w:gridCol w:w="777"/>
              <w:gridCol w:w="13"/>
              <w:gridCol w:w="1078"/>
              <w:gridCol w:w="790"/>
              <w:gridCol w:w="790"/>
              <w:gridCol w:w="790"/>
              <w:gridCol w:w="790"/>
              <w:gridCol w:w="790"/>
            </w:tblGrid>
            <w:tr w14:paraId="378F76C9">
              <w:tblPrEx>
                <w:tblCellMar>
                  <w:top w:w="0" w:type="dxa"/>
                  <w:left w:w="108" w:type="dxa"/>
                  <w:bottom w:w="0" w:type="dxa"/>
                  <w:right w:w="108" w:type="dxa"/>
                </w:tblCellMar>
              </w:tblPrEx>
              <w:trPr>
                <w:trHeight w:val="270" w:hRule="atLeast"/>
                <w:jc w:val="center"/>
              </w:trPr>
              <w:tc>
                <w:tcPr>
                  <w:tcW w:w="613" w:type="dxa"/>
                  <w:vMerge w:val="restart"/>
                  <w:tcBorders>
                    <w:top w:val="single" w:color="000000" w:sz="8" w:space="0"/>
                    <w:left w:val="single" w:color="000000" w:sz="8" w:space="0"/>
                    <w:bottom w:val="single" w:color="000000" w:sz="8" w:space="0"/>
                    <w:right w:val="single" w:color="000000" w:sz="8" w:space="0"/>
                  </w:tcBorders>
                  <w:vAlign w:val="center"/>
                </w:tcPr>
                <w:p w14:paraId="64D18306">
                  <w:pPr>
                    <w:pStyle w:val="57"/>
                    <w:rPr>
                      <w:rFonts w:hint="eastAsia"/>
                      <w:b/>
                      <w:bCs w:val="0"/>
                      <w:color w:val="auto"/>
                    </w:rPr>
                  </w:pPr>
                  <w:r>
                    <w:rPr>
                      <w:rFonts w:hint="eastAsia"/>
                      <w:b/>
                      <w:bCs w:val="0"/>
                      <w:color w:val="auto"/>
                    </w:rPr>
                    <w:t>污染源</w:t>
                  </w:r>
                </w:p>
              </w:tc>
              <w:tc>
                <w:tcPr>
                  <w:tcW w:w="1078" w:type="dxa"/>
                  <w:vMerge w:val="restart"/>
                  <w:tcBorders>
                    <w:top w:val="single" w:color="000000" w:sz="8" w:space="0"/>
                    <w:left w:val="nil"/>
                    <w:bottom w:val="single" w:color="000000" w:sz="8" w:space="0"/>
                    <w:right w:val="single" w:color="000000" w:sz="8" w:space="0"/>
                  </w:tcBorders>
                  <w:vAlign w:val="center"/>
                </w:tcPr>
                <w:p w14:paraId="6FE64403">
                  <w:pPr>
                    <w:pStyle w:val="57"/>
                    <w:rPr>
                      <w:rFonts w:hint="eastAsia"/>
                      <w:b/>
                      <w:bCs w:val="0"/>
                      <w:color w:val="auto"/>
                    </w:rPr>
                  </w:pPr>
                  <w:r>
                    <w:rPr>
                      <w:rFonts w:hint="eastAsia"/>
                      <w:b/>
                      <w:bCs w:val="0"/>
                      <w:color w:val="auto"/>
                    </w:rPr>
                    <w:t>污染物</w:t>
                  </w:r>
                </w:p>
              </w:tc>
              <w:tc>
                <w:tcPr>
                  <w:tcW w:w="2658" w:type="dxa"/>
                  <w:gridSpan w:val="4"/>
                  <w:tcBorders>
                    <w:top w:val="single" w:color="000000" w:sz="8" w:space="0"/>
                    <w:left w:val="nil"/>
                    <w:bottom w:val="single" w:color="000000" w:sz="8" w:space="0"/>
                    <w:right w:val="single" w:color="000000" w:sz="8" w:space="0"/>
                  </w:tcBorders>
                  <w:vAlign w:val="center"/>
                </w:tcPr>
                <w:p w14:paraId="76B3F11A">
                  <w:pPr>
                    <w:pStyle w:val="57"/>
                    <w:rPr>
                      <w:rFonts w:hint="eastAsia"/>
                      <w:b/>
                      <w:bCs w:val="0"/>
                      <w:color w:val="auto"/>
                    </w:rPr>
                  </w:pPr>
                  <w:r>
                    <w:rPr>
                      <w:rFonts w:hint="eastAsia"/>
                      <w:b/>
                      <w:bCs w:val="0"/>
                      <w:color w:val="auto"/>
                    </w:rPr>
                    <w:t>污染物产生</w:t>
                  </w:r>
                </w:p>
              </w:tc>
              <w:tc>
                <w:tcPr>
                  <w:tcW w:w="1580" w:type="dxa"/>
                  <w:gridSpan w:val="2"/>
                  <w:tcBorders>
                    <w:top w:val="single" w:color="000000" w:sz="8" w:space="0"/>
                    <w:left w:val="nil"/>
                    <w:bottom w:val="single" w:color="000000" w:sz="8" w:space="0"/>
                    <w:right w:val="single" w:color="000000" w:sz="8" w:space="0"/>
                  </w:tcBorders>
                  <w:vAlign w:val="center"/>
                </w:tcPr>
                <w:p w14:paraId="66E4F163">
                  <w:pPr>
                    <w:pStyle w:val="57"/>
                    <w:rPr>
                      <w:rFonts w:hint="eastAsia"/>
                      <w:b/>
                      <w:bCs w:val="0"/>
                      <w:color w:val="auto"/>
                    </w:rPr>
                  </w:pPr>
                  <w:r>
                    <w:rPr>
                      <w:rFonts w:hint="eastAsia"/>
                      <w:b/>
                      <w:bCs w:val="0"/>
                      <w:color w:val="auto"/>
                    </w:rPr>
                    <w:t>治理措施</w:t>
                  </w:r>
                </w:p>
              </w:tc>
              <w:tc>
                <w:tcPr>
                  <w:tcW w:w="2370" w:type="dxa"/>
                  <w:gridSpan w:val="3"/>
                  <w:tcBorders>
                    <w:top w:val="single" w:color="000000" w:sz="8" w:space="0"/>
                    <w:left w:val="nil"/>
                    <w:bottom w:val="single" w:color="000000" w:sz="8" w:space="0"/>
                    <w:right w:val="single" w:color="000000" w:sz="8" w:space="0"/>
                  </w:tcBorders>
                  <w:vAlign w:val="center"/>
                </w:tcPr>
                <w:p w14:paraId="7F6D29BC">
                  <w:pPr>
                    <w:pStyle w:val="57"/>
                    <w:rPr>
                      <w:rFonts w:hint="eastAsia"/>
                      <w:b/>
                      <w:bCs w:val="0"/>
                      <w:color w:val="auto"/>
                    </w:rPr>
                  </w:pPr>
                  <w:r>
                    <w:rPr>
                      <w:rFonts w:hint="eastAsia"/>
                      <w:b/>
                      <w:bCs w:val="0"/>
                      <w:color w:val="auto"/>
                    </w:rPr>
                    <w:t>污染物排放</w:t>
                  </w:r>
                </w:p>
              </w:tc>
            </w:tr>
            <w:tr w14:paraId="2BB7DB0B">
              <w:tblPrEx>
                <w:tblCellMar>
                  <w:top w:w="0" w:type="dxa"/>
                  <w:left w:w="108" w:type="dxa"/>
                  <w:bottom w:w="0" w:type="dxa"/>
                  <w:right w:w="108" w:type="dxa"/>
                </w:tblCellMar>
              </w:tblPrEx>
              <w:trPr>
                <w:trHeight w:val="555" w:hRule="atLeast"/>
                <w:jc w:val="center"/>
              </w:trPr>
              <w:tc>
                <w:tcPr>
                  <w:tcW w:w="613" w:type="dxa"/>
                  <w:vMerge w:val="continue"/>
                  <w:tcBorders>
                    <w:top w:val="single" w:color="000000" w:sz="8" w:space="0"/>
                    <w:left w:val="single" w:color="000000" w:sz="8" w:space="0"/>
                    <w:bottom w:val="single" w:color="000000" w:sz="8" w:space="0"/>
                    <w:right w:val="single" w:color="000000" w:sz="8" w:space="0"/>
                  </w:tcBorders>
                  <w:vAlign w:val="center"/>
                </w:tcPr>
                <w:p w14:paraId="5C81134A">
                  <w:pPr>
                    <w:pStyle w:val="57"/>
                    <w:rPr>
                      <w:rFonts w:hint="eastAsia"/>
                      <w:b/>
                      <w:bCs w:val="0"/>
                      <w:color w:val="auto"/>
                    </w:rPr>
                  </w:pPr>
                </w:p>
              </w:tc>
              <w:tc>
                <w:tcPr>
                  <w:tcW w:w="1078" w:type="dxa"/>
                  <w:vMerge w:val="continue"/>
                  <w:tcBorders>
                    <w:top w:val="single" w:color="000000" w:sz="8" w:space="0"/>
                    <w:left w:val="nil"/>
                    <w:bottom w:val="single" w:color="000000" w:sz="8" w:space="0"/>
                    <w:right w:val="single" w:color="000000" w:sz="8" w:space="0"/>
                  </w:tcBorders>
                  <w:vAlign w:val="center"/>
                </w:tcPr>
                <w:p w14:paraId="441E9B57">
                  <w:pPr>
                    <w:pStyle w:val="57"/>
                    <w:rPr>
                      <w:rFonts w:hint="eastAsia"/>
                      <w:b/>
                      <w:bCs w:val="0"/>
                      <w:color w:val="auto"/>
                    </w:rPr>
                  </w:pPr>
                </w:p>
              </w:tc>
              <w:tc>
                <w:tcPr>
                  <w:tcW w:w="790" w:type="dxa"/>
                  <w:tcBorders>
                    <w:top w:val="nil"/>
                    <w:left w:val="nil"/>
                    <w:bottom w:val="single" w:color="000000" w:sz="8" w:space="0"/>
                    <w:right w:val="single" w:color="000000" w:sz="8" w:space="0"/>
                  </w:tcBorders>
                  <w:vAlign w:val="center"/>
                </w:tcPr>
                <w:p w14:paraId="1C60D7F1">
                  <w:pPr>
                    <w:pStyle w:val="57"/>
                    <w:rPr>
                      <w:rFonts w:hint="eastAsia"/>
                      <w:b/>
                      <w:bCs w:val="0"/>
                      <w:color w:val="auto"/>
                    </w:rPr>
                  </w:pPr>
                  <w:r>
                    <w:rPr>
                      <w:rFonts w:hint="eastAsia"/>
                      <w:b/>
                      <w:bCs w:val="0"/>
                      <w:color w:val="auto"/>
                    </w:rPr>
                    <w:t>废水量m</w:t>
                  </w:r>
                  <w:r>
                    <w:rPr>
                      <w:rFonts w:hint="eastAsia"/>
                      <w:b/>
                      <w:bCs w:val="0"/>
                      <w:color w:val="auto"/>
                      <w:vertAlign w:val="superscript"/>
                    </w:rPr>
                    <w:t>3</w:t>
                  </w:r>
                  <w:r>
                    <w:rPr>
                      <w:b/>
                      <w:bCs w:val="0"/>
                      <w:color w:val="auto"/>
                    </w:rPr>
                    <w:t>/a</w:t>
                  </w:r>
                </w:p>
              </w:tc>
              <w:tc>
                <w:tcPr>
                  <w:tcW w:w="790" w:type="dxa"/>
                  <w:gridSpan w:val="2"/>
                  <w:tcBorders>
                    <w:top w:val="nil"/>
                    <w:left w:val="nil"/>
                    <w:bottom w:val="single" w:color="000000" w:sz="8" w:space="0"/>
                    <w:right w:val="single" w:color="000000" w:sz="8" w:space="0"/>
                  </w:tcBorders>
                  <w:vAlign w:val="center"/>
                </w:tcPr>
                <w:p w14:paraId="4F497AC3">
                  <w:pPr>
                    <w:pStyle w:val="57"/>
                    <w:rPr>
                      <w:rFonts w:hint="eastAsia"/>
                      <w:b/>
                      <w:bCs w:val="0"/>
                      <w:color w:val="auto"/>
                    </w:rPr>
                  </w:pPr>
                  <w:r>
                    <w:rPr>
                      <w:rFonts w:hint="eastAsia"/>
                      <w:b/>
                      <w:bCs w:val="0"/>
                      <w:color w:val="auto"/>
                    </w:rPr>
                    <w:t>产生浓度</w:t>
                  </w:r>
                  <w:r>
                    <w:rPr>
                      <w:b/>
                      <w:bCs w:val="0"/>
                      <w:color w:val="auto"/>
                    </w:rPr>
                    <w:t>mg/L</w:t>
                  </w:r>
                </w:p>
              </w:tc>
              <w:tc>
                <w:tcPr>
                  <w:tcW w:w="1078" w:type="dxa"/>
                  <w:tcBorders>
                    <w:top w:val="single" w:color="000000" w:sz="8" w:space="0"/>
                    <w:left w:val="nil"/>
                    <w:bottom w:val="single" w:color="000000" w:sz="8" w:space="0"/>
                    <w:right w:val="single" w:color="000000" w:sz="8" w:space="0"/>
                  </w:tcBorders>
                  <w:vAlign w:val="center"/>
                </w:tcPr>
                <w:p w14:paraId="2938E129">
                  <w:pPr>
                    <w:pStyle w:val="57"/>
                    <w:rPr>
                      <w:rFonts w:hint="eastAsia"/>
                      <w:b/>
                      <w:bCs w:val="0"/>
                      <w:color w:val="auto"/>
                    </w:rPr>
                  </w:pPr>
                  <w:r>
                    <w:rPr>
                      <w:rFonts w:hint="eastAsia"/>
                      <w:b/>
                      <w:bCs w:val="0"/>
                      <w:color w:val="auto"/>
                    </w:rPr>
                    <w:t>产生量</w:t>
                  </w:r>
                  <w:r>
                    <w:rPr>
                      <w:b/>
                      <w:bCs w:val="0"/>
                      <w:color w:val="auto"/>
                    </w:rPr>
                    <w:t>t/a</w:t>
                  </w:r>
                </w:p>
              </w:tc>
              <w:tc>
                <w:tcPr>
                  <w:tcW w:w="790" w:type="dxa"/>
                  <w:tcBorders>
                    <w:top w:val="single" w:color="000000" w:sz="8" w:space="0"/>
                    <w:left w:val="nil"/>
                    <w:bottom w:val="single" w:color="000000" w:sz="8" w:space="0"/>
                    <w:right w:val="single" w:color="000000" w:sz="8" w:space="0"/>
                  </w:tcBorders>
                  <w:vAlign w:val="center"/>
                </w:tcPr>
                <w:p w14:paraId="2C4B824C">
                  <w:pPr>
                    <w:pStyle w:val="57"/>
                    <w:rPr>
                      <w:rFonts w:hint="eastAsia"/>
                      <w:b/>
                      <w:bCs w:val="0"/>
                      <w:color w:val="auto"/>
                    </w:rPr>
                  </w:pPr>
                  <w:r>
                    <w:rPr>
                      <w:rFonts w:hint="eastAsia"/>
                      <w:b/>
                      <w:bCs w:val="0"/>
                      <w:color w:val="auto"/>
                    </w:rPr>
                    <w:t>工艺</w:t>
                  </w:r>
                </w:p>
              </w:tc>
              <w:tc>
                <w:tcPr>
                  <w:tcW w:w="790" w:type="dxa"/>
                  <w:tcBorders>
                    <w:top w:val="single" w:color="000000" w:sz="8" w:space="0"/>
                    <w:left w:val="nil"/>
                    <w:bottom w:val="single" w:color="000000" w:sz="8" w:space="0"/>
                    <w:right w:val="single" w:color="000000" w:sz="8" w:space="0"/>
                  </w:tcBorders>
                  <w:vAlign w:val="center"/>
                </w:tcPr>
                <w:p w14:paraId="408659F5">
                  <w:pPr>
                    <w:pStyle w:val="57"/>
                    <w:rPr>
                      <w:rFonts w:hint="eastAsia"/>
                      <w:b/>
                      <w:bCs w:val="0"/>
                      <w:color w:val="auto"/>
                    </w:rPr>
                  </w:pPr>
                  <w:r>
                    <w:rPr>
                      <w:rFonts w:hint="eastAsia"/>
                      <w:b/>
                      <w:bCs w:val="0"/>
                      <w:color w:val="auto"/>
                    </w:rPr>
                    <w:t>效率</w:t>
                  </w:r>
                </w:p>
              </w:tc>
              <w:tc>
                <w:tcPr>
                  <w:tcW w:w="790" w:type="dxa"/>
                  <w:tcBorders>
                    <w:top w:val="single" w:color="000000" w:sz="8" w:space="0"/>
                    <w:left w:val="nil"/>
                    <w:bottom w:val="single" w:color="000000" w:sz="8" w:space="0"/>
                    <w:right w:val="single" w:color="000000" w:sz="8" w:space="0"/>
                  </w:tcBorders>
                  <w:vAlign w:val="center"/>
                </w:tcPr>
                <w:p w14:paraId="3715A894">
                  <w:pPr>
                    <w:pStyle w:val="57"/>
                    <w:rPr>
                      <w:rFonts w:hint="eastAsia"/>
                      <w:b/>
                      <w:bCs w:val="0"/>
                      <w:color w:val="auto"/>
                    </w:rPr>
                  </w:pPr>
                  <w:r>
                    <w:rPr>
                      <w:rFonts w:hint="eastAsia"/>
                      <w:b/>
                      <w:bCs w:val="0"/>
                      <w:color w:val="auto"/>
                    </w:rPr>
                    <w:t>废水量m</w:t>
                  </w:r>
                  <w:r>
                    <w:rPr>
                      <w:rFonts w:hint="eastAsia"/>
                      <w:b/>
                      <w:bCs w:val="0"/>
                      <w:color w:val="auto"/>
                      <w:vertAlign w:val="superscript"/>
                    </w:rPr>
                    <w:t>3</w:t>
                  </w:r>
                  <w:r>
                    <w:rPr>
                      <w:b/>
                      <w:bCs w:val="0"/>
                      <w:color w:val="auto"/>
                    </w:rPr>
                    <w:t>/a</w:t>
                  </w:r>
                </w:p>
              </w:tc>
              <w:tc>
                <w:tcPr>
                  <w:tcW w:w="790" w:type="dxa"/>
                  <w:tcBorders>
                    <w:top w:val="single" w:color="000000" w:sz="8" w:space="0"/>
                    <w:left w:val="nil"/>
                    <w:bottom w:val="single" w:color="000000" w:sz="8" w:space="0"/>
                    <w:right w:val="single" w:color="000000" w:sz="8" w:space="0"/>
                  </w:tcBorders>
                  <w:vAlign w:val="center"/>
                </w:tcPr>
                <w:p w14:paraId="555B08C0">
                  <w:pPr>
                    <w:pStyle w:val="57"/>
                    <w:rPr>
                      <w:rFonts w:hint="eastAsia"/>
                      <w:b/>
                      <w:bCs w:val="0"/>
                      <w:color w:val="auto"/>
                    </w:rPr>
                  </w:pPr>
                  <w:r>
                    <w:rPr>
                      <w:rFonts w:hint="eastAsia"/>
                      <w:b/>
                      <w:bCs w:val="0"/>
                      <w:color w:val="auto"/>
                    </w:rPr>
                    <w:t>排放浓度</w:t>
                  </w:r>
                  <w:r>
                    <w:rPr>
                      <w:b/>
                      <w:bCs w:val="0"/>
                      <w:color w:val="auto"/>
                    </w:rPr>
                    <w:t>mg/L</w:t>
                  </w:r>
                </w:p>
              </w:tc>
              <w:tc>
                <w:tcPr>
                  <w:tcW w:w="790" w:type="dxa"/>
                  <w:tcBorders>
                    <w:top w:val="single" w:color="000000" w:sz="8" w:space="0"/>
                    <w:left w:val="nil"/>
                    <w:bottom w:val="single" w:color="000000" w:sz="8" w:space="0"/>
                    <w:right w:val="single" w:color="000000" w:sz="8" w:space="0"/>
                  </w:tcBorders>
                  <w:vAlign w:val="center"/>
                </w:tcPr>
                <w:p w14:paraId="4C0734A9">
                  <w:pPr>
                    <w:pStyle w:val="57"/>
                    <w:rPr>
                      <w:rFonts w:hint="eastAsia"/>
                      <w:b/>
                      <w:bCs w:val="0"/>
                      <w:color w:val="auto"/>
                    </w:rPr>
                  </w:pPr>
                  <w:r>
                    <w:rPr>
                      <w:rFonts w:hint="eastAsia"/>
                      <w:b/>
                      <w:bCs w:val="0"/>
                      <w:color w:val="auto"/>
                    </w:rPr>
                    <w:t>排放量</w:t>
                  </w:r>
                  <w:r>
                    <w:rPr>
                      <w:b/>
                      <w:bCs w:val="0"/>
                      <w:color w:val="auto"/>
                    </w:rPr>
                    <w:t>t/a</w:t>
                  </w:r>
                </w:p>
              </w:tc>
            </w:tr>
            <w:tr w14:paraId="54806832">
              <w:tblPrEx>
                <w:tblCellMar>
                  <w:top w:w="0" w:type="dxa"/>
                  <w:left w:w="108" w:type="dxa"/>
                  <w:bottom w:w="0" w:type="dxa"/>
                  <w:right w:w="108" w:type="dxa"/>
                </w:tblCellMar>
              </w:tblPrEx>
              <w:trPr>
                <w:trHeight w:val="315" w:hRule="atLeast"/>
                <w:jc w:val="center"/>
              </w:trPr>
              <w:tc>
                <w:tcPr>
                  <w:tcW w:w="613" w:type="dxa"/>
                  <w:vMerge w:val="restart"/>
                  <w:tcBorders>
                    <w:top w:val="nil"/>
                    <w:left w:val="single" w:color="000000" w:sz="8" w:space="0"/>
                    <w:bottom w:val="single" w:color="000000" w:sz="8" w:space="0"/>
                    <w:right w:val="single" w:color="000000" w:sz="8" w:space="0"/>
                  </w:tcBorders>
                  <w:vAlign w:val="center"/>
                </w:tcPr>
                <w:p w14:paraId="28323105">
                  <w:pPr>
                    <w:pStyle w:val="57"/>
                    <w:rPr>
                      <w:rFonts w:hint="eastAsia"/>
                      <w:color w:val="auto"/>
                    </w:rPr>
                  </w:pPr>
                  <w:r>
                    <w:rPr>
                      <w:rFonts w:hint="eastAsia"/>
                      <w:color w:val="auto"/>
                    </w:rPr>
                    <w:t>生活污水</w:t>
                  </w:r>
                </w:p>
              </w:tc>
              <w:tc>
                <w:tcPr>
                  <w:tcW w:w="1078" w:type="dxa"/>
                  <w:tcBorders>
                    <w:top w:val="nil"/>
                    <w:left w:val="nil"/>
                    <w:bottom w:val="single" w:color="000000" w:sz="8" w:space="0"/>
                    <w:right w:val="single" w:color="000000" w:sz="8" w:space="0"/>
                  </w:tcBorders>
                  <w:vAlign w:val="center"/>
                </w:tcPr>
                <w:p w14:paraId="442A5F85">
                  <w:pPr>
                    <w:pStyle w:val="57"/>
                    <w:rPr>
                      <w:color w:val="auto"/>
                    </w:rPr>
                  </w:pPr>
                  <w:r>
                    <w:rPr>
                      <w:color w:val="auto"/>
                    </w:rPr>
                    <w:t>pH</w:t>
                  </w:r>
                </w:p>
              </w:tc>
              <w:tc>
                <w:tcPr>
                  <w:tcW w:w="790" w:type="dxa"/>
                  <w:vMerge w:val="restart"/>
                  <w:tcBorders>
                    <w:top w:val="nil"/>
                    <w:left w:val="nil"/>
                    <w:bottom w:val="single" w:color="000000" w:sz="8" w:space="0"/>
                    <w:right w:val="single" w:color="000000" w:sz="8" w:space="0"/>
                  </w:tcBorders>
                  <w:vAlign w:val="center"/>
                </w:tcPr>
                <w:p w14:paraId="26D6E714">
                  <w:pPr>
                    <w:pStyle w:val="57"/>
                    <w:rPr>
                      <w:color w:val="auto"/>
                    </w:rPr>
                  </w:pPr>
                  <w:r>
                    <w:rPr>
                      <w:color w:val="auto"/>
                    </w:rPr>
                    <w:t>1152</w:t>
                  </w:r>
                </w:p>
              </w:tc>
              <w:tc>
                <w:tcPr>
                  <w:tcW w:w="1868" w:type="dxa"/>
                  <w:gridSpan w:val="3"/>
                  <w:tcBorders>
                    <w:top w:val="nil"/>
                    <w:left w:val="nil"/>
                    <w:bottom w:val="single" w:color="000000" w:sz="8" w:space="0"/>
                    <w:right w:val="single" w:color="000000" w:sz="8" w:space="0"/>
                  </w:tcBorders>
                  <w:vAlign w:val="center"/>
                </w:tcPr>
                <w:p w14:paraId="7AC13AF3">
                  <w:pPr>
                    <w:pStyle w:val="57"/>
                    <w:rPr>
                      <w:color w:val="auto"/>
                    </w:rPr>
                  </w:pPr>
                  <w:r>
                    <w:rPr>
                      <w:color w:val="auto"/>
                    </w:rPr>
                    <w:t>6~9</w:t>
                  </w:r>
                </w:p>
              </w:tc>
              <w:tc>
                <w:tcPr>
                  <w:tcW w:w="790" w:type="dxa"/>
                  <w:vMerge w:val="restart"/>
                  <w:tcBorders>
                    <w:top w:val="nil"/>
                    <w:left w:val="nil"/>
                    <w:bottom w:val="single" w:color="000000" w:sz="8" w:space="0"/>
                    <w:right w:val="single" w:color="000000" w:sz="8" w:space="0"/>
                  </w:tcBorders>
                  <w:vAlign w:val="center"/>
                </w:tcPr>
                <w:p w14:paraId="7A5C2C70">
                  <w:pPr>
                    <w:pStyle w:val="57"/>
                    <w:rPr>
                      <w:rFonts w:hint="eastAsia"/>
                      <w:color w:val="auto"/>
                    </w:rPr>
                  </w:pPr>
                  <w:r>
                    <w:rPr>
                      <w:rFonts w:hint="eastAsia"/>
                      <w:color w:val="auto"/>
                    </w:rPr>
                    <w:t>化粪池</w:t>
                  </w:r>
                </w:p>
              </w:tc>
              <w:tc>
                <w:tcPr>
                  <w:tcW w:w="790" w:type="dxa"/>
                  <w:tcBorders>
                    <w:top w:val="nil"/>
                    <w:left w:val="nil"/>
                    <w:bottom w:val="nil"/>
                    <w:right w:val="single" w:color="000000" w:sz="8" w:space="0"/>
                  </w:tcBorders>
                  <w:vAlign w:val="center"/>
                </w:tcPr>
                <w:p w14:paraId="0BDDCAFF">
                  <w:pPr>
                    <w:pStyle w:val="57"/>
                    <w:rPr>
                      <w:color w:val="auto"/>
                    </w:rPr>
                  </w:pPr>
                  <w:r>
                    <w:rPr>
                      <w:color w:val="auto"/>
                    </w:rPr>
                    <w:t>\</w:t>
                  </w:r>
                </w:p>
              </w:tc>
              <w:tc>
                <w:tcPr>
                  <w:tcW w:w="790" w:type="dxa"/>
                  <w:vMerge w:val="restart"/>
                  <w:tcBorders>
                    <w:top w:val="nil"/>
                    <w:left w:val="nil"/>
                    <w:bottom w:val="single" w:color="000000" w:sz="8" w:space="0"/>
                    <w:right w:val="single" w:color="000000" w:sz="8" w:space="0"/>
                  </w:tcBorders>
                  <w:vAlign w:val="center"/>
                </w:tcPr>
                <w:p w14:paraId="46824924">
                  <w:pPr>
                    <w:pStyle w:val="57"/>
                    <w:rPr>
                      <w:color w:val="auto"/>
                    </w:rPr>
                  </w:pPr>
                  <w:r>
                    <w:rPr>
                      <w:color w:val="auto"/>
                    </w:rPr>
                    <w:t>1152</w:t>
                  </w:r>
                </w:p>
              </w:tc>
              <w:tc>
                <w:tcPr>
                  <w:tcW w:w="1580" w:type="dxa"/>
                  <w:gridSpan w:val="2"/>
                  <w:tcBorders>
                    <w:top w:val="nil"/>
                    <w:left w:val="nil"/>
                    <w:bottom w:val="nil"/>
                    <w:right w:val="single" w:color="000000" w:sz="8" w:space="0"/>
                  </w:tcBorders>
                  <w:vAlign w:val="center"/>
                </w:tcPr>
                <w:p w14:paraId="6EE47696">
                  <w:pPr>
                    <w:pStyle w:val="57"/>
                    <w:rPr>
                      <w:color w:val="auto"/>
                    </w:rPr>
                  </w:pPr>
                  <w:r>
                    <w:rPr>
                      <w:color w:val="auto"/>
                    </w:rPr>
                    <w:t>6~9</w:t>
                  </w:r>
                </w:p>
              </w:tc>
            </w:tr>
            <w:tr w14:paraId="36E503B7">
              <w:tblPrEx>
                <w:tblCellMar>
                  <w:top w:w="0" w:type="dxa"/>
                  <w:left w:w="108" w:type="dxa"/>
                  <w:bottom w:w="0" w:type="dxa"/>
                  <w:right w:w="108" w:type="dxa"/>
                </w:tblCellMar>
              </w:tblPrEx>
              <w:trPr>
                <w:trHeight w:val="370" w:hRule="atLeast"/>
                <w:jc w:val="center"/>
              </w:trPr>
              <w:tc>
                <w:tcPr>
                  <w:tcW w:w="613" w:type="dxa"/>
                  <w:vMerge w:val="continue"/>
                  <w:tcBorders>
                    <w:top w:val="nil"/>
                    <w:left w:val="single" w:color="000000" w:sz="8" w:space="0"/>
                    <w:bottom w:val="single" w:color="000000" w:sz="8" w:space="0"/>
                    <w:right w:val="single" w:color="000000" w:sz="8" w:space="0"/>
                  </w:tcBorders>
                  <w:vAlign w:val="center"/>
                </w:tcPr>
                <w:p w14:paraId="447EC7DB">
                  <w:pPr>
                    <w:pStyle w:val="57"/>
                    <w:rPr>
                      <w:rFonts w:hint="eastAsia"/>
                      <w:color w:val="auto"/>
                    </w:rPr>
                  </w:pPr>
                </w:p>
              </w:tc>
              <w:tc>
                <w:tcPr>
                  <w:tcW w:w="1078" w:type="dxa"/>
                  <w:tcBorders>
                    <w:top w:val="nil"/>
                    <w:left w:val="nil"/>
                    <w:bottom w:val="single" w:color="000000" w:sz="8" w:space="0"/>
                    <w:right w:val="single" w:color="000000" w:sz="8" w:space="0"/>
                  </w:tcBorders>
                  <w:vAlign w:val="center"/>
                </w:tcPr>
                <w:p w14:paraId="15513BD6">
                  <w:pPr>
                    <w:pStyle w:val="57"/>
                    <w:rPr>
                      <w:color w:val="auto"/>
                    </w:rPr>
                  </w:pPr>
                  <w:r>
                    <w:rPr>
                      <w:color w:val="auto"/>
                    </w:rPr>
                    <w:t>COD</w:t>
                  </w:r>
                </w:p>
              </w:tc>
              <w:tc>
                <w:tcPr>
                  <w:tcW w:w="790" w:type="dxa"/>
                  <w:vMerge w:val="continue"/>
                  <w:tcBorders>
                    <w:top w:val="nil"/>
                    <w:left w:val="nil"/>
                    <w:bottom w:val="single" w:color="000000" w:sz="8" w:space="0"/>
                    <w:right w:val="single" w:color="000000" w:sz="8" w:space="0"/>
                  </w:tcBorders>
                  <w:vAlign w:val="center"/>
                </w:tcPr>
                <w:p w14:paraId="443A572D">
                  <w:pPr>
                    <w:pStyle w:val="57"/>
                    <w:rPr>
                      <w:color w:val="auto"/>
                    </w:rPr>
                  </w:pPr>
                </w:p>
              </w:tc>
              <w:tc>
                <w:tcPr>
                  <w:tcW w:w="777" w:type="dxa"/>
                  <w:tcBorders>
                    <w:top w:val="nil"/>
                    <w:left w:val="nil"/>
                    <w:bottom w:val="single" w:color="000000" w:sz="8" w:space="0"/>
                    <w:right w:val="single" w:color="000000" w:sz="8" w:space="0"/>
                  </w:tcBorders>
                  <w:vAlign w:val="center"/>
                </w:tcPr>
                <w:p w14:paraId="47568367">
                  <w:pPr>
                    <w:pStyle w:val="57"/>
                    <w:rPr>
                      <w:color w:val="auto"/>
                    </w:rPr>
                  </w:pPr>
                  <w:r>
                    <w:rPr>
                      <w:color w:val="auto"/>
                    </w:rPr>
                    <w:t>350</w:t>
                  </w:r>
                </w:p>
              </w:tc>
              <w:tc>
                <w:tcPr>
                  <w:tcW w:w="1091" w:type="dxa"/>
                  <w:gridSpan w:val="2"/>
                  <w:tcBorders>
                    <w:top w:val="nil"/>
                    <w:left w:val="nil"/>
                    <w:bottom w:val="single" w:color="000000" w:sz="8" w:space="0"/>
                    <w:right w:val="single" w:color="000000" w:sz="8" w:space="0"/>
                  </w:tcBorders>
                  <w:vAlign w:val="center"/>
                </w:tcPr>
                <w:p w14:paraId="72DB12D7">
                  <w:pPr>
                    <w:pStyle w:val="57"/>
                    <w:rPr>
                      <w:color w:val="auto"/>
                    </w:rPr>
                  </w:pPr>
                  <w:r>
                    <w:rPr>
                      <w:color w:val="auto"/>
                    </w:rPr>
                    <w:t>0.4</w:t>
                  </w:r>
                </w:p>
              </w:tc>
              <w:tc>
                <w:tcPr>
                  <w:tcW w:w="790" w:type="dxa"/>
                  <w:vMerge w:val="continue"/>
                  <w:tcBorders>
                    <w:top w:val="nil"/>
                    <w:left w:val="nil"/>
                    <w:bottom w:val="single" w:color="000000" w:sz="8" w:space="0"/>
                    <w:right w:val="single" w:color="000000" w:sz="8" w:space="0"/>
                  </w:tcBorders>
                  <w:vAlign w:val="center"/>
                </w:tcPr>
                <w:p w14:paraId="3DCFC57B">
                  <w:pPr>
                    <w:pStyle w:val="57"/>
                    <w:rPr>
                      <w:rFonts w:hint="eastAsia"/>
                      <w:color w:val="auto"/>
                    </w:rPr>
                  </w:pPr>
                </w:p>
              </w:tc>
              <w:tc>
                <w:tcPr>
                  <w:tcW w:w="790" w:type="dxa"/>
                  <w:tcBorders>
                    <w:top w:val="nil"/>
                    <w:left w:val="nil"/>
                    <w:bottom w:val="single" w:color="000000" w:sz="8" w:space="0"/>
                    <w:right w:val="single" w:color="000000" w:sz="8" w:space="0"/>
                  </w:tcBorders>
                  <w:vAlign w:val="center"/>
                </w:tcPr>
                <w:p w14:paraId="7CE57AFA">
                  <w:pPr>
                    <w:pStyle w:val="57"/>
                    <w:rPr>
                      <w:color w:val="auto"/>
                    </w:rPr>
                  </w:pPr>
                  <w:r>
                    <w:rPr>
                      <w:color w:val="auto"/>
                    </w:rPr>
                    <w:t>20%</w:t>
                  </w:r>
                </w:p>
              </w:tc>
              <w:tc>
                <w:tcPr>
                  <w:tcW w:w="790" w:type="dxa"/>
                  <w:vMerge w:val="continue"/>
                  <w:tcBorders>
                    <w:top w:val="nil"/>
                    <w:left w:val="nil"/>
                    <w:bottom w:val="single" w:color="000000" w:sz="8" w:space="0"/>
                    <w:right w:val="single" w:color="000000" w:sz="8" w:space="0"/>
                  </w:tcBorders>
                  <w:vAlign w:val="center"/>
                </w:tcPr>
                <w:p w14:paraId="41D8E993">
                  <w:pPr>
                    <w:pStyle w:val="57"/>
                    <w:rPr>
                      <w:color w:val="auto"/>
                    </w:rPr>
                  </w:pPr>
                </w:p>
              </w:tc>
              <w:tc>
                <w:tcPr>
                  <w:tcW w:w="790" w:type="dxa"/>
                  <w:tcBorders>
                    <w:top w:val="single" w:color="000000" w:sz="8" w:space="0"/>
                    <w:left w:val="nil"/>
                    <w:bottom w:val="single" w:color="000000" w:sz="8" w:space="0"/>
                    <w:right w:val="single" w:color="000000" w:sz="8" w:space="0"/>
                  </w:tcBorders>
                  <w:vAlign w:val="center"/>
                </w:tcPr>
                <w:p w14:paraId="282C5C7F">
                  <w:pPr>
                    <w:pStyle w:val="57"/>
                    <w:rPr>
                      <w:color w:val="auto"/>
                    </w:rPr>
                  </w:pPr>
                  <w:r>
                    <w:rPr>
                      <w:color w:val="auto"/>
                    </w:rPr>
                    <w:t>280</w:t>
                  </w:r>
                </w:p>
              </w:tc>
              <w:tc>
                <w:tcPr>
                  <w:tcW w:w="790" w:type="dxa"/>
                  <w:tcBorders>
                    <w:top w:val="single" w:color="000000" w:sz="8" w:space="0"/>
                    <w:left w:val="nil"/>
                    <w:bottom w:val="single" w:color="000000" w:sz="8" w:space="0"/>
                    <w:right w:val="single" w:color="000000" w:sz="8" w:space="0"/>
                  </w:tcBorders>
                  <w:vAlign w:val="center"/>
                </w:tcPr>
                <w:p w14:paraId="4F190269">
                  <w:pPr>
                    <w:pStyle w:val="57"/>
                    <w:rPr>
                      <w:color w:val="auto"/>
                    </w:rPr>
                  </w:pPr>
                  <w:r>
                    <w:rPr>
                      <w:color w:val="auto"/>
                    </w:rPr>
                    <w:t>0.32</w:t>
                  </w:r>
                </w:p>
              </w:tc>
            </w:tr>
            <w:tr w14:paraId="7E37B4E3">
              <w:tblPrEx>
                <w:tblCellMar>
                  <w:top w:w="0" w:type="dxa"/>
                  <w:left w:w="108" w:type="dxa"/>
                  <w:bottom w:w="0" w:type="dxa"/>
                  <w:right w:w="108" w:type="dxa"/>
                </w:tblCellMar>
              </w:tblPrEx>
              <w:trPr>
                <w:trHeight w:val="385" w:hRule="atLeast"/>
                <w:jc w:val="center"/>
              </w:trPr>
              <w:tc>
                <w:tcPr>
                  <w:tcW w:w="613" w:type="dxa"/>
                  <w:vMerge w:val="continue"/>
                  <w:tcBorders>
                    <w:top w:val="nil"/>
                    <w:left w:val="single" w:color="000000" w:sz="8" w:space="0"/>
                    <w:bottom w:val="single" w:color="000000" w:sz="8" w:space="0"/>
                    <w:right w:val="single" w:color="000000" w:sz="8" w:space="0"/>
                  </w:tcBorders>
                  <w:vAlign w:val="center"/>
                </w:tcPr>
                <w:p w14:paraId="24951052">
                  <w:pPr>
                    <w:pStyle w:val="57"/>
                    <w:rPr>
                      <w:rFonts w:hint="eastAsia"/>
                      <w:color w:val="auto"/>
                    </w:rPr>
                  </w:pPr>
                </w:p>
              </w:tc>
              <w:tc>
                <w:tcPr>
                  <w:tcW w:w="1078" w:type="dxa"/>
                  <w:tcBorders>
                    <w:top w:val="nil"/>
                    <w:left w:val="nil"/>
                    <w:bottom w:val="single" w:color="000000" w:sz="8" w:space="0"/>
                    <w:right w:val="single" w:color="000000" w:sz="8" w:space="0"/>
                  </w:tcBorders>
                  <w:vAlign w:val="center"/>
                </w:tcPr>
                <w:p w14:paraId="73EEFBE3">
                  <w:pPr>
                    <w:pStyle w:val="57"/>
                    <w:rPr>
                      <w:color w:val="auto"/>
                    </w:rPr>
                  </w:pPr>
                  <w:r>
                    <w:rPr>
                      <w:color w:val="auto"/>
                    </w:rPr>
                    <w:t>BOD</w:t>
                  </w:r>
                </w:p>
              </w:tc>
              <w:tc>
                <w:tcPr>
                  <w:tcW w:w="790" w:type="dxa"/>
                  <w:vMerge w:val="continue"/>
                  <w:tcBorders>
                    <w:top w:val="nil"/>
                    <w:left w:val="nil"/>
                    <w:bottom w:val="single" w:color="000000" w:sz="8" w:space="0"/>
                    <w:right w:val="single" w:color="000000" w:sz="8" w:space="0"/>
                  </w:tcBorders>
                  <w:vAlign w:val="center"/>
                </w:tcPr>
                <w:p w14:paraId="0B6D858E">
                  <w:pPr>
                    <w:pStyle w:val="57"/>
                    <w:rPr>
                      <w:color w:val="auto"/>
                    </w:rPr>
                  </w:pPr>
                </w:p>
              </w:tc>
              <w:tc>
                <w:tcPr>
                  <w:tcW w:w="777" w:type="dxa"/>
                  <w:tcBorders>
                    <w:top w:val="nil"/>
                    <w:left w:val="nil"/>
                    <w:bottom w:val="single" w:color="000000" w:sz="8" w:space="0"/>
                    <w:right w:val="single" w:color="000000" w:sz="8" w:space="0"/>
                  </w:tcBorders>
                  <w:vAlign w:val="center"/>
                </w:tcPr>
                <w:p w14:paraId="6DFB36DF">
                  <w:pPr>
                    <w:pStyle w:val="57"/>
                    <w:rPr>
                      <w:color w:val="auto"/>
                    </w:rPr>
                  </w:pPr>
                  <w:r>
                    <w:rPr>
                      <w:color w:val="auto"/>
                    </w:rPr>
                    <w:t>200</w:t>
                  </w:r>
                </w:p>
              </w:tc>
              <w:tc>
                <w:tcPr>
                  <w:tcW w:w="1091" w:type="dxa"/>
                  <w:gridSpan w:val="2"/>
                  <w:tcBorders>
                    <w:top w:val="nil"/>
                    <w:left w:val="nil"/>
                    <w:bottom w:val="single" w:color="000000" w:sz="8" w:space="0"/>
                    <w:right w:val="single" w:color="000000" w:sz="8" w:space="0"/>
                  </w:tcBorders>
                  <w:vAlign w:val="center"/>
                </w:tcPr>
                <w:p w14:paraId="3E00BF5D">
                  <w:pPr>
                    <w:pStyle w:val="57"/>
                    <w:rPr>
                      <w:color w:val="auto"/>
                    </w:rPr>
                  </w:pPr>
                  <w:r>
                    <w:rPr>
                      <w:color w:val="auto"/>
                    </w:rPr>
                    <w:t>0.23</w:t>
                  </w:r>
                </w:p>
              </w:tc>
              <w:tc>
                <w:tcPr>
                  <w:tcW w:w="790" w:type="dxa"/>
                  <w:vMerge w:val="continue"/>
                  <w:tcBorders>
                    <w:top w:val="nil"/>
                    <w:left w:val="nil"/>
                    <w:bottom w:val="single" w:color="000000" w:sz="8" w:space="0"/>
                    <w:right w:val="single" w:color="000000" w:sz="8" w:space="0"/>
                  </w:tcBorders>
                  <w:vAlign w:val="center"/>
                </w:tcPr>
                <w:p w14:paraId="314B5C5D">
                  <w:pPr>
                    <w:pStyle w:val="57"/>
                    <w:rPr>
                      <w:rFonts w:hint="eastAsia"/>
                      <w:color w:val="auto"/>
                    </w:rPr>
                  </w:pPr>
                </w:p>
              </w:tc>
              <w:tc>
                <w:tcPr>
                  <w:tcW w:w="790" w:type="dxa"/>
                  <w:tcBorders>
                    <w:top w:val="nil"/>
                    <w:left w:val="nil"/>
                    <w:bottom w:val="single" w:color="000000" w:sz="8" w:space="0"/>
                    <w:right w:val="single" w:color="000000" w:sz="8" w:space="0"/>
                  </w:tcBorders>
                  <w:vAlign w:val="center"/>
                </w:tcPr>
                <w:p w14:paraId="0768E265">
                  <w:pPr>
                    <w:pStyle w:val="57"/>
                    <w:rPr>
                      <w:color w:val="auto"/>
                    </w:rPr>
                  </w:pPr>
                  <w:r>
                    <w:rPr>
                      <w:color w:val="auto"/>
                    </w:rPr>
                    <w:t>10%</w:t>
                  </w:r>
                </w:p>
              </w:tc>
              <w:tc>
                <w:tcPr>
                  <w:tcW w:w="790" w:type="dxa"/>
                  <w:vMerge w:val="continue"/>
                  <w:tcBorders>
                    <w:top w:val="nil"/>
                    <w:left w:val="nil"/>
                    <w:bottom w:val="single" w:color="000000" w:sz="8" w:space="0"/>
                    <w:right w:val="single" w:color="000000" w:sz="8" w:space="0"/>
                  </w:tcBorders>
                  <w:vAlign w:val="center"/>
                </w:tcPr>
                <w:p w14:paraId="65CFDD74">
                  <w:pPr>
                    <w:pStyle w:val="57"/>
                    <w:rPr>
                      <w:color w:val="auto"/>
                    </w:rPr>
                  </w:pPr>
                </w:p>
              </w:tc>
              <w:tc>
                <w:tcPr>
                  <w:tcW w:w="790" w:type="dxa"/>
                  <w:tcBorders>
                    <w:top w:val="nil"/>
                    <w:left w:val="nil"/>
                    <w:bottom w:val="single" w:color="000000" w:sz="8" w:space="0"/>
                    <w:right w:val="single" w:color="000000" w:sz="8" w:space="0"/>
                  </w:tcBorders>
                  <w:vAlign w:val="center"/>
                </w:tcPr>
                <w:p w14:paraId="2F4184E2">
                  <w:pPr>
                    <w:pStyle w:val="57"/>
                    <w:rPr>
                      <w:color w:val="auto"/>
                    </w:rPr>
                  </w:pPr>
                  <w:r>
                    <w:rPr>
                      <w:color w:val="auto"/>
                    </w:rPr>
                    <w:t>180</w:t>
                  </w:r>
                </w:p>
              </w:tc>
              <w:tc>
                <w:tcPr>
                  <w:tcW w:w="790" w:type="dxa"/>
                  <w:tcBorders>
                    <w:top w:val="single" w:color="000000" w:sz="8" w:space="0"/>
                    <w:left w:val="nil"/>
                    <w:bottom w:val="single" w:color="000000" w:sz="8" w:space="0"/>
                    <w:right w:val="single" w:color="000000" w:sz="8" w:space="0"/>
                  </w:tcBorders>
                  <w:vAlign w:val="center"/>
                </w:tcPr>
                <w:p w14:paraId="5750E593">
                  <w:pPr>
                    <w:pStyle w:val="57"/>
                    <w:rPr>
                      <w:color w:val="auto"/>
                    </w:rPr>
                  </w:pPr>
                  <w:r>
                    <w:rPr>
                      <w:color w:val="auto"/>
                    </w:rPr>
                    <w:t>0.207</w:t>
                  </w:r>
                </w:p>
              </w:tc>
            </w:tr>
            <w:tr w14:paraId="752A6FB8">
              <w:tblPrEx>
                <w:tblCellMar>
                  <w:top w:w="0" w:type="dxa"/>
                  <w:left w:w="108" w:type="dxa"/>
                  <w:bottom w:w="0" w:type="dxa"/>
                  <w:right w:w="108" w:type="dxa"/>
                </w:tblCellMar>
              </w:tblPrEx>
              <w:trPr>
                <w:trHeight w:val="370" w:hRule="atLeast"/>
                <w:jc w:val="center"/>
              </w:trPr>
              <w:tc>
                <w:tcPr>
                  <w:tcW w:w="613" w:type="dxa"/>
                  <w:vMerge w:val="continue"/>
                  <w:tcBorders>
                    <w:top w:val="nil"/>
                    <w:left w:val="single" w:color="000000" w:sz="8" w:space="0"/>
                    <w:bottom w:val="single" w:color="000000" w:sz="8" w:space="0"/>
                    <w:right w:val="single" w:color="000000" w:sz="8" w:space="0"/>
                  </w:tcBorders>
                  <w:vAlign w:val="center"/>
                </w:tcPr>
                <w:p w14:paraId="53690F4B">
                  <w:pPr>
                    <w:pStyle w:val="57"/>
                    <w:rPr>
                      <w:rFonts w:hint="eastAsia"/>
                      <w:color w:val="auto"/>
                    </w:rPr>
                  </w:pPr>
                </w:p>
              </w:tc>
              <w:tc>
                <w:tcPr>
                  <w:tcW w:w="1078" w:type="dxa"/>
                  <w:tcBorders>
                    <w:top w:val="nil"/>
                    <w:left w:val="nil"/>
                    <w:bottom w:val="single" w:color="000000" w:sz="8" w:space="0"/>
                    <w:right w:val="single" w:color="000000" w:sz="8" w:space="0"/>
                  </w:tcBorders>
                  <w:vAlign w:val="center"/>
                </w:tcPr>
                <w:p w14:paraId="5E3F6AF5">
                  <w:pPr>
                    <w:pStyle w:val="57"/>
                    <w:rPr>
                      <w:color w:val="auto"/>
                    </w:rPr>
                  </w:pPr>
                  <w:r>
                    <w:rPr>
                      <w:color w:val="auto"/>
                    </w:rPr>
                    <w:t>SS</w:t>
                  </w:r>
                </w:p>
              </w:tc>
              <w:tc>
                <w:tcPr>
                  <w:tcW w:w="790" w:type="dxa"/>
                  <w:vMerge w:val="continue"/>
                  <w:tcBorders>
                    <w:top w:val="nil"/>
                    <w:left w:val="nil"/>
                    <w:bottom w:val="single" w:color="000000" w:sz="8" w:space="0"/>
                    <w:right w:val="single" w:color="000000" w:sz="8" w:space="0"/>
                  </w:tcBorders>
                  <w:vAlign w:val="center"/>
                </w:tcPr>
                <w:p w14:paraId="481C6F79">
                  <w:pPr>
                    <w:pStyle w:val="57"/>
                    <w:rPr>
                      <w:color w:val="auto"/>
                    </w:rPr>
                  </w:pPr>
                </w:p>
              </w:tc>
              <w:tc>
                <w:tcPr>
                  <w:tcW w:w="777" w:type="dxa"/>
                  <w:tcBorders>
                    <w:top w:val="nil"/>
                    <w:left w:val="nil"/>
                    <w:bottom w:val="single" w:color="000000" w:sz="8" w:space="0"/>
                    <w:right w:val="single" w:color="000000" w:sz="8" w:space="0"/>
                  </w:tcBorders>
                  <w:vAlign w:val="center"/>
                </w:tcPr>
                <w:p w14:paraId="3EEA9339">
                  <w:pPr>
                    <w:pStyle w:val="57"/>
                    <w:rPr>
                      <w:color w:val="auto"/>
                    </w:rPr>
                  </w:pPr>
                  <w:r>
                    <w:rPr>
                      <w:color w:val="auto"/>
                    </w:rPr>
                    <w:t>200</w:t>
                  </w:r>
                </w:p>
              </w:tc>
              <w:tc>
                <w:tcPr>
                  <w:tcW w:w="1091" w:type="dxa"/>
                  <w:gridSpan w:val="2"/>
                  <w:tcBorders>
                    <w:top w:val="nil"/>
                    <w:left w:val="nil"/>
                    <w:bottom w:val="single" w:color="000000" w:sz="8" w:space="0"/>
                    <w:right w:val="single" w:color="000000" w:sz="8" w:space="0"/>
                  </w:tcBorders>
                  <w:vAlign w:val="center"/>
                </w:tcPr>
                <w:p w14:paraId="6A49B9BF">
                  <w:pPr>
                    <w:pStyle w:val="57"/>
                    <w:rPr>
                      <w:color w:val="auto"/>
                    </w:rPr>
                  </w:pPr>
                  <w:r>
                    <w:rPr>
                      <w:color w:val="auto"/>
                    </w:rPr>
                    <w:t>0.23</w:t>
                  </w:r>
                </w:p>
              </w:tc>
              <w:tc>
                <w:tcPr>
                  <w:tcW w:w="790" w:type="dxa"/>
                  <w:vMerge w:val="continue"/>
                  <w:tcBorders>
                    <w:top w:val="nil"/>
                    <w:left w:val="nil"/>
                    <w:bottom w:val="single" w:color="000000" w:sz="8" w:space="0"/>
                    <w:right w:val="single" w:color="000000" w:sz="8" w:space="0"/>
                  </w:tcBorders>
                  <w:vAlign w:val="center"/>
                </w:tcPr>
                <w:p w14:paraId="40CED220">
                  <w:pPr>
                    <w:pStyle w:val="57"/>
                    <w:rPr>
                      <w:rFonts w:hint="eastAsia"/>
                      <w:color w:val="auto"/>
                    </w:rPr>
                  </w:pPr>
                </w:p>
              </w:tc>
              <w:tc>
                <w:tcPr>
                  <w:tcW w:w="790" w:type="dxa"/>
                  <w:tcBorders>
                    <w:top w:val="nil"/>
                    <w:left w:val="nil"/>
                    <w:bottom w:val="single" w:color="000000" w:sz="8" w:space="0"/>
                    <w:right w:val="single" w:color="000000" w:sz="8" w:space="0"/>
                  </w:tcBorders>
                  <w:vAlign w:val="center"/>
                </w:tcPr>
                <w:p w14:paraId="759543FB">
                  <w:pPr>
                    <w:pStyle w:val="57"/>
                    <w:rPr>
                      <w:color w:val="auto"/>
                    </w:rPr>
                  </w:pPr>
                  <w:r>
                    <w:rPr>
                      <w:color w:val="auto"/>
                    </w:rPr>
                    <w:t>10%</w:t>
                  </w:r>
                </w:p>
              </w:tc>
              <w:tc>
                <w:tcPr>
                  <w:tcW w:w="790" w:type="dxa"/>
                  <w:vMerge w:val="continue"/>
                  <w:tcBorders>
                    <w:top w:val="nil"/>
                    <w:left w:val="nil"/>
                    <w:bottom w:val="single" w:color="000000" w:sz="8" w:space="0"/>
                    <w:right w:val="single" w:color="000000" w:sz="8" w:space="0"/>
                  </w:tcBorders>
                  <w:vAlign w:val="center"/>
                </w:tcPr>
                <w:p w14:paraId="7027CB92">
                  <w:pPr>
                    <w:pStyle w:val="57"/>
                    <w:rPr>
                      <w:color w:val="auto"/>
                    </w:rPr>
                  </w:pPr>
                </w:p>
              </w:tc>
              <w:tc>
                <w:tcPr>
                  <w:tcW w:w="790" w:type="dxa"/>
                  <w:tcBorders>
                    <w:top w:val="nil"/>
                    <w:left w:val="nil"/>
                    <w:bottom w:val="single" w:color="000000" w:sz="8" w:space="0"/>
                    <w:right w:val="single" w:color="000000" w:sz="8" w:space="0"/>
                  </w:tcBorders>
                  <w:vAlign w:val="center"/>
                </w:tcPr>
                <w:p w14:paraId="2D47AC2A">
                  <w:pPr>
                    <w:pStyle w:val="57"/>
                    <w:rPr>
                      <w:color w:val="auto"/>
                    </w:rPr>
                  </w:pPr>
                  <w:r>
                    <w:rPr>
                      <w:color w:val="auto"/>
                    </w:rPr>
                    <w:t>180</w:t>
                  </w:r>
                </w:p>
              </w:tc>
              <w:tc>
                <w:tcPr>
                  <w:tcW w:w="790" w:type="dxa"/>
                  <w:tcBorders>
                    <w:top w:val="single" w:color="000000" w:sz="8" w:space="0"/>
                    <w:left w:val="nil"/>
                    <w:bottom w:val="single" w:color="000000" w:sz="8" w:space="0"/>
                    <w:right w:val="single" w:color="000000" w:sz="8" w:space="0"/>
                  </w:tcBorders>
                  <w:vAlign w:val="center"/>
                </w:tcPr>
                <w:p w14:paraId="66C78378">
                  <w:pPr>
                    <w:pStyle w:val="57"/>
                    <w:rPr>
                      <w:color w:val="auto"/>
                    </w:rPr>
                  </w:pPr>
                  <w:r>
                    <w:rPr>
                      <w:color w:val="auto"/>
                    </w:rPr>
                    <w:t>0.207</w:t>
                  </w:r>
                </w:p>
              </w:tc>
            </w:tr>
            <w:tr w14:paraId="11B066A6">
              <w:tblPrEx>
                <w:tblCellMar>
                  <w:top w:w="0" w:type="dxa"/>
                  <w:left w:w="108" w:type="dxa"/>
                  <w:bottom w:w="0" w:type="dxa"/>
                  <w:right w:w="108" w:type="dxa"/>
                </w:tblCellMar>
              </w:tblPrEx>
              <w:trPr>
                <w:trHeight w:val="385" w:hRule="atLeast"/>
                <w:jc w:val="center"/>
              </w:trPr>
              <w:tc>
                <w:tcPr>
                  <w:tcW w:w="613" w:type="dxa"/>
                  <w:vMerge w:val="continue"/>
                  <w:tcBorders>
                    <w:top w:val="nil"/>
                    <w:left w:val="single" w:color="000000" w:sz="8" w:space="0"/>
                    <w:bottom w:val="single" w:color="000000" w:sz="8" w:space="0"/>
                    <w:right w:val="single" w:color="000000" w:sz="8" w:space="0"/>
                  </w:tcBorders>
                  <w:vAlign w:val="center"/>
                </w:tcPr>
                <w:p w14:paraId="0924C0DD">
                  <w:pPr>
                    <w:pStyle w:val="57"/>
                    <w:rPr>
                      <w:rFonts w:hint="eastAsia"/>
                      <w:color w:val="auto"/>
                    </w:rPr>
                  </w:pPr>
                </w:p>
              </w:tc>
              <w:tc>
                <w:tcPr>
                  <w:tcW w:w="1078" w:type="dxa"/>
                  <w:tcBorders>
                    <w:top w:val="nil"/>
                    <w:left w:val="nil"/>
                    <w:bottom w:val="single" w:color="000000" w:sz="8" w:space="0"/>
                    <w:right w:val="single" w:color="000000" w:sz="8" w:space="0"/>
                  </w:tcBorders>
                  <w:vAlign w:val="center"/>
                </w:tcPr>
                <w:p w14:paraId="6C73FF90">
                  <w:pPr>
                    <w:pStyle w:val="57"/>
                    <w:rPr>
                      <w:color w:val="auto"/>
                    </w:rPr>
                  </w:pPr>
                  <w:r>
                    <w:rPr>
                      <w:color w:val="auto"/>
                    </w:rPr>
                    <w:t>NH</w:t>
                  </w:r>
                  <w:r>
                    <w:rPr>
                      <w:color w:val="auto"/>
                      <w:vertAlign w:val="subscript"/>
                    </w:rPr>
                    <w:t>3</w:t>
                  </w:r>
                  <w:r>
                    <w:rPr>
                      <w:color w:val="auto"/>
                    </w:rPr>
                    <w:t>-N</w:t>
                  </w:r>
                </w:p>
              </w:tc>
              <w:tc>
                <w:tcPr>
                  <w:tcW w:w="790" w:type="dxa"/>
                  <w:vMerge w:val="continue"/>
                  <w:tcBorders>
                    <w:top w:val="nil"/>
                    <w:left w:val="nil"/>
                    <w:bottom w:val="single" w:color="000000" w:sz="8" w:space="0"/>
                    <w:right w:val="single" w:color="000000" w:sz="8" w:space="0"/>
                  </w:tcBorders>
                  <w:vAlign w:val="center"/>
                </w:tcPr>
                <w:p w14:paraId="6D5F2115">
                  <w:pPr>
                    <w:pStyle w:val="57"/>
                    <w:rPr>
                      <w:color w:val="auto"/>
                    </w:rPr>
                  </w:pPr>
                </w:p>
              </w:tc>
              <w:tc>
                <w:tcPr>
                  <w:tcW w:w="777" w:type="dxa"/>
                  <w:tcBorders>
                    <w:top w:val="nil"/>
                    <w:left w:val="nil"/>
                    <w:bottom w:val="single" w:color="000000" w:sz="8" w:space="0"/>
                    <w:right w:val="single" w:color="000000" w:sz="8" w:space="0"/>
                  </w:tcBorders>
                  <w:vAlign w:val="center"/>
                </w:tcPr>
                <w:p w14:paraId="22B23C65">
                  <w:pPr>
                    <w:pStyle w:val="57"/>
                    <w:rPr>
                      <w:color w:val="auto"/>
                    </w:rPr>
                  </w:pPr>
                  <w:r>
                    <w:rPr>
                      <w:color w:val="auto"/>
                    </w:rPr>
                    <w:t>25</w:t>
                  </w:r>
                </w:p>
              </w:tc>
              <w:tc>
                <w:tcPr>
                  <w:tcW w:w="1091" w:type="dxa"/>
                  <w:gridSpan w:val="2"/>
                  <w:tcBorders>
                    <w:top w:val="nil"/>
                    <w:left w:val="nil"/>
                    <w:bottom w:val="single" w:color="000000" w:sz="8" w:space="0"/>
                    <w:right w:val="single" w:color="000000" w:sz="8" w:space="0"/>
                  </w:tcBorders>
                  <w:vAlign w:val="center"/>
                </w:tcPr>
                <w:p w14:paraId="4B320539">
                  <w:pPr>
                    <w:pStyle w:val="57"/>
                    <w:rPr>
                      <w:color w:val="auto"/>
                    </w:rPr>
                  </w:pPr>
                  <w:r>
                    <w:rPr>
                      <w:color w:val="auto"/>
                    </w:rPr>
                    <w:t>0.029</w:t>
                  </w:r>
                </w:p>
              </w:tc>
              <w:tc>
                <w:tcPr>
                  <w:tcW w:w="790" w:type="dxa"/>
                  <w:vMerge w:val="continue"/>
                  <w:tcBorders>
                    <w:top w:val="nil"/>
                    <w:left w:val="nil"/>
                    <w:bottom w:val="single" w:color="000000" w:sz="8" w:space="0"/>
                    <w:right w:val="single" w:color="000000" w:sz="8" w:space="0"/>
                  </w:tcBorders>
                  <w:vAlign w:val="center"/>
                </w:tcPr>
                <w:p w14:paraId="237A05E2">
                  <w:pPr>
                    <w:pStyle w:val="57"/>
                    <w:rPr>
                      <w:rFonts w:hint="eastAsia"/>
                      <w:color w:val="auto"/>
                    </w:rPr>
                  </w:pPr>
                </w:p>
              </w:tc>
              <w:tc>
                <w:tcPr>
                  <w:tcW w:w="790" w:type="dxa"/>
                  <w:tcBorders>
                    <w:top w:val="nil"/>
                    <w:left w:val="nil"/>
                    <w:bottom w:val="single" w:color="000000" w:sz="8" w:space="0"/>
                    <w:right w:val="single" w:color="000000" w:sz="8" w:space="0"/>
                  </w:tcBorders>
                  <w:vAlign w:val="center"/>
                </w:tcPr>
                <w:p w14:paraId="1727036D">
                  <w:pPr>
                    <w:pStyle w:val="57"/>
                    <w:rPr>
                      <w:color w:val="auto"/>
                    </w:rPr>
                  </w:pPr>
                  <w:r>
                    <w:rPr>
                      <w:color w:val="auto"/>
                    </w:rPr>
                    <w:t>5%</w:t>
                  </w:r>
                </w:p>
              </w:tc>
              <w:tc>
                <w:tcPr>
                  <w:tcW w:w="790" w:type="dxa"/>
                  <w:vMerge w:val="continue"/>
                  <w:tcBorders>
                    <w:top w:val="nil"/>
                    <w:left w:val="nil"/>
                    <w:bottom w:val="single" w:color="000000" w:sz="8" w:space="0"/>
                    <w:right w:val="single" w:color="000000" w:sz="8" w:space="0"/>
                  </w:tcBorders>
                  <w:vAlign w:val="center"/>
                </w:tcPr>
                <w:p w14:paraId="06638C41">
                  <w:pPr>
                    <w:pStyle w:val="57"/>
                    <w:rPr>
                      <w:color w:val="auto"/>
                    </w:rPr>
                  </w:pPr>
                </w:p>
              </w:tc>
              <w:tc>
                <w:tcPr>
                  <w:tcW w:w="790" w:type="dxa"/>
                  <w:tcBorders>
                    <w:top w:val="nil"/>
                    <w:left w:val="nil"/>
                    <w:bottom w:val="single" w:color="000000" w:sz="8" w:space="0"/>
                    <w:right w:val="single" w:color="000000" w:sz="8" w:space="0"/>
                  </w:tcBorders>
                  <w:vAlign w:val="center"/>
                </w:tcPr>
                <w:p w14:paraId="2F042B8B">
                  <w:pPr>
                    <w:pStyle w:val="57"/>
                    <w:rPr>
                      <w:color w:val="auto"/>
                    </w:rPr>
                  </w:pPr>
                  <w:r>
                    <w:rPr>
                      <w:color w:val="auto"/>
                    </w:rPr>
                    <w:t>24</w:t>
                  </w:r>
                </w:p>
              </w:tc>
              <w:tc>
                <w:tcPr>
                  <w:tcW w:w="790" w:type="dxa"/>
                  <w:tcBorders>
                    <w:top w:val="single" w:color="000000" w:sz="8" w:space="0"/>
                    <w:left w:val="nil"/>
                    <w:bottom w:val="single" w:color="000000" w:sz="8" w:space="0"/>
                    <w:right w:val="single" w:color="000000" w:sz="8" w:space="0"/>
                  </w:tcBorders>
                  <w:vAlign w:val="center"/>
                </w:tcPr>
                <w:p w14:paraId="58391B28">
                  <w:pPr>
                    <w:pStyle w:val="57"/>
                    <w:rPr>
                      <w:color w:val="auto"/>
                    </w:rPr>
                  </w:pPr>
                  <w:r>
                    <w:rPr>
                      <w:color w:val="auto"/>
                    </w:rPr>
                    <w:t>0.028</w:t>
                  </w:r>
                </w:p>
              </w:tc>
            </w:tr>
          </w:tbl>
          <w:p w14:paraId="360C9484">
            <w:pPr>
              <w:ind w:firstLine="480"/>
              <w:rPr>
                <w:color w:val="auto"/>
              </w:rPr>
            </w:pPr>
            <w:r>
              <w:rPr>
                <w:color w:val="auto"/>
              </w:rPr>
              <w:t>（2）废水环境影响</w:t>
            </w:r>
            <w:r>
              <w:rPr>
                <w:rFonts w:hint="eastAsia"/>
                <w:color w:val="auto"/>
              </w:rPr>
              <w:t>及接管可行性分析</w:t>
            </w:r>
          </w:p>
          <w:p w14:paraId="3CEC9669">
            <w:pPr>
              <w:ind w:firstLine="480"/>
              <w:rPr>
                <w:color w:val="auto"/>
              </w:rPr>
            </w:pPr>
            <w:r>
              <w:rPr>
                <w:rFonts w:hint="eastAsia"/>
                <w:color w:val="auto"/>
              </w:rPr>
              <w:t>生活污水经化粪池预处理后达城南污水处理厂接管标准，接管城南污水处理厂处理</w:t>
            </w:r>
            <w:r>
              <w:rPr>
                <w:color w:val="auto"/>
              </w:rPr>
              <w:t>，处理达标后排入</w:t>
            </w:r>
            <w:r>
              <w:rPr>
                <w:rFonts w:hint="eastAsia"/>
                <w:color w:val="auto"/>
              </w:rPr>
              <w:t>运粮河。</w:t>
            </w:r>
          </w:p>
          <w:p w14:paraId="6E93047B">
            <w:pPr>
              <w:ind w:firstLine="480"/>
              <w:rPr>
                <w:rFonts w:hint="eastAsia"/>
                <w:color w:val="auto"/>
              </w:rPr>
            </w:pPr>
            <w:r>
              <w:rPr>
                <w:rFonts w:hint="eastAsia"/>
                <w:color w:val="auto"/>
              </w:rPr>
              <w:t>①一期工程</w:t>
            </w:r>
          </w:p>
          <w:p w14:paraId="22B2646D">
            <w:pPr>
              <w:ind w:firstLine="480"/>
              <w:rPr>
                <w:rFonts w:hint="eastAsia"/>
                <w:color w:val="auto"/>
              </w:rPr>
            </w:pPr>
            <w:r>
              <w:rPr>
                <w:rFonts w:hint="eastAsia"/>
                <w:color w:val="auto"/>
              </w:rPr>
              <w:t>宿州市城南污水处理厂始建于1998年，工程设计建设规模为日处理污水16万吨，其中一期工程日处理污水8万吨。该项目于2001年建成，2004年4月28日正式投入运行。采用氧化沟工艺，污泥经机械浓缩、脱水后外运。2006年9月宿州市人民政府与重庆康达环保股份有限公司签订了特许经营合同，将宿州市城南污水处理厂一期经营权租赁给重庆康达环保股份有限公司，期限为28年，到期后将无偿归还政府，收购后一期的运行将受到城南污水处理厂的严格监督。</w:t>
            </w:r>
          </w:p>
          <w:p w14:paraId="6C0B9A9A">
            <w:pPr>
              <w:ind w:firstLine="480"/>
              <w:rPr>
                <w:rFonts w:hint="eastAsia"/>
                <w:color w:val="auto"/>
              </w:rPr>
            </w:pPr>
            <w:r>
              <w:rPr>
                <w:rFonts w:hint="eastAsia"/>
                <w:color w:val="auto"/>
              </w:rPr>
              <w:t>②二期工程</w:t>
            </w:r>
          </w:p>
          <w:p w14:paraId="691603F7">
            <w:pPr>
              <w:ind w:firstLine="480"/>
              <w:rPr>
                <w:rFonts w:hint="eastAsia"/>
                <w:color w:val="auto"/>
              </w:rPr>
            </w:pPr>
            <w:r>
              <w:rPr>
                <w:rFonts w:hint="eastAsia"/>
                <w:color w:val="auto"/>
              </w:rPr>
              <w:t>宿州市城南污水处理厂二期，工程设计建设规模为日处理污水8万吨。该项目于2009年5月15日举行开工典礼，于2009年7月10日正式开工，2013年正式运营，目前日处理废水6万吨。</w:t>
            </w:r>
          </w:p>
          <w:p w14:paraId="51AD34AB">
            <w:pPr>
              <w:ind w:firstLine="480"/>
              <w:rPr>
                <w:rFonts w:hint="eastAsia"/>
                <w:color w:val="auto"/>
              </w:rPr>
            </w:pPr>
            <w:r>
              <w:rPr>
                <w:rFonts w:hint="eastAsia"/>
                <w:color w:val="auto"/>
              </w:rPr>
              <w:t>宿州市城南污水处理厂目前总处理能力为14万吨/日。污水厂的设计进水水质为COD400mg/L、NH</w:t>
            </w:r>
            <w:r>
              <w:rPr>
                <w:rFonts w:hint="eastAsia"/>
                <w:color w:val="auto"/>
                <w:vertAlign w:val="subscript"/>
              </w:rPr>
              <w:t>3</w:t>
            </w:r>
            <w:r>
              <w:rPr>
                <w:rFonts w:hint="eastAsia"/>
                <w:color w:val="auto"/>
              </w:rPr>
              <w:t>-N40mg/L、BOD</w:t>
            </w:r>
            <w:r>
              <w:rPr>
                <w:rFonts w:hint="eastAsia"/>
                <w:color w:val="auto"/>
                <w:vertAlign w:val="subscript"/>
              </w:rPr>
              <w:t>5</w:t>
            </w:r>
            <w:r>
              <w:rPr>
                <w:rFonts w:hint="eastAsia"/>
                <w:color w:val="auto"/>
              </w:rPr>
              <w:t>180mg/L、SS200mg/L，处理出水标准为《城镇污水处理厂污染物排放标准》（GB18918-2002）一级A标准，污水经处理后排入运粮河。</w:t>
            </w:r>
          </w:p>
          <w:p w14:paraId="262A8100">
            <w:pPr>
              <w:tabs>
                <w:tab w:val="left" w:pos="462"/>
              </w:tabs>
              <w:ind w:firstLine="480"/>
              <w:rPr>
                <w:color w:val="auto"/>
              </w:rPr>
            </w:pPr>
            <w:r>
              <w:rPr>
                <w:rFonts w:hint="eastAsia"/>
                <w:color w:val="auto"/>
              </w:rPr>
              <w:t>③</w:t>
            </w:r>
            <w:r>
              <w:rPr>
                <w:color w:val="auto"/>
              </w:rPr>
              <w:t>处理工艺流程</w:t>
            </w:r>
          </w:p>
          <w:p w14:paraId="64ECDB3B">
            <w:pPr>
              <w:ind w:firstLine="480"/>
              <w:rPr>
                <w:color w:val="auto"/>
              </w:rPr>
            </w:pPr>
            <w:r>
              <w:rPr>
                <w:color w:val="auto"/>
              </w:rPr>
              <w:t>宿州城南污水处理厂共分二期建设，总处理规模为16万</w:t>
            </w:r>
            <w:r>
              <w:rPr>
                <w:rFonts w:hint="eastAsia"/>
                <w:color w:val="auto"/>
              </w:rPr>
              <w:t>m</w:t>
            </w:r>
            <w:r>
              <w:rPr>
                <w:rFonts w:hint="eastAsia"/>
                <w:color w:val="auto"/>
                <w:vertAlign w:val="superscript"/>
              </w:rPr>
              <w:t>3</w:t>
            </w:r>
            <w:r>
              <w:rPr>
                <w:color w:val="auto"/>
              </w:rPr>
              <w:t>/d，现已全部投入使用，主处理单元采用氧化沟工艺，利用活性微生物去除污染物，在去除有机物的同时，还能够有效地去除磷和氮，经过该污水处理厂处理过的出水要求满足GB18918-2002《城市污水处理厂污染物排放标准》一级A标准，即COD≤50mg/L。工艺流程图见下图。</w:t>
            </w:r>
          </w:p>
          <w:p w14:paraId="140FACC9">
            <w:pPr>
              <w:widowControl/>
              <w:ind w:firstLine="480"/>
              <w:jc w:val="left"/>
              <w:rPr>
                <w:rFonts w:hint="eastAsia"/>
                <w:color w:val="auto"/>
              </w:rPr>
            </w:pPr>
            <w:r>
              <w:rPr>
                <w:color w:val="auto"/>
              </w:rPr>
              <w:drawing>
                <wp:inline distT="0" distB="0" distL="0" distR="0">
                  <wp:extent cx="5023485" cy="5055235"/>
                  <wp:effectExtent l="0" t="0" r="5715" b="12065"/>
                  <wp:docPr id="17"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9"/>
                          <pic:cNvPicPr>
                            <a:picLocks noChangeAspect="1" noChangeArrowheads="1"/>
                          </pic:cNvPicPr>
                        </pic:nvPicPr>
                        <pic:blipFill>
                          <a:blip r:embed="rId23"/>
                          <a:srcRect/>
                          <a:stretch>
                            <a:fillRect/>
                          </a:stretch>
                        </pic:blipFill>
                        <pic:spPr>
                          <a:xfrm>
                            <a:off x="0" y="0"/>
                            <a:ext cx="5023485" cy="5055235"/>
                          </a:xfrm>
                          <a:prstGeom prst="rect">
                            <a:avLst/>
                          </a:prstGeom>
                          <a:noFill/>
                          <a:ln w="9525">
                            <a:noFill/>
                            <a:miter lim="800000"/>
                            <a:headEnd/>
                            <a:tailEnd/>
                          </a:ln>
                        </pic:spPr>
                      </pic:pic>
                    </a:graphicData>
                  </a:graphic>
                </wp:inline>
              </w:drawing>
            </w:r>
          </w:p>
          <w:p w14:paraId="3318AABB">
            <w:pPr>
              <w:pStyle w:val="58"/>
              <w:ind w:firstLine="422"/>
              <w:rPr>
                <w:rFonts w:hint="eastAsia"/>
                <w:color w:val="auto"/>
              </w:rPr>
            </w:pPr>
            <w:r>
              <w:rPr>
                <w:rFonts w:hint="eastAsia"/>
                <w:color w:val="auto"/>
              </w:rPr>
              <w:t>图4-3污水处理厂污水处理工艺流程图</w:t>
            </w:r>
          </w:p>
          <w:p w14:paraId="0BFF6710">
            <w:pPr>
              <w:ind w:firstLine="480"/>
              <w:rPr>
                <w:rFonts w:hint="eastAsia"/>
                <w:color w:val="auto"/>
              </w:rPr>
            </w:pPr>
            <w:r>
              <w:rPr>
                <w:rFonts w:hint="eastAsia"/>
                <w:color w:val="auto"/>
              </w:rPr>
              <w:t>（3）接管可行性分析</w:t>
            </w:r>
          </w:p>
          <w:p w14:paraId="2434815E">
            <w:pPr>
              <w:ind w:firstLine="480"/>
              <w:rPr>
                <w:rFonts w:hint="eastAsia"/>
                <w:color w:val="auto"/>
              </w:rPr>
            </w:pPr>
            <w:r>
              <w:rPr>
                <w:rFonts w:hint="eastAsia"/>
                <w:color w:val="auto"/>
              </w:rPr>
              <w:t>①水质可行性</w:t>
            </w:r>
          </w:p>
          <w:p w14:paraId="09418ECE">
            <w:pPr>
              <w:ind w:firstLine="480"/>
              <w:rPr>
                <w:rFonts w:hint="eastAsia"/>
                <w:color w:val="auto"/>
              </w:rPr>
            </w:pPr>
            <w:r>
              <w:rPr>
                <w:color w:val="auto"/>
              </w:rPr>
              <w:t>拟建项目污水主要为生活污水，污染因子主要表征为COD、BOD</w:t>
            </w:r>
            <w:r>
              <w:rPr>
                <w:color w:val="auto"/>
                <w:vertAlign w:val="subscript"/>
              </w:rPr>
              <w:t>5</w:t>
            </w:r>
            <w:r>
              <w:rPr>
                <w:color w:val="auto"/>
              </w:rPr>
              <w:t>、NH</w:t>
            </w:r>
            <w:r>
              <w:rPr>
                <w:color w:val="auto"/>
                <w:vertAlign w:val="subscript"/>
              </w:rPr>
              <w:t>3</w:t>
            </w:r>
            <w:r>
              <w:rPr>
                <w:color w:val="auto"/>
              </w:rPr>
              <w:t>-N、SS等，上述废水接管水质可以满足</w:t>
            </w:r>
            <w:r>
              <w:rPr>
                <w:rFonts w:hint="eastAsia"/>
                <w:color w:val="auto"/>
              </w:rPr>
              <w:t>城南污水处理厂</w:t>
            </w:r>
            <w:r>
              <w:rPr>
                <w:color w:val="auto"/>
              </w:rPr>
              <w:t>接管标准（</w:t>
            </w:r>
            <w:r>
              <w:rPr>
                <w:rFonts w:hint="eastAsia"/>
                <w:color w:val="auto"/>
              </w:rPr>
              <w:t>COD400mg/L、NH</w:t>
            </w:r>
            <w:r>
              <w:rPr>
                <w:rFonts w:hint="eastAsia"/>
                <w:color w:val="auto"/>
                <w:vertAlign w:val="subscript"/>
              </w:rPr>
              <w:t>3</w:t>
            </w:r>
            <w:r>
              <w:rPr>
                <w:rFonts w:hint="eastAsia"/>
                <w:color w:val="auto"/>
              </w:rPr>
              <w:t>-N40mg/L、BOD</w:t>
            </w:r>
            <w:r>
              <w:rPr>
                <w:rFonts w:hint="eastAsia"/>
                <w:color w:val="auto"/>
                <w:vertAlign w:val="subscript"/>
              </w:rPr>
              <w:t>5</w:t>
            </w:r>
            <w:r>
              <w:rPr>
                <w:rFonts w:hint="eastAsia"/>
                <w:color w:val="auto"/>
              </w:rPr>
              <w:t>180mg/L、SS200mg/L</w:t>
            </w:r>
            <w:r>
              <w:rPr>
                <w:color w:val="auto"/>
              </w:rPr>
              <w:t>）。</w:t>
            </w:r>
          </w:p>
          <w:p w14:paraId="205D6F95">
            <w:pPr>
              <w:ind w:firstLine="480"/>
              <w:rPr>
                <w:rFonts w:hint="eastAsia"/>
                <w:color w:val="auto"/>
              </w:rPr>
            </w:pPr>
            <w:r>
              <w:rPr>
                <w:rFonts w:hint="eastAsia"/>
                <w:color w:val="auto"/>
              </w:rPr>
              <w:t>②水量可行性</w:t>
            </w:r>
          </w:p>
          <w:p w14:paraId="42AB529A">
            <w:pPr>
              <w:ind w:firstLine="480"/>
              <w:rPr>
                <w:rFonts w:hint="eastAsia"/>
                <w:color w:val="auto"/>
              </w:rPr>
            </w:pPr>
            <w:r>
              <w:rPr>
                <w:rFonts w:hint="eastAsia"/>
                <w:color w:val="auto"/>
              </w:rPr>
              <w:t>经核实，宿州市城南污水处理厂一期工程已饱和，无剩余污水处理能力。二期工程现阶段已运营，日处理污水量8万吨。本项目废水排放量为3.84t/d，仅占宿州市城南污水处理厂二期剩余处理能力的0.004%。本项目废水经处理后可以纳管进入宿州市城南污水处理厂进一步处理。</w:t>
            </w:r>
          </w:p>
          <w:p w14:paraId="167DCDB4">
            <w:pPr>
              <w:ind w:firstLine="480"/>
              <w:rPr>
                <w:rFonts w:hint="eastAsia"/>
                <w:color w:val="auto"/>
              </w:rPr>
            </w:pPr>
            <w:r>
              <w:rPr>
                <w:rFonts w:hint="eastAsia"/>
                <w:color w:val="auto"/>
              </w:rPr>
              <w:t>③管道范围可行性</w:t>
            </w:r>
          </w:p>
          <w:p w14:paraId="097544D1">
            <w:pPr>
              <w:ind w:firstLine="480"/>
              <w:rPr>
                <w:rFonts w:hint="eastAsia"/>
                <w:color w:val="auto"/>
              </w:rPr>
            </w:pPr>
            <w:r>
              <w:rPr>
                <w:rFonts w:hint="eastAsia"/>
                <w:color w:val="auto"/>
              </w:rPr>
              <w:t>本项目位于宿州经济技术开发区，所在区域在宿州市城南污水处理厂收水范围内，且项目区域市政雨污管网已配套完善，因此本项目废水就近纳入接污管网进宿州市城南污水处理厂集中处理。</w:t>
            </w:r>
          </w:p>
          <w:p w14:paraId="0DB36439">
            <w:pPr>
              <w:ind w:firstLine="480"/>
              <w:rPr>
                <w:rFonts w:hint="eastAsia"/>
                <w:color w:val="auto"/>
              </w:rPr>
            </w:pPr>
            <w:r>
              <w:rPr>
                <w:rFonts w:hint="eastAsia"/>
                <w:color w:val="auto"/>
              </w:rPr>
              <w:t>综上，本项目污水从水量、水质、管道范围等方面均满足纳管要求，其废水排入宿州市城南污水处理厂是可行的。项目废水实现了达标排放，因此对周围环境影响很小。</w:t>
            </w:r>
          </w:p>
          <w:p w14:paraId="1B64CEE8">
            <w:pPr>
              <w:pStyle w:val="5"/>
              <w:numPr>
                <w:ilvl w:val="2"/>
                <w:numId w:val="0"/>
              </w:numPr>
              <w:ind w:firstLine="482" w:firstLineChars="200"/>
              <w:rPr>
                <w:color w:val="auto"/>
              </w:rPr>
            </w:pPr>
            <w:bookmarkStart w:id="3" w:name="7.2.2.3_项目废水接管可行性分析"/>
            <w:bookmarkEnd w:id="3"/>
            <w:r>
              <w:rPr>
                <w:color w:val="auto"/>
              </w:rPr>
              <w:t>（3）废水排放情况</w:t>
            </w:r>
          </w:p>
          <w:p w14:paraId="1E7DA5EA">
            <w:pPr>
              <w:pStyle w:val="58"/>
              <w:ind w:firstLine="422"/>
              <w:rPr>
                <w:color w:val="auto"/>
              </w:rPr>
            </w:pPr>
            <w:r>
              <w:rPr>
                <w:color w:val="auto"/>
              </w:rPr>
              <w:t>表4-</w:t>
            </w:r>
            <w:r>
              <w:rPr>
                <w:rFonts w:hint="eastAsia"/>
                <w:color w:val="auto"/>
              </w:rPr>
              <w:t>1</w:t>
            </w:r>
            <w:r>
              <w:rPr>
                <w:rFonts w:hint="eastAsia"/>
                <w:color w:val="auto"/>
                <w:lang w:val="en-US" w:eastAsia="zh-CN"/>
              </w:rPr>
              <w:t>1</w:t>
            </w:r>
            <w:r>
              <w:rPr>
                <w:color w:val="auto"/>
              </w:rPr>
              <w:t>废水类别、污染物及污染治理设施信息表</w:t>
            </w:r>
          </w:p>
          <w:tbl>
            <w:tblPr>
              <w:tblStyle w:val="83"/>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
              <w:gridCol w:w="629"/>
              <w:gridCol w:w="802"/>
              <w:gridCol w:w="789"/>
              <w:gridCol w:w="447"/>
              <w:gridCol w:w="624"/>
              <w:gridCol w:w="794"/>
              <w:gridCol w:w="677"/>
              <w:gridCol w:w="618"/>
              <w:gridCol w:w="413"/>
              <w:gridCol w:w="563"/>
              <w:gridCol w:w="1590"/>
            </w:tblGrid>
            <w:tr w14:paraId="097C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213" w:type="pct"/>
                  <w:vMerge w:val="restart"/>
                  <w:tcBorders>
                    <w:bottom w:val="nil"/>
                    <w:right w:val="single" w:color="000000" w:sz="4" w:space="0"/>
                  </w:tcBorders>
                  <w:vAlign w:val="center"/>
                </w:tcPr>
                <w:p w14:paraId="40AC0B76">
                  <w:pPr>
                    <w:pStyle w:val="57"/>
                    <w:rPr>
                      <w:rFonts w:ascii="Calibri" w:hAnsi="Calibri"/>
                      <w:b/>
                      <w:bCs w:val="0"/>
                      <w:color w:val="auto"/>
                      <w:lang w:eastAsia="en-US"/>
                    </w:rPr>
                  </w:pPr>
                  <w:r>
                    <w:rPr>
                      <w:rFonts w:ascii="Calibri" w:hAnsi="Calibri"/>
                      <w:b/>
                      <w:bCs w:val="0"/>
                      <w:color w:val="auto"/>
                      <w:lang w:eastAsia="en-US"/>
                    </w:rPr>
                    <w:t>序号</w:t>
                  </w:r>
                </w:p>
              </w:tc>
              <w:tc>
                <w:tcPr>
                  <w:tcW w:w="378" w:type="pct"/>
                  <w:vMerge w:val="restart"/>
                  <w:tcBorders>
                    <w:left w:val="single" w:color="000000" w:sz="4" w:space="0"/>
                    <w:bottom w:val="nil"/>
                    <w:right w:val="single" w:color="000000" w:sz="4" w:space="0"/>
                  </w:tcBorders>
                  <w:vAlign w:val="center"/>
                </w:tcPr>
                <w:p w14:paraId="25F529FE">
                  <w:pPr>
                    <w:pStyle w:val="57"/>
                    <w:rPr>
                      <w:rFonts w:ascii="Calibri" w:hAnsi="Calibri"/>
                      <w:b/>
                      <w:bCs w:val="0"/>
                      <w:color w:val="auto"/>
                      <w:lang w:eastAsia="en-US"/>
                    </w:rPr>
                  </w:pPr>
                  <w:r>
                    <w:rPr>
                      <w:rFonts w:ascii="Calibri" w:hAnsi="Calibri"/>
                      <w:b/>
                      <w:bCs w:val="0"/>
                      <w:color w:val="auto"/>
                      <w:lang w:eastAsia="en-US"/>
                    </w:rPr>
                    <w:t>废水</w:t>
                  </w:r>
                </w:p>
                <w:p w14:paraId="09E14C3C">
                  <w:pPr>
                    <w:pStyle w:val="57"/>
                    <w:rPr>
                      <w:rFonts w:ascii="Calibri" w:hAnsi="Calibri"/>
                      <w:b/>
                      <w:bCs w:val="0"/>
                      <w:color w:val="auto"/>
                      <w:lang w:eastAsia="en-US"/>
                    </w:rPr>
                  </w:pPr>
                  <w:r>
                    <w:rPr>
                      <w:rFonts w:ascii="Calibri" w:hAnsi="Calibri"/>
                      <w:b/>
                      <w:bCs w:val="0"/>
                      <w:color w:val="auto"/>
                      <w:lang w:eastAsia="en-US"/>
                    </w:rPr>
                    <w:t>类别</w:t>
                  </w:r>
                </w:p>
              </w:tc>
              <w:tc>
                <w:tcPr>
                  <w:tcW w:w="483" w:type="pct"/>
                  <w:vMerge w:val="restart"/>
                  <w:tcBorders>
                    <w:left w:val="single" w:color="000000" w:sz="4" w:space="0"/>
                    <w:bottom w:val="nil"/>
                    <w:right w:val="single" w:color="000000" w:sz="4" w:space="0"/>
                  </w:tcBorders>
                  <w:vAlign w:val="center"/>
                </w:tcPr>
                <w:p w14:paraId="7A3E0D45">
                  <w:pPr>
                    <w:pStyle w:val="57"/>
                    <w:rPr>
                      <w:rFonts w:ascii="Calibri" w:hAnsi="Calibri"/>
                      <w:b/>
                      <w:bCs w:val="0"/>
                      <w:color w:val="auto"/>
                      <w:lang w:eastAsia="en-US"/>
                    </w:rPr>
                  </w:pPr>
                  <w:r>
                    <w:rPr>
                      <w:rFonts w:ascii="Calibri" w:hAnsi="Calibri"/>
                      <w:b/>
                      <w:bCs w:val="0"/>
                      <w:color w:val="auto"/>
                      <w:lang w:eastAsia="en-US"/>
                    </w:rPr>
                    <w:t>污染物种类</w:t>
                  </w:r>
                </w:p>
              </w:tc>
              <w:tc>
                <w:tcPr>
                  <w:tcW w:w="475" w:type="pct"/>
                  <w:vMerge w:val="restart"/>
                  <w:tcBorders>
                    <w:left w:val="single" w:color="000000" w:sz="4" w:space="0"/>
                    <w:bottom w:val="nil"/>
                    <w:right w:val="single" w:color="000000" w:sz="4" w:space="0"/>
                  </w:tcBorders>
                  <w:vAlign w:val="center"/>
                </w:tcPr>
                <w:p w14:paraId="2858955E">
                  <w:pPr>
                    <w:pStyle w:val="57"/>
                    <w:rPr>
                      <w:rFonts w:ascii="Calibri" w:hAnsi="Calibri"/>
                      <w:b/>
                      <w:bCs w:val="0"/>
                      <w:color w:val="auto"/>
                      <w:lang w:eastAsia="en-US"/>
                    </w:rPr>
                  </w:pPr>
                  <w:r>
                    <w:rPr>
                      <w:rFonts w:ascii="Calibri" w:hAnsi="Calibri"/>
                      <w:b/>
                      <w:bCs w:val="0"/>
                      <w:color w:val="auto"/>
                      <w:lang w:eastAsia="en-US"/>
                    </w:rPr>
                    <w:t>排放去向</w:t>
                  </w:r>
                </w:p>
              </w:tc>
              <w:tc>
                <w:tcPr>
                  <w:tcW w:w="269" w:type="pct"/>
                  <w:vMerge w:val="restart"/>
                  <w:tcBorders>
                    <w:left w:val="single" w:color="000000" w:sz="4" w:space="0"/>
                    <w:right w:val="single" w:color="000000" w:sz="4" w:space="0"/>
                  </w:tcBorders>
                  <w:vAlign w:val="center"/>
                </w:tcPr>
                <w:p w14:paraId="3E555108">
                  <w:pPr>
                    <w:pStyle w:val="57"/>
                    <w:rPr>
                      <w:rFonts w:ascii="Calibri" w:hAnsi="Calibri"/>
                      <w:b/>
                      <w:bCs w:val="0"/>
                      <w:color w:val="auto"/>
                      <w:lang w:eastAsia="en-US"/>
                    </w:rPr>
                  </w:pPr>
                  <w:r>
                    <w:rPr>
                      <w:rFonts w:hint="eastAsia" w:ascii="Calibri" w:hAnsi="Calibri"/>
                      <w:b/>
                      <w:bCs w:val="0"/>
                      <w:color w:val="auto"/>
                      <w:lang w:eastAsia="en-US"/>
                    </w:rPr>
                    <w:t>排放规律</w:t>
                  </w:r>
                </w:p>
              </w:tc>
              <w:tc>
                <w:tcPr>
                  <w:tcW w:w="1634" w:type="pct"/>
                  <w:gridSpan w:val="4"/>
                  <w:tcBorders>
                    <w:left w:val="single" w:color="000000" w:sz="4" w:space="0"/>
                    <w:right w:val="single" w:color="000000" w:sz="4" w:space="0"/>
                  </w:tcBorders>
                  <w:vAlign w:val="center"/>
                </w:tcPr>
                <w:p w14:paraId="52B00901">
                  <w:pPr>
                    <w:pStyle w:val="57"/>
                    <w:rPr>
                      <w:rFonts w:ascii="Calibri" w:hAnsi="Calibri"/>
                      <w:b/>
                      <w:bCs w:val="0"/>
                      <w:color w:val="auto"/>
                      <w:lang w:eastAsia="en-US"/>
                    </w:rPr>
                  </w:pPr>
                  <w:r>
                    <w:rPr>
                      <w:rFonts w:ascii="Calibri" w:hAnsi="Calibri"/>
                      <w:b/>
                      <w:bCs w:val="0"/>
                      <w:color w:val="auto"/>
                      <w:lang w:eastAsia="en-US"/>
                    </w:rPr>
                    <w:t>污染防治设施</w:t>
                  </w:r>
                </w:p>
              </w:tc>
              <w:tc>
                <w:tcPr>
                  <w:tcW w:w="249" w:type="pct"/>
                  <w:vMerge w:val="restart"/>
                  <w:tcBorders>
                    <w:left w:val="single" w:color="000000" w:sz="4" w:space="0"/>
                    <w:right w:val="single" w:color="000000" w:sz="4" w:space="0"/>
                  </w:tcBorders>
                  <w:vAlign w:val="center"/>
                </w:tcPr>
                <w:p w14:paraId="7B052766">
                  <w:pPr>
                    <w:pStyle w:val="57"/>
                    <w:rPr>
                      <w:rFonts w:ascii="Calibri" w:hAnsi="Calibri"/>
                      <w:b/>
                      <w:bCs w:val="0"/>
                      <w:color w:val="auto"/>
                      <w:lang w:eastAsia="en-US"/>
                    </w:rPr>
                  </w:pPr>
                  <w:r>
                    <w:rPr>
                      <w:rFonts w:hint="eastAsia" w:ascii="Calibri" w:hAnsi="Calibri"/>
                      <w:b/>
                      <w:bCs w:val="0"/>
                      <w:color w:val="auto"/>
                      <w:lang w:eastAsia="en-US"/>
                    </w:rPr>
                    <w:t>排放口编号</w:t>
                  </w:r>
                </w:p>
              </w:tc>
              <w:tc>
                <w:tcPr>
                  <w:tcW w:w="339" w:type="pct"/>
                  <w:vMerge w:val="restart"/>
                  <w:tcBorders>
                    <w:left w:val="single" w:color="000000" w:sz="4" w:space="0"/>
                    <w:bottom w:val="nil"/>
                    <w:right w:val="single" w:color="000000" w:sz="4" w:space="0"/>
                  </w:tcBorders>
                  <w:vAlign w:val="center"/>
                </w:tcPr>
                <w:p w14:paraId="4B7DEBF3">
                  <w:pPr>
                    <w:pStyle w:val="57"/>
                    <w:rPr>
                      <w:rFonts w:ascii="Calibri" w:hAnsi="Calibri"/>
                      <w:b/>
                      <w:bCs w:val="0"/>
                      <w:color w:val="auto"/>
                      <w:lang w:eastAsia="en-US"/>
                    </w:rPr>
                  </w:pPr>
                  <w:r>
                    <w:rPr>
                      <w:rFonts w:ascii="Calibri" w:hAnsi="Calibri"/>
                      <w:b/>
                      <w:bCs w:val="0"/>
                      <w:color w:val="auto"/>
                      <w:lang w:eastAsia="en-US"/>
                    </w:rPr>
                    <w:t>排放口设置是否符合要求</w:t>
                  </w:r>
                </w:p>
              </w:tc>
              <w:tc>
                <w:tcPr>
                  <w:tcW w:w="957" w:type="pct"/>
                  <w:vMerge w:val="restart"/>
                  <w:tcBorders>
                    <w:left w:val="single" w:color="000000" w:sz="4" w:space="0"/>
                    <w:bottom w:val="nil"/>
                    <w:right w:val="single" w:color="000000" w:sz="4" w:space="0"/>
                  </w:tcBorders>
                  <w:vAlign w:val="center"/>
                </w:tcPr>
                <w:p w14:paraId="12AF7C5F">
                  <w:pPr>
                    <w:pStyle w:val="57"/>
                    <w:rPr>
                      <w:rFonts w:ascii="Calibri" w:hAnsi="Calibri"/>
                      <w:b/>
                      <w:bCs w:val="0"/>
                      <w:color w:val="auto"/>
                      <w:lang w:eastAsia="en-US"/>
                    </w:rPr>
                  </w:pPr>
                </w:p>
                <w:p w14:paraId="6C5E3FB5">
                  <w:pPr>
                    <w:pStyle w:val="57"/>
                    <w:rPr>
                      <w:rFonts w:ascii="Calibri" w:hAnsi="Calibri"/>
                      <w:b/>
                      <w:bCs w:val="0"/>
                      <w:color w:val="auto"/>
                      <w:lang w:eastAsia="en-US"/>
                    </w:rPr>
                  </w:pPr>
                  <w:r>
                    <w:rPr>
                      <w:rFonts w:ascii="Calibri" w:hAnsi="Calibri"/>
                      <w:b/>
                      <w:bCs w:val="0"/>
                      <w:color w:val="auto"/>
                      <w:lang w:eastAsia="en-US"/>
                    </w:rPr>
                    <w:t>排放口类型</w:t>
                  </w:r>
                </w:p>
              </w:tc>
            </w:tr>
            <w:tr w14:paraId="53741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3" w:type="pct"/>
                  <w:vMerge w:val="continue"/>
                  <w:tcBorders>
                    <w:top w:val="nil"/>
                    <w:right w:val="single" w:color="000000" w:sz="4" w:space="0"/>
                  </w:tcBorders>
                  <w:textDirection w:val="tbRlV"/>
                  <w:vAlign w:val="center"/>
                </w:tcPr>
                <w:p w14:paraId="7CDBA954">
                  <w:pPr>
                    <w:pStyle w:val="57"/>
                    <w:rPr>
                      <w:rFonts w:ascii="Calibri" w:hAnsi="Calibri"/>
                      <w:color w:val="auto"/>
                      <w:lang w:eastAsia="en-US"/>
                    </w:rPr>
                  </w:pPr>
                </w:p>
              </w:tc>
              <w:tc>
                <w:tcPr>
                  <w:tcW w:w="378" w:type="pct"/>
                  <w:vMerge w:val="continue"/>
                  <w:tcBorders>
                    <w:top w:val="nil"/>
                    <w:left w:val="single" w:color="000000" w:sz="4" w:space="0"/>
                    <w:right w:val="single" w:color="000000" w:sz="4" w:space="0"/>
                  </w:tcBorders>
                  <w:vAlign w:val="center"/>
                </w:tcPr>
                <w:p w14:paraId="65E03425">
                  <w:pPr>
                    <w:pStyle w:val="57"/>
                    <w:rPr>
                      <w:rFonts w:ascii="Calibri" w:hAnsi="Calibri"/>
                      <w:color w:val="auto"/>
                      <w:lang w:eastAsia="en-US"/>
                    </w:rPr>
                  </w:pPr>
                </w:p>
              </w:tc>
              <w:tc>
                <w:tcPr>
                  <w:tcW w:w="483" w:type="pct"/>
                  <w:vMerge w:val="continue"/>
                  <w:tcBorders>
                    <w:top w:val="nil"/>
                    <w:left w:val="single" w:color="000000" w:sz="4" w:space="0"/>
                    <w:right w:val="single" w:color="000000" w:sz="4" w:space="0"/>
                  </w:tcBorders>
                  <w:vAlign w:val="center"/>
                </w:tcPr>
                <w:p w14:paraId="48CB0C23">
                  <w:pPr>
                    <w:pStyle w:val="57"/>
                    <w:rPr>
                      <w:rFonts w:ascii="Calibri" w:hAnsi="Calibri"/>
                      <w:color w:val="auto"/>
                      <w:lang w:eastAsia="en-US"/>
                    </w:rPr>
                  </w:pPr>
                </w:p>
              </w:tc>
              <w:tc>
                <w:tcPr>
                  <w:tcW w:w="475" w:type="pct"/>
                  <w:vMerge w:val="continue"/>
                  <w:tcBorders>
                    <w:top w:val="nil"/>
                    <w:left w:val="single" w:color="000000" w:sz="4" w:space="0"/>
                    <w:right w:val="single" w:color="000000" w:sz="4" w:space="0"/>
                  </w:tcBorders>
                  <w:vAlign w:val="center"/>
                </w:tcPr>
                <w:p w14:paraId="6FBA3EFA">
                  <w:pPr>
                    <w:pStyle w:val="57"/>
                    <w:rPr>
                      <w:rFonts w:ascii="Calibri" w:hAnsi="Calibri"/>
                      <w:color w:val="auto"/>
                      <w:lang w:eastAsia="en-US"/>
                    </w:rPr>
                  </w:pPr>
                </w:p>
              </w:tc>
              <w:tc>
                <w:tcPr>
                  <w:tcW w:w="269" w:type="pct"/>
                  <w:vMerge w:val="continue"/>
                  <w:tcBorders>
                    <w:left w:val="single" w:color="000000" w:sz="4" w:space="0"/>
                    <w:right w:val="single" w:color="000000" w:sz="4" w:space="0"/>
                  </w:tcBorders>
                  <w:vAlign w:val="center"/>
                </w:tcPr>
                <w:p w14:paraId="380427CA">
                  <w:pPr>
                    <w:pStyle w:val="57"/>
                    <w:rPr>
                      <w:rFonts w:ascii="Calibri" w:hAnsi="Calibri"/>
                      <w:color w:val="auto"/>
                      <w:lang w:eastAsia="en-US"/>
                    </w:rPr>
                  </w:pPr>
                </w:p>
              </w:tc>
              <w:tc>
                <w:tcPr>
                  <w:tcW w:w="376" w:type="pct"/>
                  <w:tcBorders>
                    <w:left w:val="single" w:color="000000" w:sz="4" w:space="0"/>
                    <w:right w:val="single" w:color="000000" w:sz="4" w:space="0"/>
                  </w:tcBorders>
                  <w:vAlign w:val="center"/>
                </w:tcPr>
                <w:p w14:paraId="2A07D189">
                  <w:pPr>
                    <w:pStyle w:val="57"/>
                    <w:rPr>
                      <w:rFonts w:ascii="Calibri" w:hAnsi="Calibri"/>
                      <w:b/>
                      <w:bCs w:val="0"/>
                      <w:color w:val="auto"/>
                      <w:lang w:eastAsia="en-US"/>
                    </w:rPr>
                  </w:pPr>
                  <w:r>
                    <w:rPr>
                      <w:rFonts w:ascii="Calibri" w:hAnsi="Calibri"/>
                      <w:b/>
                      <w:bCs w:val="0"/>
                      <w:color w:val="auto"/>
                      <w:lang w:eastAsia="en-US"/>
                    </w:rPr>
                    <w:t>污染设施编号</w:t>
                  </w:r>
                </w:p>
              </w:tc>
              <w:tc>
                <w:tcPr>
                  <w:tcW w:w="478" w:type="pct"/>
                  <w:tcBorders>
                    <w:left w:val="single" w:color="000000" w:sz="4" w:space="0"/>
                    <w:right w:val="single" w:color="000000" w:sz="4" w:space="0"/>
                  </w:tcBorders>
                  <w:vAlign w:val="center"/>
                </w:tcPr>
                <w:p w14:paraId="4F95010E">
                  <w:pPr>
                    <w:pStyle w:val="57"/>
                    <w:rPr>
                      <w:rFonts w:ascii="Calibri" w:hAnsi="Calibri"/>
                      <w:b/>
                      <w:bCs w:val="0"/>
                      <w:color w:val="auto"/>
                      <w:lang w:eastAsia="en-US"/>
                    </w:rPr>
                  </w:pPr>
                  <w:r>
                    <w:rPr>
                      <w:rFonts w:ascii="Calibri" w:hAnsi="Calibri"/>
                      <w:b/>
                      <w:bCs w:val="0"/>
                      <w:color w:val="auto"/>
                      <w:lang w:eastAsia="en-US"/>
                    </w:rPr>
                    <w:t>污染治理设施名称</w:t>
                  </w:r>
                </w:p>
              </w:tc>
              <w:tc>
                <w:tcPr>
                  <w:tcW w:w="408" w:type="pct"/>
                  <w:tcBorders>
                    <w:left w:val="single" w:color="000000" w:sz="4" w:space="0"/>
                    <w:right w:val="single" w:color="000000" w:sz="4" w:space="0"/>
                  </w:tcBorders>
                  <w:vAlign w:val="center"/>
                </w:tcPr>
                <w:p w14:paraId="7EE6BC13">
                  <w:pPr>
                    <w:pStyle w:val="57"/>
                    <w:rPr>
                      <w:rFonts w:ascii="Calibri" w:hAnsi="Calibri"/>
                      <w:b/>
                      <w:bCs w:val="0"/>
                      <w:color w:val="auto"/>
                      <w:lang w:eastAsia="en-US"/>
                    </w:rPr>
                  </w:pPr>
                  <w:r>
                    <w:rPr>
                      <w:rFonts w:ascii="Calibri" w:hAnsi="Calibri"/>
                      <w:b/>
                      <w:bCs w:val="0"/>
                      <w:color w:val="auto"/>
                      <w:lang w:eastAsia="en-US"/>
                    </w:rPr>
                    <w:t>污染治理设施工艺</w:t>
                  </w:r>
                </w:p>
              </w:tc>
              <w:tc>
                <w:tcPr>
                  <w:tcW w:w="371" w:type="pct"/>
                  <w:tcBorders>
                    <w:left w:val="single" w:color="000000" w:sz="4" w:space="0"/>
                    <w:right w:val="single" w:color="000000" w:sz="4" w:space="0"/>
                  </w:tcBorders>
                  <w:vAlign w:val="center"/>
                </w:tcPr>
                <w:p w14:paraId="4B75389D">
                  <w:pPr>
                    <w:pStyle w:val="57"/>
                    <w:rPr>
                      <w:rFonts w:ascii="Calibri" w:hAnsi="Calibri"/>
                      <w:b/>
                      <w:bCs w:val="0"/>
                      <w:color w:val="auto"/>
                      <w:lang w:eastAsia="en-US"/>
                    </w:rPr>
                  </w:pPr>
                  <w:r>
                    <w:rPr>
                      <w:rFonts w:ascii="Calibri" w:hAnsi="Calibri"/>
                      <w:b/>
                      <w:bCs w:val="0"/>
                      <w:color w:val="auto"/>
                      <w:lang w:eastAsia="en-US"/>
                    </w:rPr>
                    <w:t>是否为可行技术</w:t>
                  </w:r>
                </w:p>
              </w:tc>
              <w:tc>
                <w:tcPr>
                  <w:tcW w:w="249" w:type="pct"/>
                  <w:vMerge w:val="continue"/>
                  <w:tcBorders>
                    <w:left w:val="single" w:color="000000" w:sz="4" w:space="0"/>
                    <w:right w:val="single" w:color="000000" w:sz="4" w:space="0"/>
                  </w:tcBorders>
                  <w:vAlign w:val="center"/>
                </w:tcPr>
                <w:p w14:paraId="467BFAD1">
                  <w:pPr>
                    <w:pStyle w:val="57"/>
                    <w:rPr>
                      <w:rFonts w:ascii="Calibri" w:hAnsi="Calibri"/>
                      <w:b/>
                      <w:bCs w:val="0"/>
                      <w:color w:val="auto"/>
                      <w:lang w:eastAsia="en-US"/>
                    </w:rPr>
                  </w:pPr>
                </w:p>
              </w:tc>
              <w:tc>
                <w:tcPr>
                  <w:tcW w:w="339" w:type="pct"/>
                  <w:vMerge w:val="continue"/>
                  <w:tcBorders>
                    <w:top w:val="nil"/>
                    <w:left w:val="single" w:color="000000" w:sz="4" w:space="0"/>
                    <w:right w:val="single" w:color="000000" w:sz="4" w:space="0"/>
                  </w:tcBorders>
                  <w:vAlign w:val="center"/>
                </w:tcPr>
                <w:p w14:paraId="55CEC806">
                  <w:pPr>
                    <w:pStyle w:val="57"/>
                    <w:rPr>
                      <w:rFonts w:ascii="Calibri" w:hAnsi="Calibri"/>
                      <w:color w:val="auto"/>
                      <w:lang w:eastAsia="en-US"/>
                    </w:rPr>
                  </w:pPr>
                </w:p>
              </w:tc>
              <w:tc>
                <w:tcPr>
                  <w:tcW w:w="957" w:type="pct"/>
                  <w:vMerge w:val="continue"/>
                  <w:tcBorders>
                    <w:top w:val="nil"/>
                    <w:left w:val="single" w:color="000000" w:sz="4" w:space="0"/>
                    <w:right w:val="single" w:color="000000" w:sz="4" w:space="0"/>
                  </w:tcBorders>
                  <w:vAlign w:val="center"/>
                </w:tcPr>
                <w:p w14:paraId="58B0C6A4">
                  <w:pPr>
                    <w:pStyle w:val="57"/>
                    <w:rPr>
                      <w:rFonts w:ascii="Calibri" w:hAnsi="Calibri"/>
                      <w:color w:val="auto"/>
                      <w:lang w:eastAsia="en-US"/>
                    </w:rPr>
                  </w:pPr>
                </w:p>
              </w:tc>
            </w:tr>
            <w:tr w14:paraId="3C6B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3" w:type="pct"/>
                  <w:tcBorders>
                    <w:right w:val="single" w:color="000000" w:sz="4" w:space="0"/>
                  </w:tcBorders>
                  <w:vAlign w:val="center"/>
                </w:tcPr>
                <w:p w14:paraId="29B87F57">
                  <w:pPr>
                    <w:pStyle w:val="57"/>
                    <w:rPr>
                      <w:rFonts w:ascii="Calibri" w:hAnsi="Calibri"/>
                      <w:color w:val="auto"/>
                      <w:lang w:eastAsia="en-US"/>
                    </w:rPr>
                  </w:pPr>
                  <w:r>
                    <w:rPr>
                      <w:rFonts w:ascii="Calibri" w:hAnsi="Calibri"/>
                      <w:color w:val="auto"/>
                      <w:lang w:eastAsia="en-US"/>
                    </w:rPr>
                    <w:t>1</w:t>
                  </w:r>
                </w:p>
              </w:tc>
              <w:tc>
                <w:tcPr>
                  <w:tcW w:w="378" w:type="pct"/>
                  <w:tcBorders>
                    <w:left w:val="single" w:color="000000" w:sz="4" w:space="0"/>
                    <w:right w:val="single" w:color="000000" w:sz="4" w:space="0"/>
                  </w:tcBorders>
                  <w:vAlign w:val="center"/>
                </w:tcPr>
                <w:p w14:paraId="4FFCF8E4">
                  <w:pPr>
                    <w:pStyle w:val="57"/>
                    <w:rPr>
                      <w:rFonts w:ascii="Calibri" w:hAnsi="Calibri"/>
                      <w:color w:val="auto"/>
                      <w:lang w:eastAsia="en-US"/>
                    </w:rPr>
                  </w:pPr>
                  <w:r>
                    <w:rPr>
                      <w:rFonts w:ascii="Calibri" w:hAnsi="Calibri"/>
                      <w:color w:val="auto"/>
                      <w:lang w:eastAsia="en-US"/>
                    </w:rPr>
                    <w:t>生活污水</w:t>
                  </w:r>
                </w:p>
              </w:tc>
              <w:tc>
                <w:tcPr>
                  <w:tcW w:w="483" w:type="pct"/>
                  <w:tcBorders>
                    <w:left w:val="single" w:color="000000" w:sz="4" w:space="0"/>
                    <w:right w:val="single" w:color="000000" w:sz="4" w:space="0"/>
                  </w:tcBorders>
                  <w:vAlign w:val="center"/>
                </w:tcPr>
                <w:p w14:paraId="19E6B0ED">
                  <w:pPr>
                    <w:pStyle w:val="57"/>
                    <w:rPr>
                      <w:rFonts w:ascii="Calibri" w:hAnsi="Calibri"/>
                      <w:color w:val="auto"/>
                      <w:lang w:eastAsia="en-US"/>
                    </w:rPr>
                  </w:pPr>
                  <w:r>
                    <w:rPr>
                      <w:rFonts w:ascii="Calibri" w:hAnsi="Calibri"/>
                      <w:color w:val="auto"/>
                      <w:lang w:eastAsia="en-US"/>
                    </w:rPr>
                    <w:t>COD</w:t>
                  </w:r>
                  <w:r>
                    <w:rPr>
                      <w:rFonts w:hint="eastAsia" w:ascii="Calibri" w:hAnsi="Calibri"/>
                      <w:color w:val="auto"/>
                      <w:lang w:eastAsia="en-US"/>
                    </w:rPr>
                    <w:t>、</w:t>
                  </w:r>
                  <w:r>
                    <w:rPr>
                      <w:rFonts w:ascii="Calibri" w:hAnsi="Calibri"/>
                      <w:color w:val="auto"/>
                      <w:lang w:eastAsia="en-US"/>
                    </w:rPr>
                    <w:t>BOD</w:t>
                  </w:r>
                  <w:r>
                    <w:rPr>
                      <w:rFonts w:hint="eastAsia" w:ascii="Calibri" w:hAnsi="Calibri"/>
                      <w:color w:val="auto"/>
                      <w:vertAlign w:val="subscript"/>
                      <w:lang w:eastAsia="en-US"/>
                    </w:rPr>
                    <w:t>5、</w:t>
                  </w:r>
                  <w:r>
                    <w:rPr>
                      <w:rFonts w:hint="eastAsia" w:ascii="Calibri" w:hAnsi="Calibri"/>
                      <w:color w:val="auto"/>
                      <w:lang w:eastAsia="en-US"/>
                    </w:rPr>
                    <w:t>NH</w:t>
                  </w:r>
                  <w:r>
                    <w:rPr>
                      <w:rFonts w:hint="eastAsia" w:ascii="Calibri" w:hAnsi="Calibri"/>
                      <w:color w:val="auto"/>
                      <w:vertAlign w:val="subscript"/>
                      <w:lang w:eastAsia="en-US"/>
                    </w:rPr>
                    <w:t>3</w:t>
                  </w:r>
                  <w:r>
                    <w:rPr>
                      <w:rFonts w:hint="eastAsia" w:ascii="Calibri" w:hAnsi="Calibri"/>
                      <w:color w:val="auto"/>
                      <w:lang w:eastAsia="en-US"/>
                    </w:rPr>
                    <w:t>-N、</w:t>
                  </w:r>
                  <w:r>
                    <w:rPr>
                      <w:rFonts w:ascii="Calibri" w:hAnsi="Calibri"/>
                      <w:color w:val="auto"/>
                      <w:lang w:eastAsia="en-US"/>
                    </w:rPr>
                    <w:t>SS</w:t>
                  </w:r>
                </w:p>
              </w:tc>
              <w:tc>
                <w:tcPr>
                  <w:tcW w:w="475" w:type="pct"/>
                  <w:tcBorders>
                    <w:left w:val="single" w:color="000000" w:sz="4" w:space="0"/>
                    <w:right w:val="single" w:color="000000" w:sz="4" w:space="0"/>
                  </w:tcBorders>
                  <w:vAlign w:val="center"/>
                </w:tcPr>
                <w:p w14:paraId="2A7DC47D">
                  <w:pPr>
                    <w:pStyle w:val="57"/>
                    <w:rPr>
                      <w:rFonts w:ascii="Calibri" w:hAnsi="Calibri"/>
                      <w:color w:val="auto"/>
                      <w:lang w:eastAsia="en-US"/>
                    </w:rPr>
                  </w:pPr>
                  <w:r>
                    <w:rPr>
                      <w:rFonts w:ascii="Calibri" w:hAnsi="Calibri"/>
                      <w:color w:val="auto"/>
                      <w:lang w:eastAsia="en-US"/>
                    </w:rPr>
                    <w:t>进入城市污水处理厂</w:t>
                  </w:r>
                </w:p>
              </w:tc>
              <w:tc>
                <w:tcPr>
                  <w:tcW w:w="269" w:type="pct"/>
                  <w:tcBorders>
                    <w:left w:val="single" w:color="000000" w:sz="4" w:space="0"/>
                    <w:right w:val="single" w:color="000000" w:sz="4" w:space="0"/>
                  </w:tcBorders>
                  <w:vAlign w:val="center"/>
                </w:tcPr>
                <w:p w14:paraId="7FB1C719">
                  <w:pPr>
                    <w:pStyle w:val="57"/>
                    <w:rPr>
                      <w:rFonts w:ascii="Calibri" w:hAnsi="Calibri"/>
                      <w:color w:val="auto"/>
                      <w:lang w:eastAsia="en-US"/>
                    </w:rPr>
                  </w:pPr>
                  <w:r>
                    <w:rPr>
                      <w:rFonts w:ascii="Calibri" w:hAnsi="Calibri"/>
                      <w:color w:val="auto"/>
                      <w:lang w:eastAsia="en-US"/>
                    </w:rPr>
                    <w:t>间断排放</w:t>
                  </w:r>
                </w:p>
              </w:tc>
              <w:tc>
                <w:tcPr>
                  <w:tcW w:w="376" w:type="pct"/>
                  <w:tcBorders>
                    <w:left w:val="single" w:color="000000" w:sz="4" w:space="0"/>
                    <w:right w:val="single" w:color="000000" w:sz="4" w:space="0"/>
                  </w:tcBorders>
                  <w:vAlign w:val="center"/>
                </w:tcPr>
                <w:p w14:paraId="4940EBCA">
                  <w:pPr>
                    <w:pStyle w:val="57"/>
                    <w:rPr>
                      <w:rFonts w:ascii="Calibri" w:hAnsi="Calibri"/>
                      <w:color w:val="auto"/>
                      <w:lang w:eastAsia="en-US"/>
                    </w:rPr>
                  </w:pPr>
                  <w:r>
                    <w:rPr>
                      <w:rFonts w:ascii="Calibri" w:hAnsi="Calibri"/>
                      <w:color w:val="auto"/>
                      <w:lang w:eastAsia="en-US"/>
                    </w:rPr>
                    <w:t>TW001</w:t>
                  </w:r>
                </w:p>
              </w:tc>
              <w:tc>
                <w:tcPr>
                  <w:tcW w:w="478" w:type="pct"/>
                  <w:tcBorders>
                    <w:left w:val="single" w:color="000000" w:sz="4" w:space="0"/>
                    <w:right w:val="single" w:color="000000" w:sz="4" w:space="0"/>
                  </w:tcBorders>
                  <w:vAlign w:val="center"/>
                </w:tcPr>
                <w:p w14:paraId="0C6AE2CE">
                  <w:pPr>
                    <w:pStyle w:val="57"/>
                    <w:rPr>
                      <w:rFonts w:ascii="Calibri" w:hAnsi="Calibri"/>
                      <w:color w:val="auto"/>
                      <w:lang w:eastAsia="en-US"/>
                    </w:rPr>
                  </w:pPr>
                  <w:r>
                    <w:rPr>
                      <w:rFonts w:hint="eastAsia" w:ascii="Calibri" w:hAnsi="Calibri"/>
                      <w:color w:val="auto"/>
                      <w:lang w:eastAsia="en-US"/>
                    </w:rPr>
                    <w:t>化粪池</w:t>
                  </w:r>
                </w:p>
              </w:tc>
              <w:tc>
                <w:tcPr>
                  <w:tcW w:w="408" w:type="pct"/>
                  <w:tcBorders>
                    <w:left w:val="single" w:color="000000" w:sz="4" w:space="0"/>
                    <w:right w:val="single" w:color="000000" w:sz="4" w:space="0"/>
                  </w:tcBorders>
                  <w:vAlign w:val="center"/>
                </w:tcPr>
                <w:p w14:paraId="57B7426D">
                  <w:pPr>
                    <w:pStyle w:val="57"/>
                    <w:rPr>
                      <w:rFonts w:hint="eastAsia" w:ascii="Calibri" w:hAnsi="Calibri"/>
                      <w:color w:val="auto"/>
                      <w:lang w:eastAsia="en-US"/>
                    </w:rPr>
                  </w:pPr>
                  <w:r>
                    <w:rPr>
                      <w:rFonts w:hint="eastAsia" w:ascii="Calibri" w:hAnsi="Calibri"/>
                      <w:color w:val="auto"/>
                      <w:lang w:eastAsia="en-US"/>
                    </w:rPr>
                    <w:t>\</w:t>
                  </w:r>
                </w:p>
              </w:tc>
              <w:tc>
                <w:tcPr>
                  <w:tcW w:w="371" w:type="pct"/>
                  <w:tcBorders>
                    <w:left w:val="single" w:color="000000" w:sz="4" w:space="0"/>
                    <w:right w:val="single" w:color="000000" w:sz="4" w:space="0"/>
                  </w:tcBorders>
                  <w:vAlign w:val="center"/>
                </w:tcPr>
                <w:p w14:paraId="4FDCE9CB">
                  <w:pPr>
                    <w:pStyle w:val="57"/>
                    <w:rPr>
                      <w:rFonts w:ascii="Calibri" w:hAnsi="Calibri"/>
                      <w:color w:val="auto"/>
                      <w:lang w:eastAsia="en-US"/>
                    </w:rPr>
                  </w:pPr>
                  <w:r>
                    <w:rPr>
                      <w:rFonts w:ascii="Calibri" w:hAnsi="Calibri"/>
                      <w:color w:val="auto"/>
                      <w:lang w:eastAsia="en-US"/>
                    </w:rPr>
                    <w:t>是</w:t>
                  </w:r>
                </w:p>
              </w:tc>
              <w:tc>
                <w:tcPr>
                  <w:tcW w:w="249" w:type="pct"/>
                  <w:tcBorders>
                    <w:left w:val="single" w:color="000000" w:sz="4" w:space="0"/>
                    <w:right w:val="single" w:color="000000" w:sz="4" w:space="0"/>
                  </w:tcBorders>
                  <w:vAlign w:val="center"/>
                </w:tcPr>
                <w:p w14:paraId="51F3B140">
                  <w:pPr>
                    <w:pStyle w:val="57"/>
                    <w:rPr>
                      <w:rFonts w:ascii="Calibri" w:hAnsi="Calibri"/>
                      <w:color w:val="auto"/>
                      <w:lang w:eastAsia="en-US"/>
                    </w:rPr>
                  </w:pPr>
                  <w:r>
                    <w:rPr>
                      <w:rFonts w:hint="eastAsia" w:ascii="Calibri" w:hAnsi="Calibri"/>
                      <w:color w:val="auto"/>
                      <w:lang w:eastAsia="en-US"/>
                    </w:rPr>
                    <w:t>DW001</w:t>
                  </w:r>
                </w:p>
              </w:tc>
              <w:tc>
                <w:tcPr>
                  <w:tcW w:w="339" w:type="pct"/>
                  <w:tcBorders>
                    <w:left w:val="single" w:color="000000" w:sz="4" w:space="0"/>
                    <w:right w:val="single" w:color="000000" w:sz="4" w:space="0"/>
                  </w:tcBorders>
                  <w:vAlign w:val="center"/>
                </w:tcPr>
                <w:p w14:paraId="17D3575E">
                  <w:pPr>
                    <w:pStyle w:val="57"/>
                    <w:rPr>
                      <w:rFonts w:ascii="Calibri" w:hAnsi="Calibri"/>
                      <w:color w:val="auto"/>
                      <w:lang w:eastAsia="en-US"/>
                    </w:rPr>
                  </w:pPr>
                </w:p>
                <w:p w14:paraId="52BE33E3">
                  <w:pPr>
                    <w:pStyle w:val="57"/>
                    <w:rPr>
                      <w:rFonts w:ascii="Calibri" w:hAnsi="Calibri"/>
                      <w:color w:val="auto"/>
                      <w:lang w:eastAsia="en-US"/>
                    </w:rPr>
                  </w:pPr>
                  <w:r>
                    <w:rPr>
                      <w:rFonts w:ascii="Calibri" w:hAnsi="Calibri"/>
                      <w:color w:val="auto"/>
                      <w:lang w:eastAsia="en-US"/>
                    </w:rPr>
                    <w:sym w:font="Wingdings 2" w:char="0052"/>
                  </w:r>
                  <w:r>
                    <w:rPr>
                      <w:rFonts w:ascii="Calibri" w:hAnsi="Calibri"/>
                      <w:color w:val="auto"/>
                      <w:lang w:eastAsia="en-US"/>
                    </w:rPr>
                    <w:t>是</w:t>
                  </w:r>
                </w:p>
                <w:p w14:paraId="7A064E2C">
                  <w:pPr>
                    <w:pStyle w:val="57"/>
                    <w:rPr>
                      <w:rFonts w:ascii="Calibri" w:hAnsi="Calibri"/>
                      <w:color w:val="auto"/>
                      <w:lang w:eastAsia="en-US"/>
                    </w:rPr>
                  </w:pPr>
                  <w:r>
                    <w:rPr>
                      <w:rFonts w:ascii="Calibri" w:hAnsi="Calibri"/>
                      <w:color w:val="auto"/>
                      <w:lang w:eastAsia="en-US"/>
                    </w:rPr>
                    <w:sym w:font="Wingdings 2" w:char="00A3"/>
                  </w:r>
                  <w:r>
                    <w:rPr>
                      <w:rFonts w:ascii="Calibri" w:hAnsi="Calibri"/>
                      <w:color w:val="auto"/>
                      <w:lang w:eastAsia="en-US"/>
                    </w:rPr>
                    <w:t>否</w:t>
                  </w:r>
                </w:p>
              </w:tc>
              <w:tc>
                <w:tcPr>
                  <w:tcW w:w="957" w:type="pct"/>
                  <w:tcBorders>
                    <w:left w:val="single" w:color="000000" w:sz="4" w:space="0"/>
                    <w:right w:val="single" w:color="000000" w:sz="4" w:space="0"/>
                  </w:tcBorders>
                  <w:vAlign w:val="center"/>
                </w:tcPr>
                <w:p w14:paraId="094A8DBA">
                  <w:pPr>
                    <w:pStyle w:val="57"/>
                    <w:jc w:val="both"/>
                    <w:rPr>
                      <w:rFonts w:ascii="Calibri" w:hAnsi="Calibri"/>
                      <w:color w:val="auto"/>
                      <w:lang w:eastAsia="en-US"/>
                    </w:rPr>
                  </w:pPr>
                  <w:r>
                    <w:rPr>
                      <w:rFonts w:ascii="Calibri" w:hAnsi="Calibri"/>
                      <w:color w:val="auto"/>
                      <w:lang w:eastAsia="en-US"/>
                    </w:rPr>
                    <w:sym w:font="Wingdings 2" w:char="0052"/>
                  </w:r>
                  <w:r>
                    <w:rPr>
                      <w:rFonts w:ascii="Calibri" w:hAnsi="Calibri"/>
                      <w:color w:val="auto"/>
                      <w:lang w:eastAsia="en-US"/>
                    </w:rPr>
                    <w:t>企业总排口</w:t>
                  </w:r>
                </w:p>
                <w:p w14:paraId="7A63CA60">
                  <w:pPr>
                    <w:pStyle w:val="57"/>
                    <w:jc w:val="both"/>
                    <w:rPr>
                      <w:rFonts w:ascii="Calibri" w:hAnsi="Calibri"/>
                      <w:color w:val="auto"/>
                      <w:lang w:eastAsia="en-US"/>
                    </w:rPr>
                  </w:pPr>
                  <w:r>
                    <w:rPr>
                      <w:rFonts w:ascii="Calibri" w:hAnsi="Calibri"/>
                      <w:color w:val="auto"/>
                      <w:lang w:eastAsia="en-US"/>
                    </w:rPr>
                    <w:sym w:font="Wingdings 2" w:char="00A3"/>
                  </w:r>
                  <w:r>
                    <w:rPr>
                      <w:rFonts w:ascii="Calibri" w:hAnsi="Calibri"/>
                      <w:color w:val="auto"/>
                      <w:lang w:eastAsia="en-US"/>
                    </w:rPr>
                    <w:t>雨水排放</w:t>
                  </w:r>
                </w:p>
                <w:p w14:paraId="530404E6">
                  <w:pPr>
                    <w:pStyle w:val="57"/>
                    <w:jc w:val="both"/>
                    <w:rPr>
                      <w:rFonts w:ascii="Calibri" w:hAnsi="Calibri"/>
                      <w:color w:val="auto"/>
                      <w:lang w:eastAsia="en-US"/>
                    </w:rPr>
                  </w:pPr>
                  <w:r>
                    <w:rPr>
                      <w:rFonts w:ascii="Calibri" w:hAnsi="Calibri"/>
                      <w:color w:val="auto"/>
                      <w:lang w:eastAsia="en-US"/>
                    </w:rPr>
                    <w:sym w:font="Wingdings 2" w:char="00A3"/>
                  </w:r>
                  <w:r>
                    <w:rPr>
                      <w:rFonts w:ascii="Calibri" w:hAnsi="Calibri"/>
                      <w:color w:val="auto"/>
                      <w:lang w:eastAsia="en-US"/>
                    </w:rPr>
                    <w:t>清净下水排放</w:t>
                  </w:r>
                </w:p>
                <w:p w14:paraId="7E22E6CD">
                  <w:pPr>
                    <w:pStyle w:val="57"/>
                    <w:jc w:val="both"/>
                    <w:rPr>
                      <w:rFonts w:ascii="Calibri" w:hAnsi="Calibri"/>
                      <w:color w:val="auto"/>
                      <w:lang w:eastAsia="en-US"/>
                    </w:rPr>
                  </w:pPr>
                  <w:r>
                    <w:rPr>
                      <w:rFonts w:ascii="Calibri" w:hAnsi="Calibri"/>
                      <w:color w:val="auto"/>
                      <w:lang w:eastAsia="en-US"/>
                    </w:rPr>
                    <w:sym w:font="Wingdings 2" w:char="00A3"/>
                  </w:r>
                  <w:r>
                    <w:rPr>
                      <w:rFonts w:ascii="Calibri" w:hAnsi="Calibri"/>
                      <w:color w:val="auto"/>
                      <w:lang w:eastAsia="en-US"/>
                    </w:rPr>
                    <w:t>温排水排放</w:t>
                  </w:r>
                </w:p>
                <w:p w14:paraId="739CA7B7">
                  <w:pPr>
                    <w:pStyle w:val="57"/>
                    <w:jc w:val="both"/>
                    <w:rPr>
                      <w:rFonts w:ascii="Calibri" w:hAnsi="Calibri"/>
                      <w:color w:val="auto"/>
                      <w:lang w:eastAsia="en-US"/>
                    </w:rPr>
                  </w:pPr>
                  <w:r>
                    <w:rPr>
                      <w:rFonts w:ascii="Calibri" w:hAnsi="Calibri"/>
                      <w:color w:val="auto"/>
                      <w:lang w:eastAsia="en-US"/>
                    </w:rPr>
                    <w:sym w:font="Wingdings 2" w:char="00A3"/>
                  </w:r>
                  <w:r>
                    <w:rPr>
                      <w:rFonts w:ascii="Calibri" w:hAnsi="Calibri"/>
                      <w:color w:val="auto"/>
                      <w:lang w:eastAsia="en-US"/>
                    </w:rPr>
                    <w:t>车间或车间处理设施排放口</w:t>
                  </w:r>
                </w:p>
              </w:tc>
            </w:tr>
          </w:tbl>
          <w:p w14:paraId="40D89294">
            <w:pPr>
              <w:pStyle w:val="58"/>
              <w:ind w:firstLine="422"/>
              <w:rPr>
                <w:color w:val="auto"/>
              </w:rPr>
            </w:pPr>
            <w:r>
              <w:rPr>
                <w:rFonts w:hint="eastAsia"/>
                <w:color w:val="auto"/>
              </w:rPr>
              <w:t>表4-</w:t>
            </w:r>
            <w:r>
              <w:rPr>
                <w:rFonts w:hint="eastAsia"/>
                <w:color w:val="auto"/>
                <w:lang w:val="en-US" w:eastAsia="zh-CN"/>
              </w:rPr>
              <w:t>12</w:t>
            </w:r>
            <w:r>
              <w:rPr>
                <w:rFonts w:hint="eastAsia"/>
                <w:color w:val="auto"/>
              </w:rPr>
              <w:t>废水间接排放口基本情况表</w:t>
            </w:r>
          </w:p>
          <w:tbl>
            <w:tblPr>
              <w:tblStyle w:val="8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
              <w:gridCol w:w="453"/>
              <w:gridCol w:w="828"/>
              <w:gridCol w:w="753"/>
              <w:gridCol w:w="696"/>
              <w:gridCol w:w="576"/>
              <w:gridCol w:w="1345"/>
              <w:gridCol w:w="492"/>
              <w:gridCol w:w="694"/>
              <w:gridCol w:w="822"/>
              <w:gridCol w:w="1437"/>
            </w:tblGrid>
            <w:tr w14:paraId="1841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restart"/>
                  <w:tcBorders>
                    <w:bottom w:val="nil"/>
                    <w:right w:val="single" w:color="000000" w:sz="4" w:space="0"/>
                  </w:tcBorders>
                  <w:vAlign w:val="center"/>
                </w:tcPr>
                <w:p w14:paraId="6EBD706A">
                  <w:pPr>
                    <w:pStyle w:val="57"/>
                    <w:rPr>
                      <w:rFonts w:ascii="Calibri" w:hAnsi="Calibri"/>
                      <w:b/>
                      <w:bCs w:val="0"/>
                      <w:color w:val="auto"/>
                      <w:lang w:eastAsia="en-US"/>
                    </w:rPr>
                  </w:pPr>
                  <w:r>
                    <w:rPr>
                      <w:rFonts w:ascii="Calibri" w:hAnsi="Calibri"/>
                      <w:b/>
                      <w:bCs w:val="0"/>
                      <w:color w:val="auto"/>
                      <w:lang w:eastAsia="en-US"/>
                    </w:rPr>
                    <w:t>序号</w:t>
                  </w:r>
                </w:p>
              </w:tc>
              <w:tc>
                <w:tcPr>
                  <w:tcW w:w="272" w:type="pct"/>
                  <w:vMerge w:val="restart"/>
                  <w:tcBorders>
                    <w:left w:val="single" w:color="000000" w:sz="4" w:space="0"/>
                    <w:bottom w:val="nil"/>
                    <w:right w:val="single" w:color="000000" w:sz="4" w:space="0"/>
                  </w:tcBorders>
                  <w:vAlign w:val="center"/>
                </w:tcPr>
                <w:p w14:paraId="2DFDF2FF">
                  <w:pPr>
                    <w:pStyle w:val="57"/>
                    <w:rPr>
                      <w:rFonts w:ascii="Calibri" w:hAnsi="Calibri"/>
                      <w:b/>
                      <w:bCs w:val="0"/>
                      <w:color w:val="auto"/>
                      <w:lang w:eastAsia="en-US"/>
                    </w:rPr>
                  </w:pPr>
                  <w:r>
                    <w:rPr>
                      <w:rFonts w:ascii="Calibri" w:hAnsi="Calibri"/>
                      <w:b/>
                      <w:bCs w:val="0"/>
                      <w:color w:val="auto"/>
                      <w:lang w:eastAsia="en-US"/>
                    </w:rPr>
                    <w:t>排放口编号</w:t>
                  </w:r>
                </w:p>
              </w:tc>
              <w:tc>
                <w:tcPr>
                  <w:tcW w:w="951" w:type="pct"/>
                  <w:gridSpan w:val="2"/>
                  <w:tcBorders>
                    <w:left w:val="single" w:color="000000" w:sz="4" w:space="0"/>
                    <w:right w:val="single" w:color="000000" w:sz="4" w:space="0"/>
                  </w:tcBorders>
                  <w:vAlign w:val="center"/>
                </w:tcPr>
                <w:p w14:paraId="0771B919">
                  <w:pPr>
                    <w:pStyle w:val="57"/>
                    <w:rPr>
                      <w:rFonts w:ascii="Calibri" w:hAnsi="Calibri"/>
                      <w:b/>
                      <w:bCs w:val="0"/>
                      <w:color w:val="auto"/>
                      <w:lang w:eastAsia="en-US"/>
                    </w:rPr>
                  </w:pPr>
                  <w:r>
                    <w:rPr>
                      <w:rFonts w:ascii="Calibri" w:hAnsi="Calibri"/>
                      <w:b/>
                      <w:bCs w:val="0"/>
                      <w:color w:val="auto"/>
                      <w:lang w:eastAsia="en-US"/>
                    </w:rPr>
                    <w:t>排放口地理坐标</w:t>
                  </w:r>
                </w:p>
              </w:tc>
              <w:tc>
                <w:tcPr>
                  <w:tcW w:w="419" w:type="pct"/>
                  <w:vMerge w:val="restart"/>
                  <w:tcBorders>
                    <w:left w:val="single" w:color="000000" w:sz="4" w:space="0"/>
                    <w:bottom w:val="nil"/>
                    <w:right w:val="single" w:color="000000" w:sz="4" w:space="0"/>
                  </w:tcBorders>
                  <w:vAlign w:val="center"/>
                </w:tcPr>
                <w:p w14:paraId="6BCB1B2E">
                  <w:pPr>
                    <w:pStyle w:val="57"/>
                    <w:rPr>
                      <w:rFonts w:ascii="Calibri" w:hAnsi="Calibri"/>
                      <w:b/>
                      <w:bCs w:val="0"/>
                      <w:color w:val="auto"/>
                      <w:lang w:eastAsia="en-US"/>
                    </w:rPr>
                  </w:pPr>
                  <w:r>
                    <w:rPr>
                      <w:rFonts w:ascii="Calibri" w:hAnsi="Calibri"/>
                      <w:b/>
                      <w:bCs w:val="0"/>
                      <w:color w:val="auto"/>
                      <w:lang w:eastAsia="en-US"/>
                    </w:rPr>
                    <w:t>废水排放量(万t/a)</w:t>
                  </w:r>
                </w:p>
              </w:tc>
              <w:tc>
                <w:tcPr>
                  <w:tcW w:w="347" w:type="pct"/>
                  <w:vMerge w:val="restart"/>
                  <w:tcBorders>
                    <w:left w:val="single" w:color="000000" w:sz="4" w:space="0"/>
                    <w:bottom w:val="nil"/>
                    <w:right w:val="single" w:color="000000" w:sz="4" w:space="0"/>
                  </w:tcBorders>
                  <w:vAlign w:val="center"/>
                </w:tcPr>
                <w:p w14:paraId="13E1BFE7">
                  <w:pPr>
                    <w:pStyle w:val="57"/>
                    <w:rPr>
                      <w:rFonts w:ascii="Calibri" w:hAnsi="Calibri"/>
                      <w:b/>
                      <w:bCs w:val="0"/>
                      <w:color w:val="auto"/>
                      <w:lang w:eastAsia="en-US"/>
                    </w:rPr>
                  </w:pPr>
                  <w:r>
                    <w:rPr>
                      <w:rFonts w:ascii="Calibri" w:hAnsi="Calibri"/>
                      <w:b/>
                      <w:bCs w:val="0"/>
                      <w:color w:val="auto"/>
                      <w:lang w:eastAsia="en-US"/>
                    </w:rPr>
                    <w:t>排放去向</w:t>
                  </w:r>
                </w:p>
              </w:tc>
              <w:tc>
                <w:tcPr>
                  <w:tcW w:w="809" w:type="pct"/>
                  <w:vMerge w:val="restart"/>
                  <w:tcBorders>
                    <w:left w:val="single" w:color="000000" w:sz="4" w:space="0"/>
                    <w:bottom w:val="nil"/>
                    <w:right w:val="single" w:color="000000" w:sz="4" w:space="0"/>
                  </w:tcBorders>
                  <w:vAlign w:val="center"/>
                </w:tcPr>
                <w:p w14:paraId="234F176B">
                  <w:pPr>
                    <w:pStyle w:val="57"/>
                    <w:rPr>
                      <w:rFonts w:ascii="Calibri" w:hAnsi="Calibri"/>
                      <w:b/>
                      <w:bCs w:val="0"/>
                      <w:color w:val="auto"/>
                      <w:lang w:eastAsia="en-US"/>
                    </w:rPr>
                  </w:pPr>
                  <w:r>
                    <w:rPr>
                      <w:rFonts w:ascii="Calibri" w:hAnsi="Calibri"/>
                      <w:b/>
                      <w:bCs w:val="0"/>
                      <w:color w:val="auto"/>
                      <w:lang w:eastAsia="en-US"/>
                    </w:rPr>
                    <w:t>排放规律</w:t>
                  </w:r>
                </w:p>
              </w:tc>
              <w:tc>
                <w:tcPr>
                  <w:tcW w:w="296" w:type="pct"/>
                  <w:vMerge w:val="restart"/>
                  <w:tcBorders>
                    <w:left w:val="single" w:color="000000" w:sz="4" w:space="0"/>
                    <w:bottom w:val="nil"/>
                    <w:right w:val="single" w:color="000000" w:sz="4" w:space="0"/>
                  </w:tcBorders>
                  <w:vAlign w:val="center"/>
                </w:tcPr>
                <w:p w14:paraId="0556D0D5">
                  <w:pPr>
                    <w:pStyle w:val="57"/>
                    <w:rPr>
                      <w:rFonts w:ascii="Calibri" w:hAnsi="Calibri"/>
                      <w:b/>
                      <w:bCs w:val="0"/>
                      <w:color w:val="auto"/>
                      <w:lang w:eastAsia="en-US"/>
                    </w:rPr>
                  </w:pPr>
                  <w:r>
                    <w:rPr>
                      <w:rFonts w:ascii="Calibri" w:hAnsi="Calibri"/>
                      <w:b/>
                      <w:bCs w:val="0"/>
                      <w:color w:val="auto"/>
                      <w:lang w:eastAsia="en-US"/>
                    </w:rPr>
                    <w:t>间歇排放时段</w:t>
                  </w:r>
                </w:p>
              </w:tc>
              <w:tc>
                <w:tcPr>
                  <w:tcW w:w="1777" w:type="pct"/>
                  <w:gridSpan w:val="3"/>
                  <w:vMerge w:val="restart"/>
                  <w:tcBorders>
                    <w:left w:val="single" w:color="000000" w:sz="4" w:space="0"/>
                    <w:bottom w:val="nil"/>
                    <w:right w:val="single" w:color="000000" w:sz="4" w:space="0"/>
                  </w:tcBorders>
                  <w:vAlign w:val="center"/>
                </w:tcPr>
                <w:p w14:paraId="3EA4B5EC">
                  <w:pPr>
                    <w:pStyle w:val="57"/>
                    <w:rPr>
                      <w:rFonts w:ascii="Calibri" w:hAnsi="Calibri"/>
                      <w:b/>
                      <w:bCs w:val="0"/>
                      <w:color w:val="auto"/>
                      <w:lang w:eastAsia="en-US"/>
                    </w:rPr>
                  </w:pPr>
                  <w:r>
                    <w:rPr>
                      <w:rFonts w:ascii="Calibri" w:hAnsi="Calibri"/>
                      <w:b/>
                      <w:bCs w:val="0"/>
                      <w:color w:val="auto"/>
                      <w:lang w:eastAsia="en-US"/>
                    </w:rPr>
                    <w:t>受纳污水处理厂信息</w:t>
                  </w:r>
                </w:p>
              </w:tc>
            </w:tr>
            <w:tr w14:paraId="191D1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5" w:type="pct"/>
                  <w:vMerge w:val="continue"/>
                  <w:tcBorders>
                    <w:top w:val="nil"/>
                    <w:bottom w:val="nil"/>
                    <w:right w:val="single" w:color="000000" w:sz="4" w:space="0"/>
                  </w:tcBorders>
                  <w:textDirection w:val="tbRlV"/>
                  <w:vAlign w:val="center"/>
                </w:tcPr>
                <w:p w14:paraId="37C5A96F">
                  <w:pPr>
                    <w:pStyle w:val="57"/>
                    <w:rPr>
                      <w:rFonts w:ascii="Calibri" w:hAnsi="Calibri"/>
                      <w:b/>
                      <w:bCs w:val="0"/>
                      <w:color w:val="auto"/>
                      <w:lang w:eastAsia="en-US"/>
                    </w:rPr>
                  </w:pPr>
                </w:p>
              </w:tc>
              <w:tc>
                <w:tcPr>
                  <w:tcW w:w="272" w:type="pct"/>
                  <w:vMerge w:val="continue"/>
                  <w:tcBorders>
                    <w:top w:val="nil"/>
                    <w:left w:val="single" w:color="000000" w:sz="4" w:space="0"/>
                    <w:bottom w:val="nil"/>
                    <w:right w:val="single" w:color="000000" w:sz="4" w:space="0"/>
                  </w:tcBorders>
                  <w:vAlign w:val="center"/>
                </w:tcPr>
                <w:p w14:paraId="77196E3C">
                  <w:pPr>
                    <w:pStyle w:val="57"/>
                    <w:rPr>
                      <w:rFonts w:ascii="Calibri" w:hAnsi="Calibri"/>
                      <w:b/>
                      <w:bCs w:val="0"/>
                      <w:color w:val="auto"/>
                      <w:lang w:eastAsia="en-US"/>
                    </w:rPr>
                  </w:pPr>
                </w:p>
              </w:tc>
              <w:tc>
                <w:tcPr>
                  <w:tcW w:w="498" w:type="pct"/>
                  <w:vMerge w:val="restart"/>
                  <w:tcBorders>
                    <w:left w:val="single" w:color="000000" w:sz="4" w:space="0"/>
                    <w:bottom w:val="nil"/>
                    <w:right w:val="single" w:color="000000" w:sz="4" w:space="0"/>
                  </w:tcBorders>
                  <w:vAlign w:val="center"/>
                </w:tcPr>
                <w:p w14:paraId="6802D68A">
                  <w:pPr>
                    <w:pStyle w:val="57"/>
                    <w:rPr>
                      <w:rFonts w:ascii="Calibri" w:hAnsi="Calibri"/>
                      <w:b/>
                      <w:bCs w:val="0"/>
                      <w:color w:val="auto"/>
                      <w:lang w:eastAsia="en-US"/>
                    </w:rPr>
                  </w:pPr>
                  <w:r>
                    <w:rPr>
                      <w:rFonts w:ascii="Calibri" w:hAnsi="Calibri"/>
                      <w:b/>
                      <w:bCs w:val="0"/>
                      <w:color w:val="auto"/>
                      <w:lang w:eastAsia="en-US"/>
                    </w:rPr>
                    <w:t>经度</w:t>
                  </w:r>
                </w:p>
              </w:tc>
              <w:tc>
                <w:tcPr>
                  <w:tcW w:w="453" w:type="pct"/>
                  <w:vMerge w:val="restart"/>
                  <w:tcBorders>
                    <w:left w:val="single" w:color="000000" w:sz="4" w:space="0"/>
                    <w:bottom w:val="nil"/>
                    <w:right w:val="single" w:color="000000" w:sz="4" w:space="0"/>
                  </w:tcBorders>
                  <w:vAlign w:val="center"/>
                </w:tcPr>
                <w:p w14:paraId="43FFD570">
                  <w:pPr>
                    <w:pStyle w:val="57"/>
                    <w:rPr>
                      <w:rFonts w:ascii="Calibri" w:hAnsi="Calibri"/>
                      <w:b/>
                      <w:bCs w:val="0"/>
                      <w:color w:val="auto"/>
                      <w:lang w:eastAsia="en-US"/>
                    </w:rPr>
                  </w:pPr>
                  <w:r>
                    <w:rPr>
                      <w:rFonts w:ascii="Calibri" w:hAnsi="Calibri"/>
                      <w:b/>
                      <w:bCs w:val="0"/>
                      <w:color w:val="auto"/>
                      <w:lang w:eastAsia="en-US"/>
                    </w:rPr>
                    <w:t>纬度</w:t>
                  </w:r>
                </w:p>
              </w:tc>
              <w:tc>
                <w:tcPr>
                  <w:tcW w:w="419" w:type="pct"/>
                  <w:vMerge w:val="continue"/>
                  <w:tcBorders>
                    <w:top w:val="nil"/>
                    <w:left w:val="single" w:color="000000" w:sz="4" w:space="0"/>
                    <w:bottom w:val="nil"/>
                    <w:right w:val="single" w:color="000000" w:sz="4" w:space="0"/>
                  </w:tcBorders>
                  <w:vAlign w:val="center"/>
                </w:tcPr>
                <w:p w14:paraId="05E432CC">
                  <w:pPr>
                    <w:pStyle w:val="57"/>
                    <w:rPr>
                      <w:rFonts w:ascii="Calibri" w:hAnsi="Calibri"/>
                      <w:b/>
                      <w:bCs w:val="0"/>
                      <w:color w:val="auto"/>
                      <w:lang w:eastAsia="en-US"/>
                    </w:rPr>
                  </w:pPr>
                </w:p>
              </w:tc>
              <w:tc>
                <w:tcPr>
                  <w:tcW w:w="347" w:type="pct"/>
                  <w:vMerge w:val="continue"/>
                  <w:tcBorders>
                    <w:top w:val="nil"/>
                    <w:left w:val="single" w:color="000000" w:sz="4" w:space="0"/>
                    <w:bottom w:val="nil"/>
                    <w:right w:val="single" w:color="000000" w:sz="4" w:space="0"/>
                  </w:tcBorders>
                  <w:vAlign w:val="center"/>
                </w:tcPr>
                <w:p w14:paraId="54930F0A">
                  <w:pPr>
                    <w:pStyle w:val="57"/>
                    <w:rPr>
                      <w:rFonts w:ascii="Calibri" w:hAnsi="Calibri"/>
                      <w:b/>
                      <w:bCs w:val="0"/>
                      <w:color w:val="auto"/>
                      <w:lang w:eastAsia="en-US"/>
                    </w:rPr>
                  </w:pPr>
                </w:p>
              </w:tc>
              <w:tc>
                <w:tcPr>
                  <w:tcW w:w="809" w:type="pct"/>
                  <w:vMerge w:val="continue"/>
                  <w:tcBorders>
                    <w:top w:val="nil"/>
                    <w:left w:val="single" w:color="000000" w:sz="4" w:space="0"/>
                    <w:bottom w:val="nil"/>
                    <w:right w:val="single" w:color="000000" w:sz="4" w:space="0"/>
                  </w:tcBorders>
                  <w:vAlign w:val="center"/>
                </w:tcPr>
                <w:p w14:paraId="29D3EFDF">
                  <w:pPr>
                    <w:pStyle w:val="57"/>
                    <w:rPr>
                      <w:rFonts w:ascii="Calibri" w:hAnsi="Calibri"/>
                      <w:b/>
                      <w:bCs w:val="0"/>
                      <w:color w:val="auto"/>
                      <w:lang w:eastAsia="en-US"/>
                    </w:rPr>
                  </w:pPr>
                </w:p>
              </w:tc>
              <w:tc>
                <w:tcPr>
                  <w:tcW w:w="296" w:type="pct"/>
                  <w:vMerge w:val="continue"/>
                  <w:tcBorders>
                    <w:top w:val="nil"/>
                    <w:left w:val="single" w:color="000000" w:sz="4" w:space="0"/>
                    <w:bottom w:val="nil"/>
                    <w:right w:val="single" w:color="000000" w:sz="4" w:space="0"/>
                  </w:tcBorders>
                  <w:vAlign w:val="center"/>
                </w:tcPr>
                <w:p w14:paraId="5532708E">
                  <w:pPr>
                    <w:pStyle w:val="57"/>
                    <w:rPr>
                      <w:rFonts w:ascii="Calibri" w:hAnsi="Calibri"/>
                      <w:b/>
                      <w:bCs w:val="0"/>
                      <w:color w:val="auto"/>
                      <w:lang w:eastAsia="en-US"/>
                    </w:rPr>
                  </w:pPr>
                </w:p>
              </w:tc>
              <w:tc>
                <w:tcPr>
                  <w:tcW w:w="1777" w:type="pct"/>
                  <w:gridSpan w:val="3"/>
                  <w:vMerge w:val="continue"/>
                  <w:tcBorders>
                    <w:top w:val="nil"/>
                    <w:left w:val="single" w:color="000000" w:sz="4" w:space="0"/>
                    <w:right w:val="single" w:color="000000" w:sz="10" w:space="0"/>
                  </w:tcBorders>
                  <w:vAlign w:val="center"/>
                </w:tcPr>
                <w:p w14:paraId="2F3A15C1">
                  <w:pPr>
                    <w:pStyle w:val="57"/>
                    <w:rPr>
                      <w:rFonts w:ascii="Calibri" w:hAnsi="Calibri"/>
                      <w:b/>
                      <w:bCs w:val="0"/>
                      <w:color w:val="auto"/>
                      <w:lang w:eastAsia="en-US"/>
                    </w:rPr>
                  </w:pPr>
                </w:p>
              </w:tc>
            </w:tr>
            <w:tr w14:paraId="3E6B4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continue"/>
                  <w:tcBorders>
                    <w:top w:val="nil"/>
                    <w:right w:val="single" w:color="000000" w:sz="4" w:space="0"/>
                  </w:tcBorders>
                  <w:textDirection w:val="tbRlV"/>
                  <w:vAlign w:val="center"/>
                </w:tcPr>
                <w:p w14:paraId="5A7CB31F">
                  <w:pPr>
                    <w:pStyle w:val="57"/>
                    <w:rPr>
                      <w:rFonts w:ascii="Calibri" w:hAnsi="Calibri"/>
                      <w:b/>
                      <w:bCs w:val="0"/>
                      <w:color w:val="auto"/>
                      <w:lang w:eastAsia="en-US"/>
                    </w:rPr>
                  </w:pPr>
                </w:p>
              </w:tc>
              <w:tc>
                <w:tcPr>
                  <w:tcW w:w="272" w:type="pct"/>
                  <w:vMerge w:val="continue"/>
                  <w:tcBorders>
                    <w:top w:val="nil"/>
                    <w:left w:val="single" w:color="000000" w:sz="4" w:space="0"/>
                    <w:right w:val="single" w:color="000000" w:sz="4" w:space="0"/>
                  </w:tcBorders>
                  <w:vAlign w:val="center"/>
                </w:tcPr>
                <w:p w14:paraId="646E55D2">
                  <w:pPr>
                    <w:pStyle w:val="57"/>
                    <w:rPr>
                      <w:rFonts w:ascii="Calibri" w:hAnsi="Calibri"/>
                      <w:b/>
                      <w:bCs w:val="0"/>
                      <w:color w:val="auto"/>
                      <w:lang w:eastAsia="en-US"/>
                    </w:rPr>
                  </w:pPr>
                </w:p>
              </w:tc>
              <w:tc>
                <w:tcPr>
                  <w:tcW w:w="498" w:type="pct"/>
                  <w:vMerge w:val="continue"/>
                  <w:tcBorders>
                    <w:top w:val="nil"/>
                    <w:left w:val="single" w:color="000000" w:sz="4" w:space="0"/>
                    <w:right w:val="single" w:color="000000" w:sz="4" w:space="0"/>
                  </w:tcBorders>
                  <w:vAlign w:val="center"/>
                </w:tcPr>
                <w:p w14:paraId="6DF029FA">
                  <w:pPr>
                    <w:pStyle w:val="57"/>
                    <w:rPr>
                      <w:rFonts w:ascii="Calibri" w:hAnsi="Calibri"/>
                      <w:b/>
                      <w:bCs w:val="0"/>
                      <w:color w:val="auto"/>
                      <w:lang w:eastAsia="en-US"/>
                    </w:rPr>
                  </w:pPr>
                </w:p>
              </w:tc>
              <w:tc>
                <w:tcPr>
                  <w:tcW w:w="453" w:type="pct"/>
                  <w:vMerge w:val="continue"/>
                  <w:tcBorders>
                    <w:top w:val="nil"/>
                    <w:left w:val="single" w:color="000000" w:sz="4" w:space="0"/>
                    <w:right w:val="single" w:color="000000" w:sz="4" w:space="0"/>
                  </w:tcBorders>
                  <w:vAlign w:val="center"/>
                </w:tcPr>
                <w:p w14:paraId="4083727E">
                  <w:pPr>
                    <w:pStyle w:val="57"/>
                    <w:rPr>
                      <w:rFonts w:ascii="Calibri" w:hAnsi="Calibri"/>
                      <w:b/>
                      <w:bCs w:val="0"/>
                      <w:color w:val="auto"/>
                      <w:lang w:eastAsia="en-US"/>
                    </w:rPr>
                  </w:pPr>
                </w:p>
              </w:tc>
              <w:tc>
                <w:tcPr>
                  <w:tcW w:w="419" w:type="pct"/>
                  <w:vMerge w:val="continue"/>
                  <w:tcBorders>
                    <w:top w:val="nil"/>
                    <w:left w:val="single" w:color="000000" w:sz="4" w:space="0"/>
                    <w:right w:val="single" w:color="000000" w:sz="4" w:space="0"/>
                  </w:tcBorders>
                  <w:vAlign w:val="center"/>
                </w:tcPr>
                <w:p w14:paraId="4E4BBCBD">
                  <w:pPr>
                    <w:pStyle w:val="57"/>
                    <w:rPr>
                      <w:rFonts w:ascii="Calibri" w:hAnsi="Calibri"/>
                      <w:b/>
                      <w:bCs w:val="0"/>
                      <w:color w:val="auto"/>
                      <w:lang w:eastAsia="en-US"/>
                    </w:rPr>
                  </w:pPr>
                </w:p>
              </w:tc>
              <w:tc>
                <w:tcPr>
                  <w:tcW w:w="347" w:type="pct"/>
                  <w:vMerge w:val="continue"/>
                  <w:tcBorders>
                    <w:top w:val="nil"/>
                    <w:left w:val="single" w:color="000000" w:sz="4" w:space="0"/>
                    <w:right w:val="single" w:color="000000" w:sz="4" w:space="0"/>
                  </w:tcBorders>
                  <w:vAlign w:val="center"/>
                </w:tcPr>
                <w:p w14:paraId="1636B6EA">
                  <w:pPr>
                    <w:pStyle w:val="57"/>
                    <w:rPr>
                      <w:rFonts w:ascii="Calibri" w:hAnsi="Calibri"/>
                      <w:b/>
                      <w:bCs w:val="0"/>
                      <w:color w:val="auto"/>
                      <w:lang w:eastAsia="en-US"/>
                    </w:rPr>
                  </w:pPr>
                </w:p>
              </w:tc>
              <w:tc>
                <w:tcPr>
                  <w:tcW w:w="809" w:type="pct"/>
                  <w:vMerge w:val="continue"/>
                  <w:tcBorders>
                    <w:top w:val="nil"/>
                    <w:left w:val="single" w:color="000000" w:sz="4" w:space="0"/>
                    <w:right w:val="single" w:color="000000" w:sz="4" w:space="0"/>
                  </w:tcBorders>
                  <w:vAlign w:val="center"/>
                </w:tcPr>
                <w:p w14:paraId="2B5D8DFE">
                  <w:pPr>
                    <w:pStyle w:val="57"/>
                    <w:rPr>
                      <w:rFonts w:ascii="Calibri" w:hAnsi="Calibri"/>
                      <w:b/>
                      <w:bCs w:val="0"/>
                      <w:color w:val="auto"/>
                      <w:lang w:eastAsia="en-US"/>
                    </w:rPr>
                  </w:pPr>
                </w:p>
              </w:tc>
              <w:tc>
                <w:tcPr>
                  <w:tcW w:w="296" w:type="pct"/>
                  <w:vMerge w:val="continue"/>
                  <w:tcBorders>
                    <w:top w:val="nil"/>
                    <w:left w:val="single" w:color="000000" w:sz="4" w:space="0"/>
                    <w:right w:val="single" w:color="000000" w:sz="4" w:space="0"/>
                  </w:tcBorders>
                  <w:vAlign w:val="center"/>
                </w:tcPr>
                <w:p w14:paraId="4B651A82">
                  <w:pPr>
                    <w:pStyle w:val="57"/>
                    <w:rPr>
                      <w:rFonts w:ascii="Calibri" w:hAnsi="Calibri"/>
                      <w:b/>
                      <w:bCs w:val="0"/>
                      <w:color w:val="auto"/>
                      <w:lang w:eastAsia="en-US"/>
                    </w:rPr>
                  </w:pPr>
                </w:p>
              </w:tc>
              <w:tc>
                <w:tcPr>
                  <w:tcW w:w="418" w:type="pct"/>
                  <w:tcBorders>
                    <w:left w:val="single" w:color="000000" w:sz="4" w:space="0"/>
                    <w:right w:val="single" w:color="000000" w:sz="4" w:space="0"/>
                  </w:tcBorders>
                  <w:vAlign w:val="center"/>
                </w:tcPr>
                <w:p w14:paraId="64782176">
                  <w:pPr>
                    <w:pStyle w:val="57"/>
                    <w:rPr>
                      <w:rFonts w:ascii="Calibri" w:hAnsi="Calibri"/>
                      <w:b/>
                      <w:bCs w:val="0"/>
                      <w:color w:val="auto"/>
                      <w:lang w:eastAsia="en-US"/>
                    </w:rPr>
                  </w:pPr>
                  <w:r>
                    <w:rPr>
                      <w:rFonts w:ascii="Calibri" w:hAnsi="Calibri"/>
                      <w:b/>
                      <w:bCs w:val="0"/>
                      <w:color w:val="auto"/>
                      <w:lang w:eastAsia="en-US"/>
                    </w:rPr>
                    <w:t>名称</w:t>
                  </w:r>
                </w:p>
              </w:tc>
              <w:tc>
                <w:tcPr>
                  <w:tcW w:w="495" w:type="pct"/>
                  <w:tcBorders>
                    <w:left w:val="single" w:color="000000" w:sz="4" w:space="0"/>
                    <w:right w:val="single" w:color="000000" w:sz="4" w:space="0"/>
                  </w:tcBorders>
                  <w:vAlign w:val="center"/>
                </w:tcPr>
                <w:p w14:paraId="2F0B79B5">
                  <w:pPr>
                    <w:pStyle w:val="57"/>
                    <w:rPr>
                      <w:rFonts w:ascii="Calibri" w:hAnsi="Calibri"/>
                      <w:b/>
                      <w:bCs w:val="0"/>
                      <w:color w:val="auto"/>
                      <w:lang w:eastAsia="en-US"/>
                    </w:rPr>
                  </w:pPr>
                  <w:r>
                    <w:rPr>
                      <w:rFonts w:ascii="Calibri" w:hAnsi="Calibri"/>
                      <w:b/>
                      <w:bCs w:val="0"/>
                      <w:color w:val="auto"/>
                      <w:lang w:eastAsia="en-US"/>
                    </w:rPr>
                    <w:t>污染物种类</w:t>
                  </w:r>
                </w:p>
              </w:tc>
              <w:tc>
                <w:tcPr>
                  <w:tcW w:w="864" w:type="pct"/>
                  <w:tcBorders>
                    <w:left w:val="single" w:color="000000" w:sz="4" w:space="0"/>
                    <w:right w:val="single" w:color="000000" w:sz="10" w:space="0"/>
                  </w:tcBorders>
                  <w:vAlign w:val="center"/>
                </w:tcPr>
                <w:p w14:paraId="5D35676A">
                  <w:pPr>
                    <w:pStyle w:val="57"/>
                    <w:rPr>
                      <w:rFonts w:ascii="Calibri" w:hAnsi="Calibri"/>
                      <w:b/>
                      <w:bCs w:val="0"/>
                      <w:color w:val="auto"/>
                      <w:lang w:eastAsia="en-US"/>
                    </w:rPr>
                  </w:pPr>
                  <w:r>
                    <w:rPr>
                      <w:rFonts w:ascii="Calibri" w:hAnsi="Calibri"/>
                      <w:b/>
                      <w:bCs w:val="0"/>
                      <w:color w:val="auto"/>
                      <w:lang w:eastAsia="en-US"/>
                    </w:rPr>
                    <w:t>国家或地方污染物排放标准浓度限值(mg/L)</w:t>
                  </w:r>
                </w:p>
              </w:tc>
            </w:tr>
            <w:tr w14:paraId="42937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restart"/>
                  <w:tcBorders>
                    <w:right w:val="single" w:color="000000" w:sz="4" w:space="0"/>
                  </w:tcBorders>
                  <w:vAlign w:val="center"/>
                </w:tcPr>
                <w:p w14:paraId="7E29695B">
                  <w:pPr>
                    <w:pStyle w:val="57"/>
                    <w:rPr>
                      <w:rFonts w:ascii="Calibri" w:hAnsi="Calibri"/>
                      <w:color w:val="auto"/>
                      <w:lang w:eastAsia="en-US"/>
                    </w:rPr>
                  </w:pPr>
                  <w:r>
                    <w:rPr>
                      <w:rFonts w:ascii="Calibri" w:hAnsi="Calibri"/>
                      <w:color w:val="auto"/>
                      <w:lang w:eastAsia="en-US"/>
                    </w:rPr>
                    <w:t>1</w:t>
                  </w:r>
                </w:p>
              </w:tc>
              <w:tc>
                <w:tcPr>
                  <w:tcW w:w="272" w:type="pct"/>
                  <w:vMerge w:val="restart"/>
                  <w:tcBorders>
                    <w:left w:val="single" w:color="000000" w:sz="4" w:space="0"/>
                    <w:right w:val="single" w:color="000000" w:sz="4" w:space="0"/>
                  </w:tcBorders>
                  <w:vAlign w:val="center"/>
                </w:tcPr>
                <w:p w14:paraId="47A3A1DE">
                  <w:pPr>
                    <w:pStyle w:val="57"/>
                    <w:rPr>
                      <w:rFonts w:ascii="Calibri" w:hAnsi="Calibri"/>
                      <w:color w:val="auto"/>
                      <w:lang w:eastAsia="en-US"/>
                    </w:rPr>
                  </w:pPr>
                  <w:r>
                    <w:rPr>
                      <w:rFonts w:ascii="Calibri" w:hAnsi="Calibri"/>
                      <w:color w:val="auto"/>
                      <w:lang w:eastAsia="en-US"/>
                    </w:rPr>
                    <w:t>DW001</w:t>
                  </w:r>
                </w:p>
              </w:tc>
              <w:tc>
                <w:tcPr>
                  <w:tcW w:w="498" w:type="pct"/>
                  <w:vMerge w:val="restart"/>
                  <w:tcBorders>
                    <w:left w:val="single" w:color="000000" w:sz="4" w:space="0"/>
                    <w:right w:val="single" w:color="000000" w:sz="4" w:space="0"/>
                  </w:tcBorders>
                  <w:vAlign w:val="center"/>
                </w:tcPr>
                <w:p w14:paraId="1DB9D17F">
                  <w:pPr>
                    <w:pStyle w:val="57"/>
                    <w:rPr>
                      <w:rFonts w:ascii="Calibri" w:hAnsi="Calibri"/>
                      <w:color w:val="auto"/>
                      <w:lang w:eastAsia="en-US"/>
                    </w:rPr>
                  </w:pPr>
                  <w:r>
                    <w:rPr>
                      <w:rFonts w:ascii="Calibri" w:hAnsi="Calibri"/>
                      <w:color w:val="auto"/>
                      <w:lang w:eastAsia="en-US"/>
                    </w:rPr>
                    <w:t>116.97184217</w:t>
                  </w:r>
                </w:p>
              </w:tc>
              <w:tc>
                <w:tcPr>
                  <w:tcW w:w="453" w:type="pct"/>
                  <w:vMerge w:val="restart"/>
                  <w:tcBorders>
                    <w:left w:val="single" w:color="000000" w:sz="4" w:space="0"/>
                    <w:right w:val="single" w:color="000000" w:sz="4" w:space="0"/>
                  </w:tcBorders>
                  <w:vAlign w:val="center"/>
                </w:tcPr>
                <w:p w14:paraId="56ED236E">
                  <w:pPr>
                    <w:pStyle w:val="57"/>
                    <w:rPr>
                      <w:rFonts w:ascii="Calibri" w:hAnsi="Calibri"/>
                      <w:color w:val="auto"/>
                      <w:lang w:eastAsia="en-US"/>
                    </w:rPr>
                  </w:pPr>
                  <w:r>
                    <w:rPr>
                      <w:rFonts w:ascii="Calibri" w:hAnsi="Calibri"/>
                      <w:color w:val="auto"/>
                      <w:lang w:eastAsia="en-US"/>
                    </w:rPr>
                    <w:t>33.57408782</w:t>
                  </w:r>
                </w:p>
              </w:tc>
              <w:tc>
                <w:tcPr>
                  <w:tcW w:w="419" w:type="pct"/>
                  <w:vMerge w:val="restart"/>
                  <w:tcBorders>
                    <w:left w:val="single" w:color="000000" w:sz="4" w:space="0"/>
                    <w:right w:val="single" w:color="000000" w:sz="4" w:space="0"/>
                  </w:tcBorders>
                  <w:vAlign w:val="center"/>
                </w:tcPr>
                <w:p w14:paraId="6956689F">
                  <w:pPr>
                    <w:pStyle w:val="57"/>
                    <w:rPr>
                      <w:rFonts w:ascii="Calibri" w:hAnsi="Calibri"/>
                      <w:color w:val="auto"/>
                      <w:lang w:eastAsia="en-US"/>
                    </w:rPr>
                  </w:pPr>
                  <w:r>
                    <w:rPr>
                      <w:rFonts w:hint="eastAsia" w:ascii="Calibri" w:hAnsi="Calibri"/>
                      <w:color w:val="auto"/>
                      <w:lang w:eastAsia="en-US"/>
                    </w:rPr>
                    <w:t>0.152</w:t>
                  </w:r>
                </w:p>
              </w:tc>
              <w:tc>
                <w:tcPr>
                  <w:tcW w:w="347" w:type="pct"/>
                  <w:vMerge w:val="restart"/>
                  <w:tcBorders>
                    <w:left w:val="single" w:color="000000" w:sz="4" w:space="0"/>
                    <w:right w:val="single" w:color="000000" w:sz="4" w:space="0"/>
                  </w:tcBorders>
                  <w:vAlign w:val="center"/>
                </w:tcPr>
                <w:p w14:paraId="6758CB85">
                  <w:pPr>
                    <w:pStyle w:val="57"/>
                    <w:rPr>
                      <w:rFonts w:ascii="Calibri" w:hAnsi="Calibri"/>
                      <w:color w:val="auto"/>
                      <w:lang w:eastAsia="en-US"/>
                    </w:rPr>
                  </w:pPr>
                  <w:r>
                    <w:rPr>
                      <w:rFonts w:ascii="Calibri" w:hAnsi="Calibri"/>
                      <w:color w:val="auto"/>
                      <w:lang w:eastAsia="en-US"/>
                    </w:rPr>
                    <w:t>进入城市污水处理厂</w:t>
                  </w:r>
                </w:p>
              </w:tc>
              <w:tc>
                <w:tcPr>
                  <w:tcW w:w="809" w:type="pct"/>
                  <w:vMerge w:val="restart"/>
                  <w:tcBorders>
                    <w:left w:val="single" w:color="000000" w:sz="4" w:space="0"/>
                    <w:right w:val="single" w:color="000000" w:sz="4" w:space="0"/>
                  </w:tcBorders>
                  <w:vAlign w:val="center"/>
                </w:tcPr>
                <w:p w14:paraId="2ACF752A">
                  <w:pPr>
                    <w:pStyle w:val="57"/>
                    <w:rPr>
                      <w:rFonts w:ascii="Calibri" w:hAnsi="Calibri"/>
                      <w:color w:val="auto"/>
                      <w:lang w:eastAsia="en-US"/>
                    </w:rPr>
                  </w:pPr>
                  <w:r>
                    <w:rPr>
                      <w:rFonts w:ascii="Calibri" w:hAnsi="Calibri"/>
                      <w:color w:val="auto"/>
                      <w:lang w:eastAsia="en-US"/>
                    </w:rPr>
                    <w:t>间断排放，排放期间流量不稳定且无规律，但不属于冲击型排放</w:t>
                  </w:r>
                </w:p>
              </w:tc>
              <w:tc>
                <w:tcPr>
                  <w:tcW w:w="296" w:type="pct"/>
                  <w:vMerge w:val="restart"/>
                  <w:tcBorders>
                    <w:left w:val="single" w:color="000000" w:sz="4" w:space="0"/>
                    <w:right w:val="single" w:color="000000" w:sz="4" w:space="0"/>
                  </w:tcBorders>
                  <w:vAlign w:val="center"/>
                </w:tcPr>
                <w:p w14:paraId="7E992002">
                  <w:pPr>
                    <w:pStyle w:val="57"/>
                    <w:rPr>
                      <w:rFonts w:ascii="Calibri" w:hAnsi="Calibri"/>
                      <w:color w:val="auto"/>
                      <w:lang w:eastAsia="en-US"/>
                    </w:rPr>
                  </w:pPr>
                  <w:r>
                    <w:rPr>
                      <w:rFonts w:ascii="Calibri" w:hAnsi="Calibri"/>
                      <w:color w:val="auto"/>
                      <w:lang w:eastAsia="en-US"/>
                    </w:rPr>
                    <w:t>/</w:t>
                  </w:r>
                </w:p>
              </w:tc>
              <w:tc>
                <w:tcPr>
                  <w:tcW w:w="418" w:type="pct"/>
                  <w:vMerge w:val="restart"/>
                  <w:tcBorders>
                    <w:left w:val="single" w:color="000000" w:sz="4" w:space="0"/>
                    <w:right w:val="single" w:color="000000" w:sz="4" w:space="0"/>
                  </w:tcBorders>
                  <w:vAlign w:val="center"/>
                </w:tcPr>
                <w:p w14:paraId="598AAE56">
                  <w:pPr>
                    <w:pStyle w:val="57"/>
                    <w:rPr>
                      <w:rFonts w:ascii="Calibri" w:hAnsi="Calibri"/>
                      <w:color w:val="auto"/>
                      <w:lang w:eastAsia="en-US"/>
                    </w:rPr>
                  </w:pPr>
                  <w:r>
                    <w:rPr>
                      <w:rFonts w:hint="eastAsia" w:ascii="Calibri" w:hAnsi="Calibri"/>
                      <w:color w:val="auto"/>
                      <w:lang w:eastAsia="en-US"/>
                    </w:rPr>
                    <w:t>城南污水处理厂</w:t>
                  </w:r>
                </w:p>
              </w:tc>
              <w:tc>
                <w:tcPr>
                  <w:tcW w:w="495" w:type="pct"/>
                  <w:tcBorders>
                    <w:left w:val="single" w:color="000000" w:sz="4" w:space="0"/>
                    <w:right w:val="single" w:color="000000" w:sz="4" w:space="0"/>
                  </w:tcBorders>
                  <w:vAlign w:val="center"/>
                </w:tcPr>
                <w:p w14:paraId="52B07717">
                  <w:pPr>
                    <w:pStyle w:val="57"/>
                    <w:rPr>
                      <w:rFonts w:ascii="Calibri" w:hAnsi="Calibri"/>
                      <w:color w:val="auto"/>
                      <w:lang w:eastAsia="en-US"/>
                    </w:rPr>
                  </w:pPr>
                  <w:r>
                    <w:rPr>
                      <w:rFonts w:ascii="Calibri" w:hAnsi="Calibri"/>
                      <w:color w:val="auto"/>
                      <w:lang w:eastAsia="en-US"/>
                    </w:rPr>
                    <w:t>pH</w:t>
                  </w:r>
                </w:p>
              </w:tc>
              <w:tc>
                <w:tcPr>
                  <w:tcW w:w="864" w:type="pct"/>
                  <w:tcBorders>
                    <w:left w:val="single" w:color="000000" w:sz="4" w:space="0"/>
                    <w:right w:val="single" w:color="000000" w:sz="10" w:space="0"/>
                  </w:tcBorders>
                  <w:vAlign w:val="center"/>
                </w:tcPr>
                <w:p w14:paraId="67624F50">
                  <w:pPr>
                    <w:pStyle w:val="57"/>
                    <w:rPr>
                      <w:rFonts w:ascii="Calibri" w:hAnsi="Calibri"/>
                      <w:color w:val="auto"/>
                      <w:lang w:eastAsia="en-US"/>
                    </w:rPr>
                  </w:pPr>
                  <w:r>
                    <w:rPr>
                      <w:rFonts w:ascii="Calibri" w:hAnsi="Calibri"/>
                      <w:color w:val="auto"/>
                      <w:lang w:eastAsia="en-US"/>
                    </w:rPr>
                    <w:t>6.0~9.0(无量纲)</w:t>
                  </w:r>
                </w:p>
              </w:tc>
            </w:tr>
            <w:tr w14:paraId="57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continue"/>
                  <w:tcBorders>
                    <w:right w:val="single" w:color="000000" w:sz="4" w:space="0"/>
                  </w:tcBorders>
                  <w:vAlign w:val="center"/>
                </w:tcPr>
                <w:p w14:paraId="21C70067">
                  <w:pPr>
                    <w:pStyle w:val="57"/>
                    <w:rPr>
                      <w:rFonts w:ascii="Calibri" w:hAnsi="Calibri"/>
                      <w:color w:val="auto"/>
                      <w:lang w:eastAsia="en-US"/>
                    </w:rPr>
                  </w:pPr>
                </w:p>
              </w:tc>
              <w:tc>
                <w:tcPr>
                  <w:tcW w:w="272" w:type="pct"/>
                  <w:vMerge w:val="continue"/>
                  <w:tcBorders>
                    <w:left w:val="single" w:color="000000" w:sz="4" w:space="0"/>
                    <w:right w:val="single" w:color="000000" w:sz="4" w:space="0"/>
                  </w:tcBorders>
                  <w:vAlign w:val="center"/>
                </w:tcPr>
                <w:p w14:paraId="52AA1A20">
                  <w:pPr>
                    <w:pStyle w:val="57"/>
                    <w:rPr>
                      <w:rFonts w:ascii="Calibri" w:hAnsi="Calibri"/>
                      <w:color w:val="auto"/>
                      <w:lang w:eastAsia="en-US"/>
                    </w:rPr>
                  </w:pPr>
                </w:p>
              </w:tc>
              <w:tc>
                <w:tcPr>
                  <w:tcW w:w="498" w:type="pct"/>
                  <w:vMerge w:val="continue"/>
                  <w:tcBorders>
                    <w:left w:val="single" w:color="000000" w:sz="4" w:space="0"/>
                    <w:right w:val="single" w:color="000000" w:sz="4" w:space="0"/>
                  </w:tcBorders>
                  <w:vAlign w:val="center"/>
                </w:tcPr>
                <w:p w14:paraId="2C2295DA">
                  <w:pPr>
                    <w:pStyle w:val="57"/>
                    <w:rPr>
                      <w:rFonts w:ascii="Calibri" w:hAnsi="Calibri"/>
                      <w:color w:val="auto"/>
                      <w:lang w:eastAsia="en-US"/>
                    </w:rPr>
                  </w:pPr>
                </w:p>
              </w:tc>
              <w:tc>
                <w:tcPr>
                  <w:tcW w:w="453" w:type="pct"/>
                  <w:vMerge w:val="continue"/>
                  <w:tcBorders>
                    <w:left w:val="single" w:color="000000" w:sz="4" w:space="0"/>
                    <w:right w:val="single" w:color="000000" w:sz="4" w:space="0"/>
                  </w:tcBorders>
                  <w:vAlign w:val="center"/>
                </w:tcPr>
                <w:p w14:paraId="638910AF">
                  <w:pPr>
                    <w:pStyle w:val="57"/>
                    <w:rPr>
                      <w:rFonts w:ascii="Calibri" w:hAnsi="Calibri"/>
                      <w:color w:val="auto"/>
                      <w:lang w:eastAsia="en-US"/>
                    </w:rPr>
                  </w:pPr>
                </w:p>
              </w:tc>
              <w:tc>
                <w:tcPr>
                  <w:tcW w:w="419" w:type="pct"/>
                  <w:vMerge w:val="continue"/>
                  <w:tcBorders>
                    <w:left w:val="single" w:color="000000" w:sz="4" w:space="0"/>
                    <w:right w:val="single" w:color="000000" w:sz="4" w:space="0"/>
                  </w:tcBorders>
                  <w:vAlign w:val="center"/>
                </w:tcPr>
                <w:p w14:paraId="10B11137">
                  <w:pPr>
                    <w:pStyle w:val="57"/>
                    <w:rPr>
                      <w:rFonts w:ascii="Calibri" w:hAnsi="Calibri"/>
                      <w:color w:val="auto"/>
                      <w:lang w:eastAsia="en-US"/>
                    </w:rPr>
                  </w:pPr>
                </w:p>
              </w:tc>
              <w:tc>
                <w:tcPr>
                  <w:tcW w:w="347" w:type="pct"/>
                  <w:vMerge w:val="continue"/>
                  <w:tcBorders>
                    <w:left w:val="single" w:color="000000" w:sz="4" w:space="0"/>
                    <w:right w:val="single" w:color="000000" w:sz="4" w:space="0"/>
                  </w:tcBorders>
                  <w:vAlign w:val="center"/>
                </w:tcPr>
                <w:p w14:paraId="6A66EF24">
                  <w:pPr>
                    <w:pStyle w:val="57"/>
                    <w:rPr>
                      <w:rFonts w:ascii="Calibri" w:hAnsi="Calibri"/>
                      <w:color w:val="auto"/>
                      <w:lang w:eastAsia="en-US"/>
                    </w:rPr>
                  </w:pPr>
                </w:p>
              </w:tc>
              <w:tc>
                <w:tcPr>
                  <w:tcW w:w="809" w:type="pct"/>
                  <w:vMerge w:val="continue"/>
                  <w:tcBorders>
                    <w:left w:val="single" w:color="000000" w:sz="4" w:space="0"/>
                    <w:right w:val="single" w:color="000000" w:sz="4" w:space="0"/>
                  </w:tcBorders>
                  <w:vAlign w:val="center"/>
                </w:tcPr>
                <w:p w14:paraId="4C648EEB">
                  <w:pPr>
                    <w:pStyle w:val="57"/>
                    <w:rPr>
                      <w:rFonts w:ascii="Calibri" w:hAnsi="Calibri"/>
                      <w:color w:val="auto"/>
                      <w:lang w:eastAsia="en-US"/>
                    </w:rPr>
                  </w:pPr>
                </w:p>
              </w:tc>
              <w:tc>
                <w:tcPr>
                  <w:tcW w:w="296" w:type="pct"/>
                  <w:vMerge w:val="continue"/>
                  <w:tcBorders>
                    <w:left w:val="single" w:color="000000" w:sz="4" w:space="0"/>
                    <w:right w:val="single" w:color="000000" w:sz="4" w:space="0"/>
                  </w:tcBorders>
                  <w:vAlign w:val="center"/>
                </w:tcPr>
                <w:p w14:paraId="48C00AC0">
                  <w:pPr>
                    <w:pStyle w:val="57"/>
                    <w:rPr>
                      <w:rFonts w:ascii="Calibri" w:hAnsi="Calibri"/>
                      <w:color w:val="auto"/>
                      <w:lang w:eastAsia="en-US"/>
                    </w:rPr>
                  </w:pPr>
                </w:p>
              </w:tc>
              <w:tc>
                <w:tcPr>
                  <w:tcW w:w="418" w:type="pct"/>
                  <w:vMerge w:val="continue"/>
                  <w:tcBorders>
                    <w:left w:val="single" w:color="000000" w:sz="4" w:space="0"/>
                    <w:right w:val="single" w:color="000000" w:sz="4" w:space="0"/>
                  </w:tcBorders>
                  <w:vAlign w:val="center"/>
                </w:tcPr>
                <w:p w14:paraId="514EEA87">
                  <w:pPr>
                    <w:pStyle w:val="57"/>
                    <w:rPr>
                      <w:rFonts w:ascii="Calibri" w:hAnsi="Calibri"/>
                      <w:color w:val="auto"/>
                      <w:lang w:eastAsia="en-US"/>
                    </w:rPr>
                  </w:pPr>
                </w:p>
              </w:tc>
              <w:tc>
                <w:tcPr>
                  <w:tcW w:w="495" w:type="pct"/>
                  <w:tcBorders>
                    <w:left w:val="single" w:color="000000" w:sz="4" w:space="0"/>
                    <w:right w:val="single" w:color="000000" w:sz="4" w:space="0"/>
                  </w:tcBorders>
                  <w:vAlign w:val="center"/>
                </w:tcPr>
                <w:p w14:paraId="5116FE5B">
                  <w:pPr>
                    <w:pStyle w:val="57"/>
                    <w:rPr>
                      <w:rFonts w:ascii="Calibri" w:hAnsi="Calibri"/>
                      <w:color w:val="auto"/>
                      <w:lang w:eastAsia="en-US"/>
                    </w:rPr>
                  </w:pPr>
                  <w:r>
                    <w:rPr>
                      <w:rFonts w:ascii="Calibri" w:hAnsi="Calibri"/>
                      <w:color w:val="auto"/>
                      <w:lang w:eastAsia="en-US"/>
                    </w:rPr>
                    <w:t>COD</w:t>
                  </w:r>
                </w:p>
              </w:tc>
              <w:tc>
                <w:tcPr>
                  <w:tcW w:w="864" w:type="pct"/>
                  <w:tcBorders>
                    <w:left w:val="single" w:color="000000" w:sz="4" w:space="0"/>
                    <w:right w:val="single" w:color="000000" w:sz="10" w:space="0"/>
                  </w:tcBorders>
                  <w:vAlign w:val="center"/>
                </w:tcPr>
                <w:p w14:paraId="6A1A848A">
                  <w:pPr>
                    <w:pStyle w:val="57"/>
                    <w:rPr>
                      <w:rFonts w:ascii="Calibri" w:hAnsi="Calibri"/>
                      <w:color w:val="auto"/>
                      <w:lang w:eastAsia="en-US"/>
                    </w:rPr>
                  </w:pPr>
                  <w:r>
                    <w:rPr>
                      <w:rFonts w:ascii="Calibri" w:hAnsi="Calibri"/>
                      <w:color w:val="auto"/>
                      <w:lang w:eastAsia="en-US"/>
                    </w:rPr>
                    <w:t>50</w:t>
                  </w:r>
                </w:p>
              </w:tc>
            </w:tr>
            <w:tr w14:paraId="627A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continue"/>
                  <w:tcBorders>
                    <w:right w:val="single" w:color="000000" w:sz="4" w:space="0"/>
                  </w:tcBorders>
                  <w:vAlign w:val="center"/>
                </w:tcPr>
                <w:p w14:paraId="4AA333E9">
                  <w:pPr>
                    <w:pStyle w:val="57"/>
                    <w:rPr>
                      <w:rFonts w:ascii="Calibri" w:hAnsi="Calibri"/>
                      <w:color w:val="auto"/>
                      <w:lang w:eastAsia="en-US"/>
                    </w:rPr>
                  </w:pPr>
                </w:p>
              </w:tc>
              <w:tc>
                <w:tcPr>
                  <w:tcW w:w="272" w:type="pct"/>
                  <w:vMerge w:val="continue"/>
                  <w:tcBorders>
                    <w:left w:val="single" w:color="000000" w:sz="4" w:space="0"/>
                    <w:right w:val="single" w:color="000000" w:sz="4" w:space="0"/>
                  </w:tcBorders>
                  <w:vAlign w:val="center"/>
                </w:tcPr>
                <w:p w14:paraId="0EC08DF4">
                  <w:pPr>
                    <w:pStyle w:val="57"/>
                    <w:rPr>
                      <w:rFonts w:ascii="Calibri" w:hAnsi="Calibri"/>
                      <w:color w:val="auto"/>
                      <w:lang w:eastAsia="en-US"/>
                    </w:rPr>
                  </w:pPr>
                </w:p>
              </w:tc>
              <w:tc>
                <w:tcPr>
                  <w:tcW w:w="498" w:type="pct"/>
                  <w:vMerge w:val="continue"/>
                  <w:tcBorders>
                    <w:left w:val="single" w:color="000000" w:sz="4" w:space="0"/>
                    <w:right w:val="single" w:color="000000" w:sz="4" w:space="0"/>
                  </w:tcBorders>
                  <w:vAlign w:val="center"/>
                </w:tcPr>
                <w:p w14:paraId="0F2B85C7">
                  <w:pPr>
                    <w:pStyle w:val="57"/>
                    <w:rPr>
                      <w:rFonts w:ascii="Calibri" w:hAnsi="Calibri"/>
                      <w:color w:val="auto"/>
                      <w:lang w:eastAsia="en-US"/>
                    </w:rPr>
                  </w:pPr>
                </w:p>
              </w:tc>
              <w:tc>
                <w:tcPr>
                  <w:tcW w:w="453" w:type="pct"/>
                  <w:vMerge w:val="continue"/>
                  <w:tcBorders>
                    <w:left w:val="single" w:color="000000" w:sz="4" w:space="0"/>
                    <w:right w:val="single" w:color="000000" w:sz="4" w:space="0"/>
                  </w:tcBorders>
                  <w:vAlign w:val="center"/>
                </w:tcPr>
                <w:p w14:paraId="00C31B3B">
                  <w:pPr>
                    <w:pStyle w:val="57"/>
                    <w:rPr>
                      <w:rFonts w:ascii="Calibri" w:hAnsi="Calibri"/>
                      <w:color w:val="auto"/>
                      <w:lang w:eastAsia="en-US"/>
                    </w:rPr>
                  </w:pPr>
                </w:p>
              </w:tc>
              <w:tc>
                <w:tcPr>
                  <w:tcW w:w="419" w:type="pct"/>
                  <w:vMerge w:val="continue"/>
                  <w:tcBorders>
                    <w:left w:val="single" w:color="000000" w:sz="4" w:space="0"/>
                    <w:right w:val="single" w:color="000000" w:sz="4" w:space="0"/>
                  </w:tcBorders>
                  <w:vAlign w:val="center"/>
                </w:tcPr>
                <w:p w14:paraId="5CEC3AF8">
                  <w:pPr>
                    <w:pStyle w:val="57"/>
                    <w:rPr>
                      <w:rFonts w:ascii="Calibri" w:hAnsi="Calibri"/>
                      <w:color w:val="auto"/>
                      <w:lang w:eastAsia="en-US"/>
                    </w:rPr>
                  </w:pPr>
                </w:p>
              </w:tc>
              <w:tc>
                <w:tcPr>
                  <w:tcW w:w="347" w:type="pct"/>
                  <w:vMerge w:val="continue"/>
                  <w:tcBorders>
                    <w:left w:val="single" w:color="000000" w:sz="4" w:space="0"/>
                    <w:right w:val="single" w:color="000000" w:sz="4" w:space="0"/>
                  </w:tcBorders>
                  <w:vAlign w:val="center"/>
                </w:tcPr>
                <w:p w14:paraId="54BDC880">
                  <w:pPr>
                    <w:pStyle w:val="57"/>
                    <w:rPr>
                      <w:rFonts w:ascii="Calibri" w:hAnsi="Calibri"/>
                      <w:color w:val="auto"/>
                      <w:lang w:eastAsia="en-US"/>
                    </w:rPr>
                  </w:pPr>
                </w:p>
              </w:tc>
              <w:tc>
                <w:tcPr>
                  <w:tcW w:w="809" w:type="pct"/>
                  <w:vMerge w:val="continue"/>
                  <w:tcBorders>
                    <w:left w:val="single" w:color="000000" w:sz="4" w:space="0"/>
                    <w:right w:val="single" w:color="000000" w:sz="4" w:space="0"/>
                  </w:tcBorders>
                  <w:vAlign w:val="center"/>
                </w:tcPr>
                <w:p w14:paraId="516EFC0D">
                  <w:pPr>
                    <w:pStyle w:val="57"/>
                    <w:rPr>
                      <w:rFonts w:ascii="Calibri" w:hAnsi="Calibri"/>
                      <w:color w:val="auto"/>
                      <w:lang w:eastAsia="en-US"/>
                    </w:rPr>
                  </w:pPr>
                </w:p>
              </w:tc>
              <w:tc>
                <w:tcPr>
                  <w:tcW w:w="296" w:type="pct"/>
                  <w:vMerge w:val="continue"/>
                  <w:tcBorders>
                    <w:left w:val="single" w:color="000000" w:sz="4" w:space="0"/>
                    <w:right w:val="single" w:color="000000" w:sz="4" w:space="0"/>
                  </w:tcBorders>
                  <w:vAlign w:val="center"/>
                </w:tcPr>
                <w:p w14:paraId="711BD7E8">
                  <w:pPr>
                    <w:pStyle w:val="57"/>
                    <w:rPr>
                      <w:rFonts w:ascii="Calibri" w:hAnsi="Calibri"/>
                      <w:color w:val="auto"/>
                      <w:lang w:eastAsia="en-US"/>
                    </w:rPr>
                  </w:pPr>
                </w:p>
              </w:tc>
              <w:tc>
                <w:tcPr>
                  <w:tcW w:w="418" w:type="pct"/>
                  <w:vMerge w:val="continue"/>
                  <w:tcBorders>
                    <w:left w:val="single" w:color="000000" w:sz="4" w:space="0"/>
                    <w:right w:val="single" w:color="000000" w:sz="4" w:space="0"/>
                  </w:tcBorders>
                  <w:vAlign w:val="center"/>
                </w:tcPr>
                <w:p w14:paraId="0C9EC766">
                  <w:pPr>
                    <w:pStyle w:val="57"/>
                    <w:rPr>
                      <w:rFonts w:ascii="Calibri" w:hAnsi="Calibri"/>
                      <w:color w:val="auto"/>
                      <w:lang w:eastAsia="en-US"/>
                    </w:rPr>
                  </w:pPr>
                </w:p>
              </w:tc>
              <w:tc>
                <w:tcPr>
                  <w:tcW w:w="495" w:type="pct"/>
                  <w:tcBorders>
                    <w:left w:val="single" w:color="000000" w:sz="4" w:space="0"/>
                    <w:right w:val="single" w:color="000000" w:sz="4" w:space="0"/>
                  </w:tcBorders>
                  <w:vAlign w:val="center"/>
                </w:tcPr>
                <w:p w14:paraId="4AD8F92B">
                  <w:pPr>
                    <w:pStyle w:val="57"/>
                    <w:rPr>
                      <w:rFonts w:ascii="Calibri" w:hAnsi="Calibri"/>
                      <w:color w:val="auto"/>
                      <w:lang w:eastAsia="en-US"/>
                    </w:rPr>
                  </w:pPr>
                  <w:r>
                    <w:rPr>
                      <w:rFonts w:ascii="Calibri" w:hAnsi="Calibri"/>
                      <w:color w:val="auto"/>
                      <w:lang w:eastAsia="en-US"/>
                    </w:rPr>
                    <w:t>BOD</w:t>
                  </w:r>
                </w:p>
              </w:tc>
              <w:tc>
                <w:tcPr>
                  <w:tcW w:w="864" w:type="pct"/>
                  <w:tcBorders>
                    <w:left w:val="single" w:color="000000" w:sz="4" w:space="0"/>
                    <w:right w:val="single" w:color="000000" w:sz="10" w:space="0"/>
                  </w:tcBorders>
                  <w:vAlign w:val="center"/>
                </w:tcPr>
                <w:p w14:paraId="1019212E">
                  <w:pPr>
                    <w:pStyle w:val="57"/>
                    <w:rPr>
                      <w:rFonts w:ascii="Calibri" w:hAnsi="Calibri"/>
                      <w:color w:val="auto"/>
                      <w:lang w:eastAsia="en-US"/>
                    </w:rPr>
                  </w:pPr>
                  <w:r>
                    <w:rPr>
                      <w:rFonts w:ascii="Calibri" w:hAnsi="Calibri"/>
                      <w:color w:val="auto"/>
                      <w:lang w:eastAsia="en-US"/>
                    </w:rPr>
                    <w:t>10</w:t>
                  </w:r>
                </w:p>
              </w:tc>
            </w:tr>
            <w:tr w14:paraId="01914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continue"/>
                  <w:tcBorders>
                    <w:right w:val="single" w:color="000000" w:sz="4" w:space="0"/>
                  </w:tcBorders>
                  <w:vAlign w:val="center"/>
                </w:tcPr>
                <w:p w14:paraId="3A4D1ABB">
                  <w:pPr>
                    <w:pStyle w:val="57"/>
                    <w:rPr>
                      <w:rFonts w:ascii="Calibri" w:hAnsi="Calibri"/>
                      <w:color w:val="auto"/>
                      <w:lang w:eastAsia="en-US"/>
                    </w:rPr>
                  </w:pPr>
                </w:p>
              </w:tc>
              <w:tc>
                <w:tcPr>
                  <w:tcW w:w="272" w:type="pct"/>
                  <w:vMerge w:val="continue"/>
                  <w:tcBorders>
                    <w:left w:val="single" w:color="000000" w:sz="4" w:space="0"/>
                    <w:right w:val="single" w:color="000000" w:sz="4" w:space="0"/>
                  </w:tcBorders>
                  <w:vAlign w:val="center"/>
                </w:tcPr>
                <w:p w14:paraId="3C564B05">
                  <w:pPr>
                    <w:pStyle w:val="57"/>
                    <w:rPr>
                      <w:rFonts w:ascii="Calibri" w:hAnsi="Calibri"/>
                      <w:color w:val="auto"/>
                      <w:lang w:eastAsia="en-US"/>
                    </w:rPr>
                  </w:pPr>
                </w:p>
              </w:tc>
              <w:tc>
                <w:tcPr>
                  <w:tcW w:w="498" w:type="pct"/>
                  <w:vMerge w:val="continue"/>
                  <w:tcBorders>
                    <w:left w:val="single" w:color="000000" w:sz="4" w:space="0"/>
                    <w:right w:val="single" w:color="000000" w:sz="4" w:space="0"/>
                  </w:tcBorders>
                  <w:vAlign w:val="center"/>
                </w:tcPr>
                <w:p w14:paraId="66E3D296">
                  <w:pPr>
                    <w:pStyle w:val="57"/>
                    <w:rPr>
                      <w:rFonts w:ascii="Calibri" w:hAnsi="Calibri"/>
                      <w:color w:val="auto"/>
                      <w:lang w:eastAsia="en-US"/>
                    </w:rPr>
                  </w:pPr>
                </w:p>
              </w:tc>
              <w:tc>
                <w:tcPr>
                  <w:tcW w:w="453" w:type="pct"/>
                  <w:vMerge w:val="continue"/>
                  <w:tcBorders>
                    <w:left w:val="single" w:color="000000" w:sz="4" w:space="0"/>
                    <w:right w:val="single" w:color="000000" w:sz="4" w:space="0"/>
                  </w:tcBorders>
                  <w:vAlign w:val="center"/>
                </w:tcPr>
                <w:p w14:paraId="6AFAEA24">
                  <w:pPr>
                    <w:pStyle w:val="57"/>
                    <w:rPr>
                      <w:rFonts w:ascii="Calibri" w:hAnsi="Calibri"/>
                      <w:color w:val="auto"/>
                      <w:lang w:eastAsia="en-US"/>
                    </w:rPr>
                  </w:pPr>
                </w:p>
              </w:tc>
              <w:tc>
                <w:tcPr>
                  <w:tcW w:w="419" w:type="pct"/>
                  <w:vMerge w:val="continue"/>
                  <w:tcBorders>
                    <w:left w:val="single" w:color="000000" w:sz="4" w:space="0"/>
                    <w:right w:val="single" w:color="000000" w:sz="4" w:space="0"/>
                  </w:tcBorders>
                  <w:vAlign w:val="center"/>
                </w:tcPr>
                <w:p w14:paraId="18C9C746">
                  <w:pPr>
                    <w:pStyle w:val="57"/>
                    <w:rPr>
                      <w:rFonts w:ascii="Calibri" w:hAnsi="Calibri"/>
                      <w:color w:val="auto"/>
                      <w:lang w:eastAsia="en-US"/>
                    </w:rPr>
                  </w:pPr>
                </w:p>
              </w:tc>
              <w:tc>
                <w:tcPr>
                  <w:tcW w:w="347" w:type="pct"/>
                  <w:vMerge w:val="continue"/>
                  <w:tcBorders>
                    <w:left w:val="single" w:color="000000" w:sz="4" w:space="0"/>
                    <w:right w:val="single" w:color="000000" w:sz="4" w:space="0"/>
                  </w:tcBorders>
                  <w:vAlign w:val="center"/>
                </w:tcPr>
                <w:p w14:paraId="2B4D1965">
                  <w:pPr>
                    <w:pStyle w:val="57"/>
                    <w:rPr>
                      <w:rFonts w:ascii="Calibri" w:hAnsi="Calibri"/>
                      <w:color w:val="auto"/>
                      <w:lang w:eastAsia="en-US"/>
                    </w:rPr>
                  </w:pPr>
                </w:p>
              </w:tc>
              <w:tc>
                <w:tcPr>
                  <w:tcW w:w="809" w:type="pct"/>
                  <w:vMerge w:val="continue"/>
                  <w:tcBorders>
                    <w:left w:val="single" w:color="000000" w:sz="4" w:space="0"/>
                    <w:right w:val="single" w:color="000000" w:sz="4" w:space="0"/>
                  </w:tcBorders>
                  <w:vAlign w:val="center"/>
                </w:tcPr>
                <w:p w14:paraId="44E75E94">
                  <w:pPr>
                    <w:pStyle w:val="57"/>
                    <w:rPr>
                      <w:rFonts w:ascii="Calibri" w:hAnsi="Calibri"/>
                      <w:color w:val="auto"/>
                      <w:lang w:eastAsia="en-US"/>
                    </w:rPr>
                  </w:pPr>
                </w:p>
              </w:tc>
              <w:tc>
                <w:tcPr>
                  <w:tcW w:w="296" w:type="pct"/>
                  <w:vMerge w:val="continue"/>
                  <w:tcBorders>
                    <w:left w:val="single" w:color="000000" w:sz="4" w:space="0"/>
                    <w:right w:val="single" w:color="000000" w:sz="4" w:space="0"/>
                  </w:tcBorders>
                  <w:vAlign w:val="center"/>
                </w:tcPr>
                <w:p w14:paraId="71BAF0F8">
                  <w:pPr>
                    <w:pStyle w:val="57"/>
                    <w:rPr>
                      <w:rFonts w:ascii="Calibri" w:hAnsi="Calibri"/>
                      <w:color w:val="auto"/>
                      <w:lang w:eastAsia="en-US"/>
                    </w:rPr>
                  </w:pPr>
                </w:p>
              </w:tc>
              <w:tc>
                <w:tcPr>
                  <w:tcW w:w="418" w:type="pct"/>
                  <w:vMerge w:val="continue"/>
                  <w:tcBorders>
                    <w:left w:val="single" w:color="000000" w:sz="4" w:space="0"/>
                    <w:right w:val="single" w:color="000000" w:sz="4" w:space="0"/>
                  </w:tcBorders>
                  <w:vAlign w:val="center"/>
                </w:tcPr>
                <w:p w14:paraId="619BD4A9">
                  <w:pPr>
                    <w:pStyle w:val="57"/>
                    <w:rPr>
                      <w:rFonts w:ascii="Calibri" w:hAnsi="Calibri"/>
                      <w:color w:val="auto"/>
                      <w:lang w:eastAsia="en-US"/>
                    </w:rPr>
                  </w:pPr>
                </w:p>
              </w:tc>
              <w:tc>
                <w:tcPr>
                  <w:tcW w:w="495" w:type="pct"/>
                  <w:tcBorders>
                    <w:left w:val="single" w:color="000000" w:sz="4" w:space="0"/>
                    <w:right w:val="single" w:color="000000" w:sz="4" w:space="0"/>
                  </w:tcBorders>
                  <w:vAlign w:val="center"/>
                </w:tcPr>
                <w:p w14:paraId="37B70F27">
                  <w:pPr>
                    <w:pStyle w:val="57"/>
                    <w:rPr>
                      <w:rFonts w:ascii="Calibri" w:hAnsi="Calibri"/>
                      <w:color w:val="auto"/>
                      <w:lang w:eastAsia="en-US"/>
                    </w:rPr>
                  </w:pPr>
                  <w:r>
                    <w:rPr>
                      <w:rFonts w:ascii="Calibri" w:hAnsi="Calibri"/>
                      <w:color w:val="auto"/>
                      <w:lang w:eastAsia="en-US"/>
                    </w:rPr>
                    <w:t>SS</w:t>
                  </w:r>
                </w:p>
              </w:tc>
              <w:tc>
                <w:tcPr>
                  <w:tcW w:w="864" w:type="pct"/>
                  <w:tcBorders>
                    <w:left w:val="single" w:color="000000" w:sz="4" w:space="0"/>
                    <w:right w:val="single" w:color="000000" w:sz="10" w:space="0"/>
                  </w:tcBorders>
                  <w:vAlign w:val="center"/>
                </w:tcPr>
                <w:p w14:paraId="7F1BBB56">
                  <w:pPr>
                    <w:pStyle w:val="57"/>
                    <w:rPr>
                      <w:rFonts w:ascii="Calibri" w:hAnsi="Calibri"/>
                      <w:color w:val="auto"/>
                      <w:lang w:eastAsia="en-US"/>
                    </w:rPr>
                  </w:pPr>
                  <w:r>
                    <w:rPr>
                      <w:rFonts w:ascii="Calibri" w:hAnsi="Calibri"/>
                      <w:color w:val="auto"/>
                      <w:lang w:eastAsia="en-US"/>
                    </w:rPr>
                    <w:t>10</w:t>
                  </w:r>
                </w:p>
              </w:tc>
            </w:tr>
            <w:tr w14:paraId="3D63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5" w:type="pct"/>
                  <w:vMerge w:val="continue"/>
                  <w:tcBorders>
                    <w:right w:val="single" w:color="000000" w:sz="4" w:space="0"/>
                  </w:tcBorders>
                  <w:vAlign w:val="center"/>
                </w:tcPr>
                <w:p w14:paraId="3E587C22">
                  <w:pPr>
                    <w:pStyle w:val="57"/>
                    <w:rPr>
                      <w:rFonts w:ascii="Calibri" w:hAnsi="Calibri"/>
                      <w:color w:val="auto"/>
                      <w:lang w:eastAsia="en-US"/>
                    </w:rPr>
                  </w:pPr>
                </w:p>
              </w:tc>
              <w:tc>
                <w:tcPr>
                  <w:tcW w:w="272" w:type="pct"/>
                  <w:vMerge w:val="continue"/>
                  <w:tcBorders>
                    <w:left w:val="single" w:color="000000" w:sz="4" w:space="0"/>
                    <w:right w:val="single" w:color="000000" w:sz="4" w:space="0"/>
                  </w:tcBorders>
                  <w:vAlign w:val="center"/>
                </w:tcPr>
                <w:p w14:paraId="3478259F">
                  <w:pPr>
                    <w:pStyle w:val="57"/>
                    <w:rPr>
                      <w:rFonts w:ascii="Calibri" w:hAnsi="Calibri"/>
                      <w:color w:val="auto"/>
                      <w:lang w:eastAsia="en-US"/>
                    </w:rPr>
                  </w:pPr>
                </w:p>
              </w:tc>
              <w:tc>
                <w:tcPr>
                  <w:tcW w:w="498" w:type="pct"/>
                  <w:vMerge w:val="continue"/>
                  <w:tcBorders>
                    <w:left w:val="single" w:color="000000" w:sz="4" w:space="0"/>
                    <w:right w:val="single" w:color="000000" w:sz="4" w:space="0"/>
                  </w:tcBorders>
                  <w:vAlign w:val="center"/>
                </w:tcPr>
                <w:p w14:paraId="21D6F49B">
                  <w:pPr>
                    <w:pStyle w:val="57"/>
                    <w:rPr>
                      <w:rFonts w:ascii="Calibri" w:hAnsi="Calibri"/>
                      <w:color w:val="auto"/>
                      <w:lang w:eastAsia="en-US"/>
                    </w:rPr>
                  </w:pPr>
                </w:p>
              </w:tc>
              <w:tc>
                <w:tcPr>
                  <w:tcW w:w="453" w:type="pct"/>
                  <w:vMerge w:val="continue"/>
                  <w:tcBorders>
                    <w:left w:val="single" w:color="000000" w:sz="4" w:space="0"/>
                    <w:right w:val="single" w:color="000000" w:sz="4" w:space="0"/>
                  </w:tcBorders>
                  <w:vAlign w:val="center"/>
                </w:tcPr>
                <w:p w14:paraId="336FCFC5">
                  <w:pPr>
                    <w:pStyle w:val="57"/>
                    <w:rPr>
                      <w:rFonts w:ascii="Calibri" w:hAnsi="Calibri"/>
                      <w:color w:val="auto"/>
                      <w:lang w:eastAsia="en-US"/>
                    </w:rPr>
                  </w:pPr>
                </w:p>
              </w:tc>
              <w:tc>
                <w:tcPr>
                  <w:tcW w:w="419" w:type="pct"/>
                  <w:vMerge w:val="continue"/>
                  <w:tcBorders>
                    <w:left w:val="single" w:color="000000" w:sz="4" w:space="0"/>
                    <w:right w:val="single" w:color="000000" w:sz="4" w:space="0"/>
                  </w:tcBorders>
                  <w:vAlign w:val="center"/>
                </w:tcPr>
                <w:p w14:paraId="31B2E6CE">
                  <w:pPr>
                    <w:pStyle w:val="57"/>
                    <w:rPr>
                      <w:rFonts w:ascii="Calibri" w:hAnsi="Calibri"/>
                      <w:color w:val="auto"/>
                      <w:lang w:eastAsia="en-US"/>
                    </w:rPr>
                  </w:pPr>
                </w:p>
              </w:tc>
              <w:tc>
                <w:tcPr>
                  <w:tcW w:w="347" w:type="pct"/>
                  <w:vMerge w:val="continue"/>
                  <w:tcBorders>
                    <w:left w:val="single" w:color="000000" w:sz="4" w:space="0"/>
                    <w:right w:val="single" w:color="000000" w:sz="4" w:space="0"/>
                  </w:tcBorders>
                  <w:vAlign w:val="center"/>
                </w:tcPr>
                <w:p w14:paraId="3D7E137F">
                  <w:pPr>
                    <w:pStyle w:val="57"/>
                    <w:rPr>
                      <w:rFonts w:ascii="Calibri" w:hAnsi="Calibri"/>
                      <w:color w:val="auto"/>
                      <w:lang w:eastAsia="en-US"/>
                    </w:rPr>
                  </w:pPr>
                </w:p>
              </w:tc>
              <w:tc>
                <w:tcPr>
                  <w:tcW w:w="809" w:type="pct"/>
                  <w:vMerge w:val="continue"/>
                  <w:tcBorders>
                    <w:left w:val="single" w:color="000000" w:sz="4" w:space="0"/>
                    <w:right w:val="single" w:color="000000" w:sz="4" w:space="0"/>
                  </w:tcBorders>
                  <w:vAlign w:val="center"/>
                </w:tcPr>
                <w:p w14:paraId="2C38A218">
                  <w:pPr>
                    <w:pStyle w:val="57"/>
                    <w:rPr>
                      <w:rFonts w:ascii="Calibri" w:hAnsi="Calibri"/>
                      <w:color w:val="auto"/>
                      <w:lang w:eastAsia="en-US"/>
                    </w:rPr>
                  </w:pPr>
                </w:p>
              </w:tc>
              <w:tc>
                <w:tcPr>
                  <w:tcW w:w="296" w:type="pct"/>
                  <w:vMerge w:val="continue"/>
                  <w:tcBorders>
                    <w:left w:val="single" w:color="000000" w:sz="4" w:space="0"/>
                    <w:right w:val="single" w:color="000000" w:sz="4" w:space="0"/>
                  </w:tcBorders>
                  <w:vAlign w:val="center"/>
                </w:tcPr>
                <w:p w14:paraId="7A7BD97E">
                  <w:pPr>
                    <w:pStyle w:val="57"/>
                    <w:rPr>
                      <w:rFonts w:ascii="Calibri" w:hAnsi="Calibri"/>
                      <w:color w:val="auto"/>
                      <w:lang w:eastAsia="en-US"/>
                    </w:rPr>
                  </w:pPr>
                </w:p>
              </w:tc>
              <w:tc>
                <w:tcPr>
                  <w:tcW w:w="418" w:type="pct"/>
                  <w:vMerge w:val="continue"/>
                  <w:tcBorders>
                    <w:left w:val="single" w:color="000000" w:sz="4" w:space="0"/>
                    <w:right w:val="single" w:color="000000" w:sz="4" w:space="0"/>
                  </w:tcBorders>
                  <w:vAlign w:val="center"/>
                </w:tcPr>
                <w:p w14:paraId="30E7B86A">
                  <w:pPr>
                    <w:pStyle w:val="57"/>
                    <w:rPr>
                      <w:rFonts w:ascii="Calibri" w:hAnsi="Calibri"/>
                      <w:color w:val="auto"/>
                      <w:lang w:eastAsia="en-US"/>
                    </w:rPr>
                  </w:pPr>
                </w:p>
              </w:tc>
              <w:tc>
                <w:tcPr>
                  <w:tcW w:w="495" w:type="pct"/>
                  <w:tcBorders>
                    <w:left w:val="single" w:color="000000" w:sz="4" w:space="0"/>
                    <w:right w:val="single" w:color="000000" w:sz="4" w:space="0"/>
                  </w:tcBorders>
                  <w:vAlign w:val="center"/>
                </w:tcPr>
                <w:p w14:paraId="20B37101">
                  <w:pPr>
                    <w:pStyle w:val="57"/>
                    <w:rPr>
                      <w:rFonts w:ascii="Calibri" w:hAnsi="Calibri"/>
                      <w:color w:val="auto"/>
                      <w:lang w:eastAsia="en-US"/>
                    </w:rPr>
                  </w:pPr>
                  <w:r>
                    <w:rPr>
                      <w:rFonts w:ascii="Calibri" w:hAnsi="Calibri"/>
                      <w:color w:val="auto"/>
                      <w:lang w:eastAsia="en-US"/>
                    </w:rPr>
                    <w:t>N</w:t>
                  </w:r>
                  <w:r>
                    <w:rPr>
                      <w:rFonts w:hint="eastAsia" w:ascii="Calibri" w:hAnsi="Calibri"/>
                      <w:color w:val="auto"/>
                      <w:lang w:eastAsia="en-US"/>
                    </w:rPr>
                    <w:t>H</w:t>
                  </w:r>
                  <w:r>
                    <w:rPr>
                      <w:rFonts w:hint="eastAsia" w:ascii="Calibri" w:hAnsi="Calibri"/>
                      <w:color w:val="auto"/>
                      <w:vertAlign w:val="subscript"/>
                      <w:lang w:eastAsia="en-US"/>
                    </w:rPr>
                    <w:t>3</w:t>
                  </w:r>
                  <w:r>
                    <w:rPr>
                      <w:rFonts w:ascii="Calibri" w:hAnsi="Calibri"/>
                      <w:color w:val="auto"/>
                      <w:lang w:eastAsia="en-US"/>
                    </w:rPr>
                    <w:t>-N</w:t>
                  </w:r>
                </w:p>
              </w:tc>
              <w:tc>
                <w:tcPr>
                  <w:tcW w:w="864" w:type="pct"/>
                  <w:tcBorders>
                    <w:left w:val="single" w:color="000000" w:sz="4" w:space="0"/>
                    <w:right w:val="single" w:color="000000" w:sz="10" w:space="0"/>
                  </w:tcBorders>
                  <w:vAlign w:val="center"/>
                </w:tcPr>
                <w:p w14:paraId="394820C0">
                  <w:pPr>
                    <w:pStyle w:val="57"/>
                    <w:rPr>
                      <w:rFonts w:ascii="Calibri" w:hAnsi="Calibri"/>
                      <w:color w:val="auto"/>
                      <w:lang w:eastAsia="en-US"/>
                    </w:rPr>
                  </w:pPr>
                  <w:r>
                    <w:rPr>
                      <w:rFonts w:ascii="Calibri" w:hAnsi="Calibri"/>
                      <w:color w:val="auto"/>
                      <w:lang w:eastAsia="en-US"/>
                    </w:rPr>
                    <w:t>5</w:t>
                  </w:r>
                </w:p>
              </w:tc>
            </w:tr>
          </w:tbl>
          <w:p w14:paraId="7EAA035D">
            <w:pPr>
              <w:pStyle w:val="5"/>
              <w:numPr>
                <w:ilvl w:val="2"/>
                <w:numId w:val="0"/>
              </w:numPr>
              <w:rPr>
                <w:rFonts w:hint="eastAsia" w:ascii="宋体" w:hAnsi="宋体" w:cs="宋体"/>
                <w:color w:val="auto"/>
              </w:rPr>
            </w:pPr>
            <w:r>
              <w:rPr>
                <w:color w:val="auto"/>
              </w:rPr>
              <w:t>（4）废水污染源监测计划</w:t>
            </w:r>
          </w:p>
          <w:p w14:paraId="748CF13C">
            <w:pPr>
              <w:ind w:firstLine="480"/>
              <w:rPr>
                <w:color w:val="auto"/>
              </w:rPr>
            </w:pPr>
            <w:r>
              <w:rPr>
                <w:color w:val="auto"/>
              </w:rPr>
              <w:t>根据《排污单位自行监测技术指南橡胶和塑料制品（HJ1207—2021），雨水排放口及间接排放的生活污水排放口无自行监测频次要求。</w:t>
            </w:r>
          </w:p>
          <w:p w14:paraId="5A9C8FC9">
            <w:pPr>
              <w:ind w:firstLine="482"/>
              <w:rPr>
                <w:b/>
                <w:bCs/>
                <w:color w:val="auto"/>
              </w:rPr>
            </w:pPr>
            <w:r>
              <w:rPr>
                <w:b/>
                <w:bCs/>
                <w:color w:val="auto"/>
              </w:rPr>
              <w:t>4、噪声</w:t>
            </w:r>
          </w:p>
          <w:p w14:paraId="700AE1CB">
            <w:pPr>
              <w:ind w:firstLine="482"/>
              <w:rPr>
                <w:b/>
                <w:bCs/>
                <w:color w:val="auto"/>
              </w:rPr>
            </w:pPr>
            <w:r>
              <w:rPr>
                <w:b/>
                <w:bCs/>
                <w:color w:val="auto"/>
              </w:rPr>
              <w:t>（1）主要噪声源及源强</w:t>
            </w:r>
          </w:p>
          <w:p w14:paraId="37DE9826">
            <w:pPr>
              <w:ind w:firstLine="480"/>
              <w:rPr>
                <w:color w:val="auto"/>
              </w:rPr>
            </w:pPr>
            <w:r>
              <w:rPr>
                <w:color w:val="auto"/>
              </w:rPr>
              <w:t>本项目运营后产生噪声的</w:t>
            </w:r>
            <w:r>
              <w:rPr>
                <w:rFonts w:hint="eastAsia"/>
                <w:color w:val="auto"/>
              </w:rPr>
              <w:t>设备</w:t>
            </w:r>
            <w:r>
              <w:rPr>
                <w:color w:val="auto"/>
              </w:rPr>
              <w:t>主要为</w:t>
            </w:r>
            <w:r>
              <w:rPr>
                <w:rFonts w:hint="eastAsia"/>
                <w:color w:val="auto"/>
              </w:rPr>
              <w:t>注塑机</w:t>
            </w:r>
            <w:r>
              <w:rPr>
                <w:color w:val="auto"/>
              </w:rPr>
              <w:t>、</w:t>
            </w:r>
            <w:r>
              <w:rPr>
                <w:rFonts w:hint="eastAsia"/>
                <w:color w:val="auto"/>
              </w:rPr>
              <w:t>混色机、丝网印刷机、热转印机</w:t>
            </w:r>
            <w:r>
              <w:rPr>
                <w:color w:val="auto"/>
              </w:rPr>
              <w:t>和风机等设备。</w:t>
            </w:r>
          </w:p>
          <w:p w14:paraId="74595F09">
            <w:pPr>
              <w:pStyle w:val="58"/>
              <w:ind w:firstLine="422"/>
              <w:rPr>
                <w:color w:val="auto"/>
              </w:rPr>
            </w:pPr>
            <w:r>
              <w:rPr>
                <w:rFonts w:hint="eastAsia"/>
                <w:color w:val="auto"/>
              </w:rPr>
              <w:t>表4-1</w:t>
            </w:r>
            <w:r>
              <w:rPr>
                <w:rFonts w:hint="eastAsia"/>
                <w:color w:val="auto"/>
                <w:lang w:val="en-US" w:eastAsia="zh-CN"/>
              </w:rPr>
              <w:t>3</w:t>
            </w:r>
            <w:r>
              <w:rPr>
                <w:color w:val="auto"/>
              </w:rPr>
              <w:t>工业企业噪声源强调查清单（室内声源）</w:t>
            </w:r>
          </w:p>
          <w:tbl>
            <w:tblPr>
              <w:tblStyle w:val="3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
              <w:gridCol w:w="364"/>
              <w:gridCol w:w="1110"/>
              <w:gridCol w:w="238"/>
              <w:gridCol w:w="1193"/>
              <w:gridCol w:w="575"/>
              <w:gridCol w:w="379"/>
              <w:gridCol w:w="422"/>
              <w:gridCol w:w="372"/>
              <w:gridCol w:w="478"/>
              <w:gridCol w:w="627"/>
              <w:gridCol w:w="465"/>
              <w:gridCol w:w="606"/>
              <w:gridCol w:w="651"/>
              <w:gridCol w:w="586"/>
            </w:tblGrid>
            <w:tr w14:paraId="2B64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restart"/>
                  <w:tcBorders>
                    <w:tl2br w:val="nil"/>
                    <w:tr2bl w:val="nil"/>
                  </w:tcBorders>
                  <w:vAlign w:val="center"/>
                </w:tcPr>
                <w:p w14:paraId="1B60CC58">
                  <w:pPr>
                    <w:pStyle w:val="57"/>
                    <w:rPr>
                      <w:b/>
                      <w:bCs w:val="0"/>
                      <w:color w:val="auto"/>
                    </w:rPr>
                  </w:pPr>
                  <w:r>
                    <w:rPr>
                      <w:b/>
                      <w:bCs w:val="0"/>
                      <w:color w:val="auto"/>
                    </w:rPr>
                    <w:t>序号</w:t>
                  </w:r>
                </w:p>
              </w:tc>
              <w:tc>
                <w:tcPr>
                  <w:tcW w:w="219" w:type="pct"/>
                  <w:vMerge w:val="restart"/>
                  <w:tcBorders>
                    <w:tl2br w:val="nil"/>
                    <w:tr2bl w:val="nil"/>
                  </w:tcBorders>
                  <w:vAlign w:val="center"/>
                </w:tcPr>
                <w:p w14:paraId="46AAC65D">
                  <w:pPr>
                    <w:pStyle w:val="57"/>
                    <w:rPr>
                      <w:b/>
                      <w:bCs w:val="0"/>
                      <w:color w:val="auto"/>
                    </w:rPr>
                  </w:pPr>
                  <w:r>
                    <w:rPr>
                      <w:b/>
                      <w:bCs w:val="0"/>
                      <w:color w:val="auto"/>
                    </w:rPr>
                    <w:t>建筑物名称</w:t>
                  </w:r>
                </w:p>
              </w:tc>
              <w:tc>
                <w:tcPr>
                  <w:tcW w:w="667" w:type="pct"/>
                  <w:vMerge w:val="restart"/>
                  <w:tcBorders>
                    <w:tl2br w:val="nil"/>
                    <w:tr2bl w:val="nil"/>
                  </w:tcBorders>
                  <w:vAlign w:val="center"/>
                </w:tcPr>
                <w:p w14:paraId="45B81005">
                  <w:pPr>
                    <w:pStyle w:val="57"/>
                    <w:rPr>
                      <w:b/>
                      <w:bCs w:val="0"/>
                      <w:color w:val="auto"/>
                    </w:rPr>
                  </w:pPr>
                  <w:r>
                    <w:rPr>
                      <w:b/>
                      <w:bCs w:val="0"/>
                      <w:color w:val="auto"/>
                    </w:rPr>
                    <w:t>声源名称</w:t>
                  </w:r>
                </w:p>
              </w:tc>
              <w:tc>
                <w:tcPr>
                  <w:tcW w:w="143" w:type="pct"/>
                  <w:vMerge w:val="restart"/>
                  <w:tcBorders>
                    <w:tl2br w:val="nil"/>
                    <w:tr2bl w:val="nil"/>
                  </w:tcBorders>
                  <w:vAlign w:val="center"/>
                </w:tcPr>
                <w:p w14:paraId="7DDE2677">
                  <w:pPr>
                    <w:pStyle w:val="57"/>
                    <w:rPr>
                      <w:b/>
                      <w:bCs w:val="0"/>
                      <w:color w:val="auto"/>
                    </w:rPr>
                  </w:pPr>
                  <w:r>
                    <w:rPr>
                      <w:b/>
                      <w:bCs w:val="0"/>
                      <w:color w:val="auto"/>
                    </w:rPr>
                    <w:t>型号</w:t>
                  </w:r>
                </w:p>
              </w:tc>
              <w:tc>
                <w:tcPr>
                  <w:tcW w:w="717" w:type="pct"/>
                  <w:tcBorders>
                    <w:tl2br w:val="nil"/>
                    <w:tr2bl w:val="nil"/>
                  </w:tcBorders>
                  <w:vAlign w:val="center"/>
                </w:tcPr>
                <w:p w14:paraId="76D48DEC">
                  <w:pPr>
                    <w:pStyle w:val="57"/>
                    <w:rPr>
                      <w:b/>
                      <w:bCs w:val="0"/>
                      <w:color w:val="auto"/>
                    </w:rPr>
                  </w:pPr>
                  <w:r>
                    <w:rPr>
                      <w:b/>
                      <w:bCs w:val="0"/>
                      <w:color w:val="auto"/>
                    </w:rPr>
                    <w:t>声源源强</w:t>
                  </w:r>
                </w:p>
              </w:tc>
              <w:tc>
                <w:tcPr>
                  <w:tcW w:w="346" w:type="pct"/>
                  <w:vMerge w:val="restart"/>
                  <w:tcBorders>
                    <w:tl2br w:val="nil"/>
                    <w:tr2bl w:val="nil"/>
                  </w:tcBorders>
                  <w:vAlign w:val="center"/>
                </w:tcPr>
                <w:p w14:paraId="1AF3CD31">
                  <w:pPr>
                    <w:pStyle w:val="57"/>
                    <w:rPr>
                      <w:b/>
                      <w:bCs w:val="0"/>
                      <w:color w:val="auto"/>
                    </w:rPr>
                  </w:pPr>
                  <w:r>
                    <w:rPr>
                      <w:b/>
                      <w:bCs w:val="0"/>
                      <w:color w:val="auto"/>
                    </w:rPr>
                    <w:t>声源控制措施</w:t>
                  </w:r>
                </w:p>
              </w:tc>
              <w:tc>
                <w:tcPr>
                  <w:tcW w:w="706" w:type="pct"/>
                  <w:gridSpan w:val="3"/>
                  <w:tcBorders>
                    <w:tl2br w:val="nil"/>
                    <w:tr2bl w:val="nil"/>
                  </w:tcBorders>
                  <w:vAlign w:val="center"/>
                </w:tcPr>
                <w:p w14:paraId="3DDECBA8">
                  <w:pPr>
                    <w:pStyle w:val="57"/>
                    <w:rPr>
                      <w:b/>
                      <w:bCs w:val="0"/>
                      <w:color w:val="auto"/>
                    </w:rPr>
                  </w:pPr>
                  <w:r>
                    <w:rPr>
                      <w:b/>
                      <w:bCs w:val="0"/>
                      <w:color w:val="auto"/>
                    </w:rPr>
                    <w:t>空间相对位置/m</w:t>
                  </w:r>
                </w:p>
              </w:tc>
              <w:tc>
                <w:tcPr>
                  <w:tcW w:w="288" w:type="pct"/>
                  <w:vMerge w:val="restart"/>
                  <w:tcBorders>
                    <w:tl2br w:val="nil"/>
                    <w:tr2bl w:val="nil"/>
                  </w:tcBorders>
                  <w:vAlign w:val="center"/>
                </w:tcPr>
                <w:p w14:paraId="3E435403">
                  <w:pPr>
                    <w:pStyle w:val="57"/>
                    <w:rPr>
                      <w:b/>
                      <w:bCs w:val="0"/>
                      <w:color w:val="auto"/>
                    </w:rPr>
                  </w:pPr>
                  <w:r>
                    <w:rPr>
                      <w:b/>
                      <w:bCs w:val="0"/>
                      <w:color w:val="auto"/>
                    </w:rPr>
                    <w:t>距室内边界距离/m</w:t>
                  </w:r>
                </w:p>
              </w:tc>
              <w:tc>
                <w:tcPr>
                  <w:tcW w:w="378" w:type="pct"/>
                  <w:vMerge w:val="restart"/>
                  <w:tcBorders>
                    <w:tl2br w:val="nil"/>
                    <w:tr2bl w:val="nil"/>
                  </w:tcBorders>
                  <w:vAlign w:val="center"/>
                </w:tcPr>
                <w:p w14:paraId="2ED29628">
                  <w:pPr>
                    <w:pStyle w:val="57"/>
                    <w:rPr>
                      <w:b/>
                      <w:bCs w:val="0"/>
                      <w:color w:val="auto"/>
                    </w:rPr>
                  </w:pPr>
                  <w:r>
                    <w:rPr>
                      <w:b/>
                      <w:bCs w:val="0"/>
                      <w:color w:val="auto"/>
                    </w:rPr>
                    <w:t>室内边界声级</w:t>
                  </w:r>
                </w:p>
                <w:p w14:paraId="14BBF96E">
                  <w:pPr>
                    <w:pStyle w:val="57"/>
                    <w:rPr>
                      <w:b/>
                      <w:bCs w:val="0"/>
                      <w:color w:val="auto"/>
                    </w:rPr>
                  </w:pPr>
                  <w:r>
                    <w:rPr>
                      <w:b/>
                      <w:bCs w:val="0"/>
                      <w:color w:val="auto"/>
                    </w:rPr>
                    <w:t>/dB(A)</w:t>
                  </w:r>
                </w:p>
              </w:tc>
              <w:tc>
                <w:tcPr>
                  <w:tcW w:w="280" w:type="pct"/>
                  <w:vMerge w:val="restart"/>
                  <w:tcBorders>
                    <w:tl2br w:val="nil"/>
                    <w:tr2bl w:val="nil"/>
                  </w:tcBorders>
                  <w:vAlign w:val="center"/>
                </w:tcPr>
                <w:p w14:paraId="2C1042DD">
                  <w:pPr>
                    <w:pStyle w:val="57"/>
                    <w:rPr>
                      <w:b/>
                      <w:bCs w:val="0"/>
                      <w:color w:val="auto"/>
                    </w:rPr>
                  </w:pPr>
                  <w:r>
                    <w:rPr>
                      <w:b/>
                      <w:bCs w:val="0"/>
                      <w:color w:val="auto"/>
                    </w:rPr>
                    <w:t>运行</w:t>
                  </w:r>
                </w:p>
                <w:p w14:paraId="54488143">
                  <w:pPr>
                    <w:pStyle w:val="57"/>
                    <w:rPr>
                      <w:b/>
                      <w:bCs w:val="0"/>
                      <w:color w:val="auto"/>
                    </w:rPr>
                  </w:pPr>
                  <w:r>
                    <w:rPr>
                      <w:b/>
                      <w:bCs w:val="0"/>
                      <w:color w:val="auto"/>
                    </w:rPr>
                    <w:t>时段</w:t>
                  </w:r>
                </w:p>
              </w:tc>
              <w:tc>
                <w:tcPr>
                  <w:tcW w:w="365" w:type="pct"/>
                  <w:vMerge w:val="restart"/>
                  <w:tcBorders>
                    <w:tl2br w:val="nil"/>
                    <w:tr2bl w:val="nil"/>
                  </w:tcBorders>
                  <w:vAlign w:val="center"/>
                </w:tcPr>
                <w:p w14:paraId="3F25BC82">
                  <w:pPr>
                    <w:pStyle w:val="57"/>
                    <w:rPr>
                      <w:b/>
                      <w:bCs w:val="0"/>
                      <w:color w:val="auto"/>
                    </w:rPr>
                  </w:pPr>
                  <w:r>
                    <w:rPr>
                      <w:b/>
                      <w:bCs w:val="0"/>
                      <w:color w:val="auto"/>
                    </w:rPr>
                    <w:t>建筑物插入损失/dB(A)</w:t>
                  </w:r>
                </w:p>
              </w:tc>
              <w:tc>
                <w:tcPr>
                  <w:tcW w:w="745" w:type="pct"/>
                  <w:gridSpan w:val="2"/>
                  <w:tcBorders>
                    <w:tl2br w:val="nil"/>
                    <w:tr2bl w:val="nil"/>
                  </w:tcBorders>
                  <w:vAlign w:val="center"/>
                </w:tcPr>
                <w:p w14:paraId="01078033">
                  <w:pPr>
                    <w:pStyle w:val="57"/>
                    <w:rPr>
                      <w:b/>
                      <w:bCs w:val="0"/>
                      <w:color w:val="auto"/>
                    </w:rPr>
                  </w:pPr>
                  <w:r>
                    <w:rPr>
                      <w:b/>
                      <w:bCs w:val="0"/>
                      <w:color w:val="auto"/>
                    </w:rPr>
                    <w:t>建筑物外噪声</w:t>
                  </w:r>
                </w:p>
              </w:tc>
            </w:tr>
            <w:tr w14:paraId="3B1D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74F73754">
                  <w:pPr>
                    <w:pStyle w:val="57"/>
                    <w:rPr>
                      <w:b/>
                      <w:bCs w:val="0"/>
                      <w:color w:val="auto"/>
                    </w:rPr>
                  </w:pPr>
                </w:p>
              </w:tc>
              <w:tc>
                <w:tcPr>
                  <w:tcW w:w="219" w:type="pct"/>
                  <w:vMerge w:val="continue"/>
                  <w:tcBorders>
                    <w:tl2br w:val="nil"/>
                    <w:tr2bl w:val="nil"/>
                  </w:tcBorders>
                  <w:vAlign w:val="center"/>
                </w:tcPr>
                <w:p w14:paraId="0E07BA62">
                  <w:pPr>
                    <w:pStyle w:val="57"/>
                    <w:rPr>
                      <w:b/>
                      <w:bCs w:val="0"/>
                      <w:color w:val="auto"/>
                    </w:rPr>
                  </w:pPr>
                </w:p>
              </w:tc>
              <w:tc>
                <w:tcPr>
                  <w:tcW w:w="667" w:type="pct"/>
                  <w:vMerge w:val="continue"/>
                  <w:tcBorders>
                    <w:tl2br w:val="nil"/>
                    <w:tr2bl w:val="nil"/>
                  </w:tcBorders>
                  <w:vAlign w:val="center"/>
                </w:tcPr>
                <w:p w14:paraId="2269ADCD">
                  <w:pPr>
                    <w:pStyle w:val="57"/>
                    <w:rPr>
                      <w:b/>
                      <w:bCs w:val="0"/>
                      <w:color w:val="auto"/>
                    </w:rPr>
                  </w:pPr>
                </w:p>
              </w:tc>
              <w:tc>
                <w:tcPr>
                  <w:tcW w:w="143" w:type="pct"/>
                  <w:vMerge w:val="continue"/>
                  <w:tcBorders>
                    <w:tl2br w:val="nil"/>
                    <w:tr2bl w:val="nil"/>
                  </w:tcBorders>
                  <w:vAlign w:val="center"/>
                </w:tcPr>
                <w:p w14:paraId="7F5CEFC1">
                  <w:pPr>
                    <w:pStyle w:val="57"/>
                    <w:rPr>
                      <w:b/>
                      <w:bCs w:val="0"/>
                      <w:color w:val="auto"/>
                    </w:rPr>
                  </w:pPr>
                </w:p>
              </w:tc>
              <w:tc>
                <w:tcPr>
                  <w:tcW w:w="717" w:type="pct"/>
                  <w:tcBorders>
                    <w:tl2br w:val="nil"/>
                    <w:tr2bl w:val="nil"/>
                  </w:tcBorders>
                  <w:vAlign w:val="center"/>
                </w:tcPr>
                <w:p w14:paraId="62D4D9A3">
                  <w:pPr>
                    <w:pStyle w:val="57"/>
                    <w:rPr>
                      <w:b/>
                      <w:bCs w:val="0"/>
                      <w:color w:val="auto"/>
                    </w:rPr>
                  </w:pPr>
                  <w:r>
                    <w:rPr>
                      <w:b/>
                      <w:bCs w:val="0"/>
                      <w:color w:val="auto"/>
                    </w:rPr>
                    <w:t>（声压级/距声源距离）/（dB(A)/m）</w:t>
                  </w:r>
                </w:p>
              </w:tc>
              <w:tc>
                <w:tcPr>
                  <w:tcW w:w="346" w:type="pct"/>
                  <w:vMerge w:val="continue"/>
                  <w:tcBorders>
                    <w:tl2br w:val="nil"/>
                    <w:tr2bl w:val="nil"/>
                  </w:tcBorders>
                  <w:vAlign w:val="center"/>
                </w:tcPr>
                <w:p w14:paraId="1937CAA6">
                  <w:pPr>
                    <w:pStyle w:val="57"/>
                    <w:rPr>
                      <w:b/>
                      <w:bCs w:val="0"/>
                      <w:color w:val="auto"/>
                    </w:rPr>
                  </w:pPr>
                </w:p>
              </w:tc>
              <w:tc>
                <w:tcPr>
                  <w:tcW w:w="228" w:type="pct"/>
                  <w:tcBorders>
                    <w:tl2br w:val="nil"/>
                    <w:tr2bl w:val="nil"/>
                  </w:tcBorders>
                  <w:vAlign w:val="center"/>
                </w:tcPr>
                <w:p w14:paraId="596B10E8">
                  <w:pPr>
                    <w:pStyle w:val="57"/>
                    <w:rPr>
                      <w:b/>
                      <w:bCs w:val="0"/>
                      <w:color w:val="auto"/>
                    </w:rPr>
                  </w:pPr>
                  <w:r>
                    <w:rPr>
                      <w:b/>
                      <w:bCs w:val="0"/>
                      <w:color w:val="auto"/>
                    </w:rPr>
                    <w:t>X</w:t>
                  </w:r>
                </w:p>
              </w:tc>
              <w:tc>
                <w:tcPr>
                  <w:tcW w:w="254" w:type="pct"/>
                  <w:tcBorders>
                    <w:tl2br w:val="nil"/>
                    <w:tr2bl w:val="nil"/>
                  </w:tcBorders>
                  <w:vAlign w:val="center"/>
                </w:tcPr>
                <w:p w14:paraId="43F66FB1">
                  <w:pPr>
                    <w:pStyle w:val="57"/>
                    <w:rPr>
                      <w:b/>
                      <w:bCs w:val="0"/>
                      <w:color w:val="auto"/>
                    </w:rPr>
                  </w:pPr>
                  <w:r>
                    <w:rPr>
                      <w:b/>
                      <w:bCs w:val="0"/>
                      <w:color w:val="auto"/>
                    </w:rPr>
                    <w:t>Y</w:t>
                  </w:r>
                </w:p>
              </w:tc>
              <w:tc>
                <w:tcPr>
                  <w:tcW w:w="224" w:type="pct"/>
                  <w:tcBorders>
                    <w:tl2br w:val="nil"/>
                    <w:tr2bl w:val="nil"/>
                  </w:tcBorders>
                  <w:vAlign w:val="center"/>
                </w:tcPr>
                <w:p w14:paraId="6297859A">
                  <w:pPr>
                    <w:pStyle w:val="57"/>
                    <w:rPr>
                      <w:b/>
                      <w:bCs w:val="0"/>
                      <w:color w:val="auto"/>
                    </w:rPr>
                  </w:pPr>
                  <w:r>
                    <w:rPr>
                      <w:b/>
                      <w:bCs w:val="0"/>
                      <w:color w:val="auto"/>
                    </w:rPr>
                    <w:t>Z</w:t>
                  </w:r>
                </w:p>
              </w:tc>
              <w:tc>
                <w:tcPr>
                  <w:tcW w:w="288" w:type="pct"/>
                  <w:vMerge w:val="continue"/>
                  <w:tcBorders>
                    <w:tl2br w:val="nil"/>
                    <w:tr2bl w:val="nil"/>
                  </w:tcBorders>
                  <w:vAlign w:val="center"/>
                </w:tcPr>
                <w:p w14:paraId="0DCB9766">
                  <w:pPr>
                    <w:pStyle w:val="57"/>
                    <w:rPr>
                      <w:b/>
                      <w:bCs w:val="0"/>
                      <w:color w:val="auto"/>
                    </w:rPr>
                  </w:pPr>
                </w:p>
              </w:tc>
              <w:tc>
                <w:tcPr>
                  <w:tcW w:w="378" w:type="pct"/>
                  <w:vMerge w:val="continue"/>
                  <w:tcBorders>
                    <w:tl2br w:val="nil"/>
                    <w:tr2bl w:val="nil"/>
                  </w:tcBorders>
                  <w:vAlign w:val="center"/>
                </w:tcPr>
                <w:p w14:paraId="3906CAA1">
                  <w:pPr>
                    <w:pStyle w:val="57"/>
                    <w:rPr>
                      <w:b/>
                      <w:bCs w:val="0"/>
                      <w:color w:val="auto"/>
                    </w:rPr>
                  </w:pPr>
                </w:p>
              </w:tc>
              <w:tc>
                <w:tcPr>
                  <w:tcW w:w="280" w:type="pct"/>
                  <w:vMerge w:val="continue"/>
                  <w:tcBorders>
                    <w:tl2br w:val="nil"/>
                    <w:tr2bl w:val="nil"/>
                  </w:tcBorders>
                  <w:vAlign w:val="center"/>
                </w:tcPr>
                <w:p w14:paraId="0CB691FE">
                  <w:pPr>
                    <w:pStyle w:val="57"/>
                    <w:rPr>
                      <w:b/>
                      <w:bCs w:val="0"/>
                      <w:color w:val="auto"/>
                    </w:rPr>
                  </w:pPr>
                </w:p>
              </w:tc>
              <w:tc>
                <w:tcPr>
                  <w:tcW w:w="365" w:type="pct"/>
                  <w:vMerge w:val="continue"/>
                  <w:tcBorders>
                    <w:tl2br w:val="nil"/>
                    <w:tr2bl w:val="nil"/>
                  </w:tcBorders>
                  <w:vAlign w:val="center"/>
                </w:tcPr>
                <w:p w14:paraId="07EBCED2">
                  <w:pPr>
                    <w:pStyle w:val="57"/>
                    <w:rPr>
                      <w:b/>
                      <w:bCs w:val="0"/>
                      <w:color w:val="auto"/>
                    </w:rPr>
                  </w:pPr>
                </w:p>
              </w:tc>
              <w:tc>
                <w:tcPr>
                  <w:tcW w:w="392" w:type="pct"/>
                  <w:tcBorders>
                    <w:tl2br w:val="nil"/>
                    <w:tr2bl w:val="nil"/>
                  </w:tcBorders>
                  <w:vAlign w:val="center"/>
                </w:tcPr>
                <w:p w14:paraId="6A776EA1">
                  <w:pPr>
                    <w:pStyle w:val="57"/>
                    <w:rPr>
                      <w:b/>
                      <w:bCs w:val="0"/>
                      <w:color w:val="auto"/>
                    </w:rPr>
                  </w:pPr>
                  <w:r>
                    <w:rPr>
                      <w:b/>
                      <w:bCs w:val="0"/>
                      <w:color w:val="auto"/>
                    </w:rPr>
                    <w:t>声压级/dB(A)</w:t>
                  </w:r>
                </w:p>
              </w:tc>
              <w:tc>
                <w:tcPr>
                  <w:tcW w:w="352" w:type="pct"/>
                  <w:tcBorders>
                    <w:tl2br w:val="nil"/>
                    <w:tr2bl w:val="nil"/>
                  </w:tcBorders>
                  <w:vAlign w:val="center"/>
                </w:tcPr>
                <w:p w14:paraId="0A48C6F4">
                  <w:pPr>
                    <w:pStyle w:val="57"/>
                    <w:rPr>
                      <w:b/>
                      <w:bCs w:val="0"/>
                      <w:color w:val="auto"/>
                    </w:rPr>
                  </w:pPr>
                  <w:r>
                    <w:rPr>
                      <w:b/>
                      <w:bCs w:val="0"/>
                      <w:color w:val="auto"/>
                    </w:rPr>
                    <w:t>建筑物外距离/m</w:t>
                  </w:r>
                </w:p>
              </w:tc>
            </w:tr>
            <w:tr w14:paraId="261B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restart"/>
                  <w:tcBorders>
                    <w:tl2br w:val="nil"/>
                    <w:tr2bl w:val="nil"/>
                  </w:tcBorders>
                  <w:vAlign w:val="center"/>
                </w:tcPr>
                <w:p w14:paraId="611E18DB">
                  <w:pPr>
                    <w:pStyle w:val="57"/>
                    <w:rPr>
                      <w:color w:val="auto"/>
                    </w:rPr>
                  </w:pPr>
                  <w:r>
                    <w:rPr>
                      <w:color w:val="auto"/>
                    </w:rPr>
                    <w:t>1</w:t>
                  </w:r>
                </w:p>
              </w:tc>
              <w:tc>
                <w:tcPr>
                  <w:tcW w:w="219" w:type="pct"/>
                  <w:vMerge w:val="restart"/>
                  <w:tcBorders>
                    <w:tl2br w:val="nil"/>
                    <w:tr2bl w:val="nil"/>
                  </w:tcBorders>
                  <w:vAlign w:val="center"/>
                </w:tcPr>
                <w:p w14:paraId="4F724D75">
                  <w:pPr>
                    <w:pStyle w:val="57"/>
                    <w:rPr>
                      <w:color w:val="auto"/>
                    </w:rPr>
                  </w:pPr>
                  <w:r>
                    <w:rPr>
                      <w:color w:val="auto"/>
                    </w:rPr>
                    <w:t>生产车间</w:t>
                  </w:r>
                </w:p>
              </w:tc>
              <w:tc>
                <w:tcPr>
                  <w:tcW w:w="667" w:type="pct"/>
                  <w:tcBorders>
                    <w:tl2br w:val="nil"/>
                    <w:tr2bl w:val="nil"/>
                  </w:tcBorders>
                  <w:vAlign w:val="center"/>
                </w:tcPr>
                <w:p w14:paraId="376D287B">
                  <w:pPr>
                    <w:pStyle w:val="57"/>
                    <w:rPr>
                      <w:color w:val="auto"/>
                    </w:rPr>
                  </w:pPr>
                  <w:r>
                    <w:rPr>
                      <w:rFonts w:hint="eastAsia"/>
                      <w:color w:val="auto"/>
                    </w:rPr>
                    <w:t>注塑机1#</w:t>
                  </w:r>
                </w:p>
              </w:tc>
              <w:tc>
                <w:tcPr>
                  <w:tcW w:w="143" w:type="pct"/>
                  <w:tcBorders>
                    <w:tl2br w:val="nil"/>
                    <w:tr2bl w:val="nil"/>
                  </w:tcBorders>
                  <w:vAlign w:val="center"/>
                </w:tcPr>
                <w:p w14:paraId="6EC69433">
                  <w:pPr>
                    <w:pStyle w:val="57"/>
                    <w:rPr>
                      <w:color w:val="auto"/>
                    </w:rPr>
                  </w:pPr>
                  <w:r>
                    <w:rPr>
                      <w:color w:val="auto"/>
                    </w:rPr>
                    <w:t>/</w:t>
                  </w:r>
                </w:p>
              </w:tc>
              <w:tc>
                <w:tcPr>
                  <w:tcW w:w="717" w:type="pct"/>
                  <w:tcBorders>
                    <w:tl2br w:val="nil"/>
                    <w:tr2bl w:val="nil"/>
                  </w:tcBorders>
                  <w:vAlign w:val="center"/>
                </w:tcPr>
                <w:p w14:paraId="6E4862E3">
                  <w:pPr>
                    <w:pStyle w:val="57"/>
                    <w:rPr>
                      <w:color w:val="auto"/>
                    </w:rPr>
                  </w:pPr>
                  <w:r>
                    <w:rPr>
                      <w:rFonts w:hint="eastAsia"/>
                      <w:color w:val="auto"/>
                    </w:rPr>
                    <w:t>7</w:t>
                  </w:r>
                  <w:r>
                    <w:rPr>
                      <w:color w:val="auto"/>
                    </w:rPr>
                    <w:t>5/1</w:t>
                  </w:r>
                </w:p>
              </w:tc>
              <w:tc>
                <w:tcPr>
                  <w:tcW w:w="346" w:type="pct"/>
                  <w:vMerge w:val="restart"/>
                  <w:tcBorders>
                    <w:tl2br w:val="nil"/>
                    <w:tr2bl w:val="nil"/>
                  </w:tcBorders>
                  <w:vAlign w:val="center"/>
                </w:tcPr>
                <w:p w14:paraId="0BE76B6E">
                  <w:pPr>
                    <w:pStyle w:val="57"/>
                    <w:rPr>
                      <w:color w:val="auto"/>
                    </w:rPr>
                  </w:pPr>
                  <w:r>
                    <w:rPr>
                      <w:color w:val="auto"/>
                    </w:rPr>
                    <w:t>隔声减振</w:t>
                  </w:r>
                </w:p>
              </w:tc>
              <w:tc>
                <w:tcPr>
                  <w:tcW w:w="228" w:type="pct"/>
                  <w:tcBorders>
                    <w:tl2br w:val="nil"/>
                    <w:tr2bl w:val="nil"/>
                  </w:tcBorders>
                  <w:vAlign w:val="center"/>
                </w:tcPr>
                <w:p w14:paraId="1E1DED5F">
                  <w:pPr>
                    <w:pStyle w:val="57"/>
                    <w:rPr>
                      <w:color w:val="auto"/>
                    </w:rPr>
                  </w:pPr>
                  <w:r>
                    <w:rPr>
                      <w:rFonts w:hint="eastAsia"/>
                      <w:color w:val="auto"/>
                    </w:rPr>
                    <w:t>5</w:t>
                  </w:r>
                </w:p>
              </w:tc>
              <w:tc>
                <w:tcPr>
                  <w:tcW w:w="254" w:type="pct"/>
                  <w:tcBorders>
                    <w:tl2br w:val="nil"/>
                    <w:tr2bl w:val="nil"/>
                  </w:tcBorders>
                  <w:vAlign w:val="center"/>
                </w:tcPr>
                <w:p w14:paraId="4B7B856A">
                  <w:pPr>
                    <w:pStyle w:val="57"/>
                    <w:rPr>
                      <w:color w:val="auto"/>
                    </w:rPr>
                  </w:pPr>
                  <w:r>
                    <w:rPr>
                      <w:rFonts w:hint="eastAsia"/>
                      <w:color w:val="auto"/>
                    </w:rPr>
                    <w:t>3</w:t>
                  </w:r>
                </w:p>
              </w:tc>
              <w:tc>
                <w:tcPr>
                  <w:tcW w:w="224" w:type="pct"/>
                  <w:tcBorders>
                    <w:tl2br w:val="nil"/>
                    <w:tr2bl w:val="nil"/>
                  </w:tcBorders>
                  <w:vAlign w:val="center"/>
                </w:tcPr>
                <w:p w14:paraId="240BC059">
                  <w:pPr>
                    <w:pStyle w:val="57"/>
                    <w:rPr>
                      <w:color w:val="auto"/>
                    </w:rPr>
                  </w:pPr>
                  <w:r>
                    <w:rPr>
                      <w:rFonts w:hint="eastAsia"/>
                      <w:color w:val="auto"/>
                    </w:rPr>
                    <w:t>1.5</w:t>
                  </w:r>
                </w:p>
              </w:tc>
              <w:tc>
                <w:tcPr>
                  <w:tcW w:w="288" w:type="pct"/>
                  <w:tcBorders>
                    <w:tl2br w:val="nil"/>
                    <w:tr2bl w:val="nil"/>
                  </w:tcBorders>
                  <w:vAlign w:val="center"/>
                </w:tcPr>
                <w:p w14:paraId="508B07E4">
                  <w:pPr>
                    <w:pStyle w:val="57"/>
                    <w:rPr>
                      <w:color w:val="auto"/>
                    </w:rPr>
                  </w:pPr>
                  <w:r>
                    <w:rPr>
                      <w:rFonts w:hint="eastAsia"/>
                      <w:color w:val="auto"/>
                    </w:rPr>
                    <w:t>5</w:t>
                  </w:r>
                </w:p>
              </w:tc>
              <w:tc>
                <w:tcPr>
                  <w:tcW w:w="378" w:type="pct"/>
                  <w:tcBorders>
                    <w:tl2br w:val="nil"/>
                    <w:tr2bl w:val="nil"/>
                  </w:tcBorders>
                  <w:vAlign w:val="center"/>
                </w:tcPr>
                <w:p w14:paraId="60BB5D14">
                  <w:pPr>
                    <w:pStyle w:val="57"/>
                    <w:rPr>
                      <w:color w:val="auto"/>
                    </w:rPr>
                  </w:pPr>
                  <w:r>
                    <w:rPr>
                      <w:rFonts w:hint="eastAsia"/>
                      <w:color w:val="auto"/>
                    </w:rPr>
                    <w:t>65</w:t>
                  </w:r>
                </w:p>
              </w:tc>
              <w:tc>
                <w:tcPr>
                  <w:tcW w:w="280" w:type="pct"/>
                  <w:vMerge w:val="restart"/>
                  <w:tcBorders>
                    <w:tl2br w:val="nil"/>
                    <w:tr2bl w:val="nil"/>
                  </w:tcBorders>
                  <w:vAlign w:val="center"/>
                </w:tcPr>
                <w:p w14:paraId="537558F8">
                  <w:pPr>
                    <w:pStyle w:val="57"/>
                    <w:rPr>
                      <w:color w:val="auto"/>
                    </w:rPr>
                  </w:pPr>
                  <w:r>
                    <w:rPr>
                      <w:color w:val="auto"/>
                    </w:rPr>
                    <w:t>昼间连续运行</w:t>
                  </w:r>
                </w:p>
              </w:tc>
              <w:tc>
                <w:tcPr>
                  <w:tcW w:w="365" w:type="pct"/>
                  <w:tcBorders>
                    <w:tl2br w:val="nil"/>
                    <w:tr2bl w:val="nil"/>
                  </w:tcBorders>
                  <w:vAlign w:val="center"/>
                </w:tcPr>
                <w:p w14:paraId="425A5F53">
                  <w:pPr>
                    <w:pStyle w:val="57"/>
                    <w:rPr>
                      <w:color w:val="auto"/>
                    </w:rPr>
                  </w:pPr>
                  <w:r>
                    <w:rPr>
                      <w:rFonts w:hint="eastAsia"/>
                      <w:color w:val="auto"/>
                    </w:rPr>
                    <w:t>10</w:t>
                  </w:r>
                </w:p>
              </w:tc>
              <w:tc>
                <w:tcPr>
                  <w:tcW w:w="392" w:type="pct"/>
                  <w:tcBorders>
                    <w:tl2br w:val="nil"/>
                    <w:tr2bl w:val="nil"/>
                  </w:tcBorders>
                  <w:vAlign w:val="center"/>
                </w:tcPr>
                <w:p w14:paraId="6CAFDEE7">
                  <w:pPr>
                    <w:pStyle w:val="57"/>
                    <w:rPr>
                      <w:color w:val="auto"/>
                    </w:rPr>
                  </w:pPr>
                  <w:r>
                    <w:rPr>
                      <w:rFonts w:hint="eastAsia"/>
                      <w:color w:val="auto"/>
                    </w:rPr>
                    <w:t>55</w:t>
                  </w:r>
                </w:p>
              </w:tc>
              <w:tc>
                <w:tcPr>
                  <w:tcW w:w="352" w:type="pct"/>
                  <w:tcBorders>
                    <w:tl2br w:val="nil"/>
                    <w:tr2bl w:val="nil"/>
                  </w:tcBorders>
                  <w:vAlign w:val="center"/>
                </w:tcPr>
                <w:p w14:paraId="1D5AE638">
                  <w:pPr>
                    <w:pStyle w:val="57"/>
                    <w:rPr>
                      <w:color w:val="auto"/>
                    </w:rPr>
                  </w:pPr>
                  <w:r>
                    <w:rPr>
                      <w:color w:val="auto"/>
                    </w:rPr>
                    <w:t>1</w:t>
                  </w:r>
                </w:p>
              </w:tc>
            </w:tr>
            <w:tr w14:paraId="32DBD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7CA6D19B">
                  <w:pPr>
                    <w:pStyle w:val="57"/>
                    <w:rPr>
                      <w:color w:val="auto"/>
                    </w:rPr>
                  </w:pPr>
                </w:p>
              </w:tc>
              <w:tc>
                <w:tcPr>
                  <w:tcW w:w="219" w:type="pct"/>
                  <w:vMerge w:val="continue"/>
                  <w:tcBorders>
                    <w:tl2br w:val="nil"/>
                    <w:tr2bl w:val="nil"/>
                  </w:tcBorders>
                  <w:vAlign w:val="center"/>
                </w:tcPr>
                <w:p w14:paraId="59C54544">
                  <w:pPr>
                    <w:pStyle w:val="57"/>
                    <w:rPr>
                      <w:color w:val="auto"/>
                    </w:rPr>
                  </w:pPr>
                </w:p>
              </w:tc>
              <w:tc>
                <w:tcPr>
                  <w:tcW w:w="667" w:type="pct"/>
                  <w:tcBorders>
                    <w:tl2br w:val="nil"/>
                    <w:tr2bl w:val="nil"/>
                  </w:tcBorders>
                  <w:vAlign w:val="center"/>
                </w:tcPr>
                <w:p w14:paraId="5895F2A0">
                  <w:pPr>
                    <w:pStyle w:val="57"/>
                    <w:rPr>
                      <w:color w:val="auto"/>
                    </w:rPr>
                  </w:pPr>
                  <w:r>
                    <w:rPr>
                      <w:rFonts w:hint="eastAsia"/>
                      <w:color w:val="auto"/>
                    </w:rPr>
                    <w:t>注塑机2#</w:t>
                  </w:r>
                </w:p>
              </w:tc>
              <w:tc>
                <w:tcPr>
                  <w:tcW w:w="143" w:type="pct"/>
                  <w:tcBorders>
                    <w:tl2br w:val="nil"/>
                    <w:tr2bl w:val="nil"/>
                  </w:tcBorders>
                  <w:vAlign w:val="center"/>
                </w:tcPr>
                <w:p w14:paraId="2CA33FBF">
                  <w:pPr>
                    <w:pStyle w:val="57"/>
                    <w:rPr>
                      <w:color w:val="auto"/>
                    </w:rPr>
                  </w:pPr>
                  <w:r>
                    <w:rPr>
                      <w:color w:val="auto"/>
                    </w:rPr>
                    <w:t>/</w:t>
                  </w:r>
                </w:p>
              </w:tc>
              <w:tc>
                <w:tcPr>
                  <w:tcW w:w="717" w:type="pct"/>
                  <w:tcBorders>
                    <w:tl2br w:val="nil"/>
                    <w:tr2bl w:val="nil"/>
                  </w:tcBorders>
                  <w:vAlign w:val="center"/>
                </w:tcPr>
                <w:p w14:paraId="338996D6">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50CE9EB8">
                  <w:pPr>
                    <w:pStyle w:val="57"/>
                    <w:rPr>
                      <w:color w:val="auto"/>
                    </w:rPr>
                  </w:pPr>
                </w:p>
              </w:tc>
              <w:tc>
                <w:tcPr>
                  <w:tcW w:w="228" w:type="pct"/>
                  <w:tcBorders>
                    <w:tl2br w:val="nil"/>
                    <w:tr2bl w:val="nil"/>
                  </w:tcBorders>
                  <w:vAlign w:val="center"/>
                </w:tcPr>
                <w:p w14:paraId="534DECD7">
                  <w:pPr>
                    <w:pStyle w:val="57"/>
                    <w:rPr>
                      <w:color w:val="auto"/>
                    </w:rPr>
                  </w:pPr>
                  <w:r>
                    <w:rPr>
                      <w:rFonts w:hint="eastAsia"/>
                      <w:color w:val="auto"/>
                    </w:rPr>
                    <w:t>5</w:t>
                  </w:r>
                </w:p>
              </w:tc>
              <w:tc>
                <w:tcPr>
                  <w:tcW w:w="254" w:type="pct"/>
                  <w:tcBorders>
                    <w:tl2br w:val="nil"/>
                    <w:tr2bl w:val="nil"/>
                  </w:tcBorders>
                  <w:vAlign w:val="center"/>
                </w:tcPr>
                <w:p w14:paraId="66382604">
                  <w:pPr>
                    <w:pStyle w:val="57"/>
                    <w:rPr>
                      <w:color w:val="auto"/>
                    </w:rPr>
                  </w:pPr>
                  <w:r>
                    <w:rPr>
                      <w:rFonts w:hint="eastAsia"/>
                      <w:color w:val="auto"/>
                    </w:rPr>
                    <w:t>6</w:t>
                  </w:r>
                </w:p>
              </w:tc>
              <w:tc>
                <w:tcPr>
                  <w:tcW w:w="224" w:type="pct"/>
                  <w:tcBorders>
                    <w:tl2br w:val="nil"/>
                    <w:tr2bl w:val="nil"/>
                  </w:tcBorders>
                  <w:vAlign w:val="center"/>
                </w:tcPr>
                <w:p w14:paraId="18057C2F">
                  <w:pPr>
                    <w:pStyle w:val="57"/>
                    <w:rPr>
                      <w:rFonts w:hint="eastAsia"/>
                      <w:color w:val="auto"/>
                    </w:rPr>
                  </w:pPr>
                  <w:r>
                    <w:rPr>
                      <w:rFonts w:hint="eastAsia"/>
                      <w:color w:val="auto"/>
                    </w:rPr>
                    <w:t>1.5</w:t>
                  </w:r>
                </w:p>
              </w:tc>
              <w:tc>
                <w:tcPr>
                  <w:tcW w:w="288" w:type="pct"/>
                  <w:tcBorders>
                    <w:tl2br w:val="nil"/>
                    <w:tr2bl w:val="nil"/>
                  </w:tcBorders>
                  <w:vAlign w:val="center"/>
                </w:tcPr>
                <w:p w14:paraId="33DCE52A">
                  <w:pPr>
                    <w:pStyle w:val="57"/>
                    <w:rPr>
                      <w:rFonts w:hint="eastAsia"/>
                      <w:color w:val="auto"/>
                    </w:rPr>
                  </w:pPr>
                  <w:r>
                    <w:rPr>
                      <w:rFonts w:hint="eastAsia"/>
                      <w:color w:val="auto"/>
                    </w:rPr>
                    <w:t>5</w:t>
                  </w:r>
                </w:p>
              </w:tc>
              <w:tc>
                <w:tcPr>
                  <w:tcW w:w="378" w:type="pct"/>
                  <w:tcBorders>
                    <w:tl2br w:val="nil"/>
                    <w:tr2bl w:val="nil"/>
                  </w:tcBorders>
                  <w:vAlign w:val="center"/>
                </w:tcPr>
                <w:p w14:paraId="68747C7F">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23ED5FB8">
                  <w:pPr>
                    <w:pStyle w:val="57"/>
                    <w:rPr>
                      <w:color w:val="auto"/>
                    </w:rPr>
                  </w:pPr>
                </w:p>
              </w:tc>
              <w:tc>
                <w:tcPr>
                  <w:tcW w:w="365" w:type="pct"/>
                  <w:tcBorders>
                    <w:tl2br w:val="nil"/>
                    <w:tr2bl w:val="nil"/>
                  </w:tcBorders>
                  <w:vAlign w:val="center"/>
                </w:tcPr>
                <w:p w14:paraId="1E576613">
                  <w:pPr>
                    <w:pStyle w:val="57"/>
                    <w:rPr>
                      <w:rFonts w:hint="eastAsia"/>
                      <w:color w:val="auto"/>
                    </w:rPr>
                  </w:pPr>
                  <w:r>
                    <w:rPr>
                      <w:rFonts w:hint="eastAsia"/>
                      <w:color w:val="auto"/>
                    </w:rPr>
                    <w:t>10</w:t>
                  </w:r>
                </w:p>
              </w:tc>
              <w:tc>
                <w:tcPr>
                  <w:tcW w:w="392" w:type="pct"/>
                  <w:tcBorders>
                    <w:tl2br w:val="nil"/>
                    <w:tr2bl w:val="nil"/>
                  </w:tcBorders>
                  <w:vAlign w:val="center"/>
                </w:tcPr>
                <w:p w14:paraId="47E46579">
                  <w:pPr>
                    <w:pStyle w:val="57"/>
                    <w:rPr>
                      <w:rFonts w:hint="eastAsia"/>
                      <w:color w:val="auto"/>
                    </w:rPr>
                  </w:pPr>
                  <w:r>
                    <w:rPr>
                      <w:rFonts w:hint="eastAsia"/>
                      <w:color w:val="auto"/>
                    </w:rPr>
                    <w:t>55</w:t>
                  </w:r>
                </w:p>
              </w:tc>
              <w:tc>
                <w:tcPr>
                  <w:tcW w:w="352" w:type="pct"/>
                  <w:tcBorders>
                    <w:tl2br w:val="nil"/>
                    <w:tr2bl w:val="nil"/>
                  </w:tcBorders>
                  <w:vAlign w:val="center"/>
                </w:tcPr>
                <w:p w14:paraId="6A809708">
                  <w:pPr>
                    <w:pStyle w:val="57"/>
                    <w:rPr>
                      <w:color w:val="auto"/>
                    </w:rPr>
                  </w:pPr>
                  <w:r>
                    <w:rPr>
                      <w:color w:val="auto"/>
                    </w:rPr>
                    <w:t>1</w:t>
                  </w:r>
                </w:p>
              </w:tc>
            </w:tr>
            <w:tr w14:paraId="1D25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12C1D8F2">
                  <w:pPr>
                    <w:pStyle w:val="57"/>
                    <w:rPr>
                      <w:color w:val="auto"/>
                    </w:rPr>
                  </w:pPr>
                </w:p>
              </w:tc>
              <w:tc>
                <w:tcPr>
                  <w:tcW w:w="219" w:type="pct"/>
                  <w:vMerge w:val="continue"/>
                  <w:tcBorders>
                    <w:tl2br w:val="nil"/>
                    <w:tr2bl w:val="nil"/>
                  </w:tcBorders>
                  <w:vAlign w:val="center"/>
                </w:tcPr>
                <w:p w14:paraId="7A852499">
                  <w:pPr>
                    <w:pStyle w:val="57"/>
                    <w:rPr>
                      <w:color w:val="auto"/>
                    </w:rPr>
                  </w:pPr>
                </w:p>
              </w:tc>
              <w:tc>
                <w:tcPr>
                  <w:tcW w:w="667" w:type="pct"/>
                  <w:tcBorders>
                    <w:tl2br w:val="nil"/>
                    <w:tr2bl w:val="nil"/>
                  </w:tcBorders>
                  <w:vAlign w:val="center"/>
                </w:tcPr>
                <w:p w14:paraId="6BB4AB95">
                  <w:pPr>
                    <w:pStyle w:val="57"/>
                    <w:rPr>
                      <w:color w:val="auto"/>
                    </w:rPr>
                  </w:pPr>
                  <w:r>
                    <w:rPr>
                      <w:rFonts w:hint="eastAsia"/>
                      <w:color w:val="auto"/>
                    </w:rPr>
                    <w:t>注塑机3#</w:t>
                  </w:r>
                </w:p>
              </w:tc>
              <w:tc>
                <w:tcPr>
                  <w:tcW w:w="143" w:type="pct"/>
                  <w:tcBorders>
                    <w:tl2br w:val="nil"/>
                    <w:tr2bl w:val="nil"/>
                  </w:tcBorders>
                  <w:vAlign w:val="center"/>
                </w:tcPr>
                <w:p w14:paraId="189DB6DD">
                  <w:pPr>
                    <w:pStyle w:val="57"/>
                    <w:rPr>
                      <w:color w:val="auto"/>
                    </w:rPr>
                  </w:pPr>
                  <w:r>
                    <w:rPr>
                      <w:color w:val="auto"/>
                    </w:rPr>
                    <w:t>/</w:t>
                  </w:r>
                </w:p>
              </w:tc>
              <w:tc>
                <w:tcPr>
                  <w:tcW w:w="717" w:type="pct"/>
                  <w:tcBorders>
                    <w:tl2br w:val="nil"/>
                    <w:tr2bl w:val="nil"/>
                  </w:tcBorders>
                  <w:vAlign w:val="center"/>
                </w:tcPr>
                <w:p w14:paraId="58A2C729">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1AE40AB7">
                  <w:pPr>
                    <w:pStyle w:val="57"/>
                    <w:rPr>
                      <w:color w:val="auto"/>
                    </w:rPr>
                  </w:pPr>
                </w:p>
              </w:tc>
              <w:tc>
                <w:tcPr>
                  <w:tcW w:w="228" w:type="pct"/>
                  <w:tcBorders>
                    <w:tl2br w:val="nil"/>
                    <w:tr2bl w:val="nil"/>
                  </w:tcBorders>
                  <w:vAlign w:val="center"/>
                </w:tcPr>
                <w:p w14:paraId="424E31AA">
                  <w:pPr>
                    <w:pStyle w:val="57"/>
                    <w:rPr>
                      <w:color w:val="auto"/>
                    </w:rPr>
                  </w:pPr>
                  <w:r>
                    <w:rPr>
                      <w:rFonts w:hint="eastAsia"/>
                      <w:color w:val="auto"/>
                    </w:rPr>
                    <w:t>5</w:t>
                  </w:r>
                </w:p>
              </w:tc>
              <w:tc>
                <w:tcPr>
                  <w:tcW w:w="254" w:type="pct"/>
                  <w:tcBorders>
                    <w:tl2br w:val="nil"/>
                    <w:tr2bl w:val="nil"/>
                  </w:tcBorders>
                  <w:vAlign w:val="center"/>
                </w:tcPr>
                <w:p w14:paraId="0D20C033">
                  <w:pPr>
                    <w:pStyle w:val="57"/>
                    <w:rPr>
                      <w:color w:val="auto"/>
                    </w:rPr>
                  </w:pPr>
                  <w:r>
                    <w:rPr>
                      <w:rFonts w:hint="eastAsia"/>
                      <w:color w:val="auto"/>
                    </w:rPr>
                    <w:t>9</w:t>
                  </w:r>
                </w:p>
              </w:tc>
              <w:tc>
                <w:tcPr>
                  <w:tcW w:w="224" w:type="pct"/>
                  <w:tcBorders>
                    <w:tl2br w:val="nil"/>
                    <w:tr2bl w:val="nil"/>
                  </w:tcBorders>
                  <w:vAlign w:val="center"/>
                </w:tcPr>
                <w:p w14:paraId="7ACA1BFE">
                  <w:pPr>
                    <w:pStyle w:val="57"/>
                    <w:rPr>
                      <w:rFonts w:hint="eastAsia"/>
                      <w:color w:val="auto"/>
                    </w:rPr>
                  </w:pPr>
                  <w:r>
                    <w:rPr>
                      <w:rFonts w:hint="eastAsia"/>
                      <w:color w:val="auto"/>
                    </w:rPr>
                    <w:t>1.5</w:t>
                  </w:r>
                </w:p>
              </w:tc>
              <w:tc>
                <w:tcPr>
                  <w:tcW w:w="288" w:type="pct"/>
                  <w:tcBorders>
                    <w:tl2br w:val="nil"/>
                    <w:tr2bl w:val="nil"/>
                  </w:tcBorders>
                  <w:vAlign w:val="center"/>
                </w:tcPr>
                <w:p w14:paraId="2A64EDE2">
                  <w:pPr>
                    <w:pStyle w:val="57"/>
                    <w:rPr>
                      <w:rFonts w:hint="eastAsia"/>
                      <w:color w:val="auto"/>
                    </w:rPr>
                  </w:pPr>
                  <w:r>
                    <w:rPr>
                      <w:rFonts w:hint="eastAsia"/>
                      <w:color w:val="auto"/>
                    </w:rPr>
                    <w:t>5</w:t>
                  </w:r>
                </w:p>
              </w:tc>
              <w:tc>
                <w:tcPr>
                  <w:tcW w:w="378" w:type="pct"/>
                  <w:tcBorders>
                    <w:tl2br w:val="nil"/>
                    <w:tr2bl w:val="nil"/>
                  </w:tcBorders>
                  <w:vAlign w:val="center"/>
                </w:tcPr>
                <w:p w14:paraId="7DC4106C">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07246EBB">
                  <w:pPr>
                    <w:pStyle w:val="57"/>
                    <w:rPr>
                      <w:color w:val="auto"/>
                    </w:rPr>
                  </w:pPr>
                </w:p>
              </w:tc>
              <w:tc>
                <w:tcPr>
                  <w:tcW w:w="365" w:type="pct"/>
                  <w:tcBorders>
                    <w:tl2br w:val="nil"/>
                    <w:tr2bl w:val="nil"/>
                  </w:tcBorders>
                  <w:vAlign w:val="center"/>
                </w:tcPr>
                <w:p w14:paraId="27917C96">
                  <w:pPr>
                    <w:pStyle w:val="57"/>
                    <w:rPr>
                      <w:rFonts w:hint="eastAsia"/>
                      <w:color w:val="auto"/>
                    </w:rPr>
                  </w:pPr>
                  <w:r>
                    <w:rPr>
                      <w:rFonts w:hint="eastAsia"/>
                      <w:color w:val="auto"/>
                    </w:rPr>
                    <w:t>10</w:t>
                  </w:r>
                </w:p>
              </w:tc>
              <w:tc>
                <w:tcPr>
                  <w:tcW w:w="392" w:type="pct"/>
                  <w:tcBorders>
                    <w:tl2br w:val="nil"/>
                    <w:tr2bl w:val="nil"/>
                  </w:tcBorders>
                  <w:vAlign w:val="center"/>
                </w:tcPr>
                <w:p w14:paraId="18649EB0">
                  <w:pPr>
                    <w:pStyle w:val="57"/>
                    <w:rPr>
                      <w:rFonts w:hint="eastAsia"/>
                      <w:color w:val="auto"/>
                    </w:rPr>
                  </w:pPr>
                  <w:r>
                    <w:rPr>
                      <w:rFonts w:hint="eastAsia"/>
                      <w:color w:val="auto"/>
                    </w:rPr>
                    <w:t>55</w:t>
                  </w:r>
                </w:p>
              </w:tc>
              <w:tc>
                <w:tcPr>
                  <w:tcW w:w="352" w:type="pct"/>
                  <w:tcBorders>
                    <w:tl2br w:val="nil"/>
                    <w:tr2bl w:val="nil"/>
                  </w:tcBorders>
                  <w:vAlign w:val="center"/>
                </w:tcPr>
                <w:p w14:paraId="0B16F1F5">
                  <w:pPr>
                    <w:pStyle w:val="57"/>
                    <w:rPr>
                      <w:color w:val="auto"/>
                    </w:rPr>
                  </w:pPr>
                  <w:r>
                    <w:rPr>
                      <w:color w:val="auto"/>
                    </w:rPr>
                    <w:t>1</w:t>
                  </w:r>
                </w:p>
              </w:tc>
            </w:tr>
            <w:tr w14:paraId="7F2A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4656FF43">
                  <w:pPr>
                    <w:pStyle w:val="57"/>
                    <w:rPr>
                      <w:color w:val="auto"/>
                    </w:rPr>
                  </w:pPr>
                </w:p>
              </w:tc>
              <w:tc>
                <w:tcPr>
                  <w:tcW w:w="219" w:type="pct"/>
                  <w:vMerge w:val="continue"/>
                  <w:tcBorders>
                    <w:tl2br w:val="nil"/>
                    <w:tr2bl w:val="nil"/>
                  </w:tcBorders>
                  <w:vAlign w:val="center"/>
                </w:tcPr>
                <w:p w14:paraId="0DA6ADB2">
                  <w:pPr>
                    <w:pStyle w:val="57"/>
                    <w:rPr>
                      <w:color w:val="auto"/>
                    </w:rPr>
                  </w:pPr>
                </w:p>
              </w:tc>
              <w:tc>
                <w:tcPr>
                  <w:tcW w:w="667" w:type="pct"/>
                  <w:tcBorders>
                    <w:tl2br w:val="nil"/>
                    <w:tr2bl w:val="nil"/>
                  </w:tcBorders>
                  <w:vAlign w:val="center"/>
                </w:tcPr>
                <w:p w14:paraId="2F7CCB13">
                  <w:pPr>
                    <w:pStyle w:val="57"/>
                    <w:rPr>
                      <w:color w:val="auto"/>
                    </w:rPr>
                  </w:pPr>
                  <w:r>
                    <w:rPr>
                      <w:rFonts w:hint="eastAsia"/>
                      <w:color w:val="auto"/>
                    </w:rPr>
                    <w:t>注塑机4#</w:t>
                  </w:r>
                </w:p>
              </w:tc>
              <w:tc>
                <w:tcPr>
                  <w:tcW w:w="143" w:type="pct"/>
                  <w:tcBorders>
                    <w:tl2br w:val="nil"/>
                    <w:tr2bl w:val="nil"/>
                  </w:tcBorders>
                  <w:vAlign w:val="center"/>
                </w:tcPr>
                <w:p w14:paraId="5445D8B5">
                  <w:pPr>
                    <w:pStyle w:val="57"/>
                    <w:rPr>
                      <w:color w:val="auto"/>
                    </w:rPr>
                  </w:pPr>
                  <w:r>
                    <w:rPr>
                      <w:color w:val="auto"/>
                    </w:rPr>
                    <w:t>/</w:t>
                  </w:r>
                </w:p>
              </w:tc>
              <w:tc>
                <w:tcPr>
                  <w:tcW w:w="717" w:type="pct"/>
                  <w:tcBorders>
                    <w:tl2br w:val="nil"/>
                    <w:tr2bl w:val="nil"/>
                  </w:tcBorders>
                  <w:vAlign w:val="center"/>
                </w:tcPr>
                <w:p w14:paraId="3BAFC076">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550A5540">
                  <w:pPr>
                    <w:pStyle w:val="57"/>
                    <w:rPr>
                      <w:color w:val="auto"/>
                    </w:rPr>
                  </w:pPr>
                </w:p>
              </w:tc>
              <w:tc>
                <w:tcPr>
                  <w:tcW w:w="228" w:type="pct"/>
                  <w:tcBorders>
                    <w:tl2br w:val="nil"/>
                    <w:tr2bl w:val="nil"/>
                  </w:tcBorders>
                  <w:vAlign w:val="center"/>
                </w:tcPr>
                <w:p w14:paraId="1731812A">
                  <w:pPr>
                    <w:pStyle w:val="57"/>
                    <w:rPr>
                      <w:color w:val="auto"/>
                    </w:rPr>
                  </w:pPr>
                  <w:r>
                    <w:rPr>
                      <w:rFonts w:hint="eastAsia"/>
                      <w:color w:val="auto"/>
                    </w:rPr>
                    <w:t>5</w:t>
                  </w:r>
                </w:p>
              </w:tc>
              <w:tc>
                <w:tcPr>
                  <w:tcW w:w="254" w:type="pct"/>
                  <w:tcBorders>
                    <w:tl2br w:val="nil"/>
                    <w:tr2bl w:val="nil"/>
                  </w:tcBorders>
                  <w:vAlign w:val="center"/>
                </w:tcPr>
                <w:p w14:paraId="0C2344DF">
                  <w:pPr>
                    <w:pStyle w:val="57"/>
                    <w:rPr>
                      <w:color w:val="auto"/>
                    </w:rPr>
                  </w:pPr>
                  <w:r>
                    <w:rPr>
                      <w:rFonts w:hint="eastAsia"/>
                      <w:color w:val="auto"/>
                    </w:rPr>
                    <w:t>12</w:t>
                  </w:r>
                </w:p>
              </w:tc>
              <w:tc>
                <w:tcPr>
                  <w:tcW w:w="224" w:type="pct"/>
                  <w:tcBorders>
                    <w:tl2br w:val="nil"/>
                    <w:tr2bl w:val="nil"/>
                  </w:tcBorders>
                  <w:vAlign w:val="center"/>
                </w:tcPr>
                <w:p w14:paraId="18955848">
                  <w:pPr>
                    <w:pStyle w:val="57"/>
                    <w:rPr>
                      <w:rFonts w:hint="eastAsia"/>
                      <w:color w:val="auto"/>
                    </w:rPr>
                  </w:pPr>
                  <w:r>
                    <w:rPr>
                      <w:rFonts w:hint="eastAsia"/>
                      <w:color w:val="auto"/>
                    </w:rPr>
                    <w:t>1.5</w:t>
                  </w:r>
                </w:p>
              </w:tc>
              <w:tc>
                <w:tcPr>
                  <w:tcW w:w="288" w:type="pct"/>
                  <w:tcBorders>
                    <w:tl2br w:val="nil"/>
                    <w:tr2bl w:val="nil"/>
                  </w:tcBorders>
                  <w:vAlign w:val="center"/>
                </w:tcPr>
                <w:p w14:paraId="114E0E84">
                  <w:pPr>
                    <w:pStyle w:val="57"/>
                    <w:rPr>
                      <w:rFonts w:hint="eastAsia"/>
                      <w:color w:val="auto"/>
                    </w:rPr>
                  </w:pPr>
                  <w:r>
                    <w:rPr>
                      <w:rFonts w:hint="eastAsia"/>
                      <w:color w:val="auto"/>
                    </w:rPr>
                    <w:t>5</w:t>
                  </w:r>
                </w:p>
              </w:tc>
              <w:tc>
                <w:tcPr>
                  <w:tcW w:w="378" w:type="pct"/>
                  <w:tcBorders>
                    <w:tl2br w:val="nil"/>
                    <w:tr2bl w:val="nil"/>
                  </w:tcBorders>
                  <w:vAlign w:val="center"/>
                </w:tcPr>
                <w:p w14:paraId="6AE5FF05">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69D304D7">
                  <w:pPr>
                    <w:pStyle w:val="57"/>
                    <w:rPr>
                      <w:color w:val="auto"/>
                    </w:rPr>
                  </w:pPr>
                </w:p>
              </w:tc>
              <w:tc>
                <w:tcPr>
                  <w:tcW w:w="365" w:type="pct"/>
                  <w:tcBorders>
                    <w:tl2br w:val="nil"/>
                    <w:tr2bl w:val="nil"/>
                  </w:tcBorders>
                  <w:vAlign w:val="center"/>
                </w:tcPr>
                <w:p w14:paraId="66589923">
                  <w:pPr>
                    <w:pStyle w:val="57"/>
                    <w:rPr>
                      <w:rFonts w:hint="eastAsia"/>
                      <w:color w:val="auto"/>
                    </w:rPr>
                  </w:pPr>
                  <w:r>
                    <w:rPr>
                      <w:rFonts w:hint="eastAsia"/>
                      <w:color w:val="auto"/>
                    </w:rPr>
                    <w:t>10</w:t>
                  </w:r>
                </w:p>
              </w:tc>
              <w:tc>
                <w:tcPr>
                  <w:tcW w:w="392" w:type="pct"/>
                  <w:tcBorders>
                    <w:tl2br w:val="nil"/>
                    <w:tr2bl w:val="nil"/>
                  </w:tcBorders>
                  <w:vAlign w:val="center"/>
                </w:tcPr>
                <w:p w14:paraId="78644D02">
                  <w:pPr>
                    <w:pStyle w:val="57"/>
                    <w:rPr>
                      <w:rFonts w:hint="eastAsia"/>
                      <w:color w:val="auto"/>
                    </w:rPr>
                  </w:pPr>
                  <w:r>
                    <w:rPr>
                      <w:rFonts w:hint="eastAsia"/>
                      <w:color w:val="auto"/>
                    </w:rPr>
                    <w:t>55</w:t>
                  </w:r>
                </w:p>
              </w:tc>
              <w:tc>
                <w:tcPr>
                  <w:tcW w:w="352" w:type="pct"/>
                  <w:tcBorders>
                    <w:tl2br w:val="nil"/>
                    <w:tr2bl w:val="nil"/>
                  </w:tcBorders>
                  <w:vAlign w:val="center"/>
                </w:tcPr>
                <w:p w14:paraId="1C646A84">
                  <w:pPr>
                    <w:pStyle w:val="57"/>
                    <w:rPr>
                      <w:color w:val="auto"/>
                    </w:rPr>
                  </w:pPr>
                  <w:r>
                    <w:rPr>
                      <w:color w:val="auto"/>
                    </w:rPr>
                    <w:t>1</w:t>
                  </w:r>
                </w:p>
              </w:tc>
            </w:tr>
            <w:tr w14:paraId="2FC3E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633DEAE4">
                  <w:pPr>
                    <w:pStyle w:val="57"/>
                    <w:rPr>
                      <w:color w:val="auto"/>
                    </w:rPr>
                  </w:pPr>
                </w:p>
              </w:tc>
              <w:tc>
                <w:tcPr>
                  <w:tcW w:w="219" w:type="pct"/>
                  <w:vMerge w:val="continue"/>
                  <w:tcBorders>
                    <w:tl2br w:val="nil"/>
                    <w:tr2bl w:val="nil"/>
                  </w:tcBorders>
                  <w:vAlign w:val="center"/>
                </w:tcPr>
                <w:p w14:paraId="507D8DDB">
                  <w:pPr>
                    <w:pStyle w:val="57"/>
                    <w:rPr>
                      <w:color w:val="auto"/>
                    </w:rPr>
                  </w:pPr>
                </w:p>
              </w:tc>
              <w:tc>
                <w:tcPr>
                  <w:tcW w:w="667" w:type="pct"/>
                  <w:tcBorders>
                    <w:tl2br w:val="nil"/>
                    <w:tr2bl w:val="nil"/>
                  </w:tcBorders>
                  <w:vAlign w:val="center"/>
                </w:tcPr>
                <w:p w14:paraId="1E6BB6ED">
                  <w:pPr>
                    <w:pStyle w:val="57"/>
                    <w:rPr>
                      <w:color w:val="auto"/>
                    </w:rPr>
                  </w:pPr>
                  <w:r>
                    <w:rPr>
                      <w:rFonts w:hint="eastAsia"/>
                      <w:color w:val="auto"/>
                    </w:rPr>
                    <w:t>注塑机5#</w:t>
                  </w:r>
                </w:p>
              </w:tc>
              <w:tc>
                <w:tcPr>
                  <w:tcW w:w="143" w:type="pct"/>
                  <w:tcBorders>
                    <w:tl2br w:val="nil"/>
                    <w:tr2bl w:val="nil"/>
                  </w:tcBorders>
                  <w:vAlign w:val="center"/>
                </w:tcPr>
                <w:p w14:paraId="5F29FDD2">
                  <w:pPr>
                    <w:pStyle w:val="57"/>
                    <w:rPr>
                      <w:color w:val="auto"/>
                    </w:rPr>
                  </w:pPr>
                  <w:r>
                    <w:rPr>
                      <w:color w:val="auto"/>
                    </w:rPr>
                    <w:t>/</w:t>
                  </w:r>
                </w:p>
              </w:tc>
              <w:tc>
                <w:tcPr>
                  <w:tcW w:w="717" w:type="pct"/>
                  <w:tcBorders>
                    <w:tl2br w:val="nil"/>
                    <w:tr2bl w:val="nil"/>
                  </w:tcBorders>
                  <w:vAlign w:val="center"/>
                </w:tcPr>
                <w:p w14:paraId="46405D9E">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445FA16D">
                  <w:pPr>
                    <w:pStyle w:val="57"/>
                    <w:rPr>
                      <w:color w:val="auto"/>
                    </w:rPr>
                  </w:pPr>
                </w:p>
              </w:tc>
              <w:tc>
                <w:tcPr>
                  <w:tcW w:w="228" w:type="pct"/>
                  <w:tcBorders>
                    <w:tl2br w:val="nil"/>
                    <w:tr2bl w:val="nil"/>
                  </w:tcBorders>
                  <w:vAlign w:val="center"/>
                </w:tcPr>
                <w:p w14:paraId="604B95B0">
                  <w:pPr>
                    <w:pStyle w:val="57"/>
                    <w:rPr>
                      <w:color w:val="auto"/>
                    </w:rPr>
                  </w:pPr>
                  <w:r>
                    <w:rPr>
                      <w:rFonts w:hint="eastAsia"/>
                      <w:color w:val="auto"/>
                    </w:rPr>
                    <w:t>5</w:t>
                  </w:r>
                </w:p>
              </w:tc>
              <w:tc>
                <w:tcPr>
                  <w:tcW w:w="254" w:type="pct"/>
                  <w:tcBorders>
                    <w:tl2br w:val="nil"/>
                    <w:tr2bl w:val="nil"/>
                  </w:tcBorders>
                  <w:vAlign w:val="center"/>
                </w:tcPr>
                <w:p w14:paraId="39F7199F">
                  <w:pPr>
                    <w:pStyle w:val="57"/>
                    <w:rPr>
                      <w:color w:val="auto"/>
                    </w:rPr>
                  </w:pPr>
                  <w:r>
                    <w:rPr>
                      <w:rFonts w:hint="eastAsia"/>
                      <w:color w:val="auto"/>
                    </w:rPr>
                    <w:t>15</w:t>
                  </w:r>
                </w:p>
              </w:tc>
              <w:tc>
                <w:tcPr>
                  <w:tcW w:w="224" w:type="pct"/>
                  <w:tcBorders>
                    <w:tl2br w:val="nil"/>
                    <w:tr2bl w:val="nil"/>
                  </w:tcBorders>
                  <w:vAlign w:val="center"/>
                </w:tcPr>
                <w:p w14:paraId="2020FDD3">
                  <w:pPr>
                    <w:pStyle w:val="57"/>
                    <w:rPr>
                      <w:rFonts w:hint="eastAsia"/>
                      <w:color w:val="auto"/>
                    </w:rPr>
                  </w:pPr>
                  <w:r>
                    <w:rPr>
                      <w:rFonts w:hint="eastAsia"/>
                      <w:color w:val="auto"/>
                    </w:rPr>
                    <w:t>1.5</w:t>
                  </w:r>
                </w:p>
              </w:tc>
              <w:tc>
                <w:tcPr>
                  <w:tcW w:w="288" w:type="pct"/>
                  <w:tcBorders>
                    <w:tl2br w:val="nil"/>
                    <w:tr2bl w:val="nil"/>
                  </w:tcBorders>
                  <w:vAlign w:val="center"/>
                </w:tcPr>
                <w:p w14:paraId="1CE8BB9B">
                  <w:pPr>
                    <w:pStyle w:val="57"/>
                    <w:rPr>
                      <w:rFonts w:hint="eastAsia"/>
                      <w:color w:val="auto"/>
                    </w:rPr>
                  </w:pPr>
                  <w:r>
                    <w:rPr>
                      <w:rFonts w:hint="eastAsia"/>
                      <w:color w:val="auto"/>
                    </w:rPr>
                    <w:t>5</w:t>
                  </w:r>
                </w:p>
              </w:tc>
              <w:tc>
                <w:tcPr>
                  <w:tcW w:w="378" w:type="pct"/>
                  <w:tcBorders>
                    <w:tl2br w:val="nil"/>
                    <w:tr2bl w:val="nil"/>
                  </w:tcBorders>
                  <w:vAlign w:val="center"/>
                </w:tcPr>
                <w:p w14:paraId="757D6195">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30A1B16D">
                  <w:pPr>
                    <w:pStyle w:val="57"/>
                    <w:rPr>
                      <w:color w:val="auto"/>
                    </w:rPr>
                  </w:pPr>
                </w:p>
              </w:tc>
              <w:tc>
                <w:tcPr>
                  <w:tcW w:w="365" w:type="pct"/>
                  <w:tcBorders>
                    <w:tl2br w:val="nil"/>
                    <w:tr2bl w:val="nil"/>
                  </w:tcBorders>
                  <w:vAlign w:val="center"/>
                </w:tcPr>
                <w:p w14:paraId="6856DC02">
                  <w:pPr>
                    <w:pStyle w:val="57"/>
                    <w:rPr>
                      <w:rFonts w:hint="eastAsia"/>
                      <w:color w:val="auto"/>
                    </w:rPr>
                  </w:pPr>
                  <w:r>
                    <w:rPr>
                      <w:rFonts w:hint="eastAsia"/>
                      <w:color w:val="auto"/>
                    </w:rPr>
                    <w:t>10</w:t>
                  </w:r>
                </w:p>
              </w:tc>
              <w:tc>
                <w:tcPr>
                  <w:tcW w:w="392" w:type="pct"/>
                  <w:tcBorders>
                    <w:tl2br w:val="nil"/>
                    <w:tr2bl w:val="nil"/>
                  </w:tcBorders>
                  <w:vAlign w:val="center"/>
                </w:tcPr>
                <w:p w14:paraId="7BF27C92">
                  <w:pPr>
                    <w:pStyle w:val="57"/>
                    <w:rPr>
                      <w:rFonts w:hint="eastAsia"/>
                      <w:color w:val="auto"/>
                    </w:rPr>
                  </w:pPr>
                  <w:r>
                    <w:rPr>
                      <w:rFonts w:hint="eastAsia"/>
                      <w:color w:val="auto"/>
                    </w:rPr>
                    <w:t>55</w:t>
                  </w:r>
                </w:p>
              </w:tc>
              <w:tc>
                <w:tcPr>
                  <w:tcW w:w="352" w:type="pct"/>
                  <w:tcBorders>
                    <w:tl2br w:val="nil"/>
                    <w:tr2bl w:val="nil"/>
                  </w:tcBorders>
                  <w:vAlign w:val="center"/>
                </w:tcPr>
                <w:p w14:paraId="748E9003">
                  <w:pPr>
                    <w:pStyle w:val="57"/>
                    <w:rPr>
                      <w:color w:val="auto"/>
                    </w:rPr>
                  </w:pPr>
                  <w:r>
                    <w:rPr>
                      <w:color w:val="auto"/>
                    </w:rPr>
                    <w:t>1</w:t>
                  </w:r>
                </w:p>
              </w:tc>
            </w:tr>
            <w:tr w14:paraId="5CA6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0BA10F73">
                  <w:pPr>
                    <w:pStyle w:val="57"/>
                    <w:rPr>
                      <w:color w:val="auto"/>
                    </w:rPr>
                  </w:pPr>
                </w:p>
              </w:tc>
              <w:tc>
                <w:tcPr>
                  <w:tcW w:w="219" w:type="pct"/>
                  <w:vMerge w:val="continue"/>
                  <w:tcBorders>
                    <w:tl2br w:val="nil"/>
                    <w:tr2bl w:val="nil"/>
                  </w:tcBorders>
                  <w:vAlign w:val="center"/>
                </w:tcPr>
                <w:p w14:paraId="0B4A8E99">
                  <w:pPr>
                    <w:pStyle w:val="57"/>
                    <w:rPr>
                      <w:color w:val="auto"/>
                    </w:rPr>
                  </w:pPr>
                </w:p>
              </w:tc>
              <w:tc>
                <w:tcPr>
                  <w:tcW w:w="667" w:type="pct"/>
                  <w:tcBorders>
                    <w:tl2br w:val="nil"/>
                    <w:tr2bl w:val="nil"/>
                  </w:tcBorders>
                  <w:vAlign w:val="center"/>
                </w:tcPr>
                <w:p w14:paraId="2746270C">
                  <w:pPr>
                    <w:pStyle w:val="57"/>
                    <w:rPr>
                      <w:color w:val="auto"/>
                    </w:rPr>
                  </w:pPr>
                  <w:r>
                    <w:rPr>
                      <w:rFonts w:hint="eastAsia"/>
                      <w:color w:val="auto"/>
                    </w:rPr>
                    <w:t>注塑机6#</w:t>
                  </w:r>
                </w:p>
              </w:tc>
              <w:tc>
                <w:tcPr>
                  <w:tcW w:w="143" w:type="pct"/>
                  <w:tcBorders>
                    <w:tl2br w:val="nil"/>
                    <w:tr2bl w:val="nil"/>
                  </w:tcBorders>
                  <w:vAlign w:val="center"/>
                </w:tcPr>
                <w:p w14:paraId="55EC7641">
                  <w:pPr>
                    <w:pStyle w:val="57"/>
                    <w:rPr>
                      <w:color w:val="auto"/>
                    </w:rPr>
                  </w:pPr>
                  <w:r>
                    <w:rPr>
                      <w:color w:val="auto"/>
                    </w:rPr>
                    <w:t>/</w:t>
                  </w:r>
                </w:p>
              </w:tc>
              <w:tc>
                <w:tcPr>
                  <w:tcW w:w="717" w:type="pct"/>
                  <w:tcBorders>
                    <w:tl2br w:val="nil"/>
                    <w:tr2bl w:val="nil"/>
                  </w:tcBorders>
                  <w:vAlign w:val="center"/>
                </w:tcPr>
                <w:p w14:paraId="1CDD3B5F">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7B8CBD9C">
                  <w:pPr>
                    <w:pStyle w:val="57"/>
                    <w:rPr>
                      <w:color w:val="auto"/>
                    </w:rPr>
                  </w:pPr>
                </w:p>
              </w:tc>
              <w:tc>
                <w:tcPr>
                  <w:tcW w:w="228" w:type="pct"/>
                  <w:tcBorders>
                    <w:tl2br w:val="nil"/>
                    <w:tr2bl w:val="nil"/>
                  </w:tcBorders>
                  <w:vAlign w:val="center"/>
                </w:tcPr>
                <w:p w14:paraId="424DC3C2">
                  <w:pPr>
                    <w:pStyle w:val="57"/>
                    <w:rPr>
                      <w:color w:val="auto"/>
                    </w:rPr>
                  </w:pPr>
                  <w:r>
                    <w:rPr>
                      <w:rFonts w:hint="eastAsia"/>
                      <w:color w:val="auto"/>
                    </w:rPr>
                    <w:t>5</w:t>
                  </w:r>
                </w:p>
              </w:tc>
              <w:tc>
                <w:tcPr>
                  <w:tcW w:w="254" w:type="pct"/>
                  <w:tcBorders>
                    <w:tl2br w:val="nil"/>
                    <w:tr2bl w:val="nil"/>
                  </w:tcBorders>
                  <w:vAlign w:val="center"/>
                </w:tcPr>
                <w:p w14:paraId="78EEF093">
                  <w:pPr>
                    <w:pStyle w:val="57"/>
                    <w:rPr>
                      <w:color w:val="auto"/>
                    </w:rPr>
                  </w:pPr>
                  <w:r>
                    <w:rPr>
                      <w:rFonts w:hint="eastAsia"/>
                      <w:color w:val="auto"/>
                    </w:rPr>
                    <w:t>18</w:t>
                  </w:r>
                </w:p>
              </w:tc>
              <w:tc>
                <w:tcPr>
                  <w:tcW w:w="224" w:type="pct"/>
                  <w:tcBorders>
                    <w:tl2br w:val="nil"/>
                    <w:tr2bl w:val="nil"/>
                  </w:tcBorders>
                  <w:vAlign w:val="center"/>
                </w:tcPr>
                <w:p w14:paraId="3329F00C">
                  <w:pPr>
                    <w:pStyle w:val="57"/>
                    <w:rPr>
                      <w:rFonts w:hint="eastAsia"/>
                      <w:color w:val="auto"/>
                    </w:rPr>
                  </w:pPr>
                  <w:r>
                    <w:rPr>
                      <w:rFonts w:hint="eastAsia"/>
                      <w:color w:val="auto"/>
                    </w:rPr>
                    <w:t>1.5</w:t>
                  </w:r>
                </w:p>
              </w:tc>
              <w:tc>
                <w:tcPr>
                  <w:tcW w:w="288" w:type="pct"/>
                  <w:tcBorders>
                    <w:tl2br w:val="nil"/>
                    <w:tr2bl w:val="nil"/>
                  </w:tcBorders>
                  <w:vAlign w:val="center"/>
                </w:tcPr>
                <w:p w14:paraId="5694D975">
                  <w:pPr>
                    <w:pStyle w:val="57"/>
                    <w:rPr>
                      <w:color w:val="auto"/>
                    </w:rPr>
                  </w:pPr>
                  <w:r>
                    <w:rPr>
                      <w:rFonts w:hint="eastAsia"/>
                      <w:color w:val="auto"/>
                    </w:rPr>
                    <w:t>5</w:t>
                  </w:r>
                </w:p>
              </w:tc>
              <w:tc>
                <w:tcPr>
                  <w:tcW w:w="378" w:type="pct"/>
                  <w:tcBorders>
                    <w:tl2br w:val="nil"/>
                    <w:tr2bl w:val="nil"/>
                  </w:tcBorders>
                  <w:vAlign w:val="center"/>
                </w:tcPr>
                <w:p w14:paraId="20B59583">
                  <w:pPr>
                    <w:pStyle w:val="57"/>
                    <w:rPr>
                      <w:color w:val="auto"/>
                    </w:rPr>
                  </w:pPr>
                  <w:r>
                    <w:rPr>
                      <w:rFonts w:hint="eastAsia"/>
                      <w:color w:val="auto"/>
                    </w:rPr>
                    <w:t>65</w:t>
                  </w:r>
                </w:p>
              </w:tc>
              <w:tc>
                <w:tcPr>
                  <w:tcW w:w="280" w:type="pct"/>
                  <w:vMerge w:val="continue"/>
                  <w:tcBorders>
                    <w:tl2br w:val="nil"/>
                    <w:tr2bl w:val="nil"/>
                  </w:tcBorders>
                  <w:vAlign w:val="center"/>
                </w:tcPr>
                <w:p w14:paraId="42A0EA7B">
                  <w:pPr>
                    <w:pStyle w:val="57"/>
                    <w:rPr>
                      <w:color w:val="auto"/>
                    </w:rPr>
                  </w:pPr>
                </w:p>
              </w:tc>
              <w:tc>
                <w:tcPr>
                  <w:tcW w:w="365" w:type="pct"/>
                  <w:tcBorders>
                    <w:tl2br w:val="nil"/>
                    <w:tr2bl w:val="nil"/>
                  </w:tcBorders>
                  <w:vAlign w:val="center"/>
                </w:tcPr>
                <w:p w14:paraId="4E255DAC">
                  <w:pPr>
                    <w:pStyle w:val="57"/>
                    <w:rPr>
                      <w:rFonts w:hint="eastAsia"/>
                      <w:color w:val="auto"/>
                    </w:rPr>
                  </w:pPr>
                  <w:r>
                    <w:rPr>
                      <w:rFonts w:hint="eastAsia"/>
                      <w:color w:val="auto"/>
                    </w:rPr>
                    <w:t>10</w:t>
                  </w:r>
                </w:p>
              </w:tc>
              <w:tc>
                <w:tcPr>
                  <w:tcW w:w="392" w:type="pct"/>
                  <w:tcBorders>
                    <w:tl2br w:val="nil"/>
                    <w:tr2bl w:val="nil"/>
                  </w:tcBorders>
                  <w:vAlign w:val="center"/>
                </w:tcPr>
                <w:p w14:paraId="4079214C">
                  <w:pPr>
                    <w:pStyle w:val="57"/>
                    <w:rPr>
                      <w:color w:val="auto"/>
                    </w:rPr>
                  </w:pPr>
                  <w:r>
                    <w:rPr>
                      <w:rFonts w:hint="eastAsia"/>
                      <w:color w:val="auto"/>
                    </w:rPr>
                    <w:t>55</w:t>
                  </w:r>
                </w:p>
              </w:tc>
              <w:tc>
                <w:tcPr>
                  <w:tcW w:w="352" w:type="pct"/>
                  <w:tcBorders>
                    <w:tl2br w:val="nil"/>
                    <w:tr2bl w:val="nil"/>
                  </w:tcBorders>
                  <w:vAlign w:val="center"/>
                </w:tcPr>
                <w:p w14:paraId="17BB382C">
                  <w:pPr>
                    <w:pStyle w:val="57"/>
                    <w:rPr>
                      <w:color w:val="auto"/>
                    </w:rPr>
                  </w:pPr>
                  <w:r>
                    <w:rPr>
                      <w:color w:val="auto"/>
                    </w:rPr>
                    <w:t>1</w:t>
                  </w:r>
                </w:p>
              </w:tc>
            </w:tr>
            <w:tr w14:paraId="6187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40" w:type="pct"/>
                  <w:vMerge w:val="continue"/>
                  <w:tcBorders>
                    <w:tl2br w:val="nil"/>
                    <w:tr2bl w:val="nil"/>
                  </w:tcBorders>
                  <w:vAlign w:val="center"/>
                </w:tcPr>
                <w:p w14:paraId="22FDB1B7">
                  <w:pPr>
                    <w:pStyle w:val="57"/>
                    <w:rPr>
                      <w:color w:val="auto"/>
                    </w:rPr>
                  </w:pPr>
                </w:p>
              </w:tc>
              <w:tc>
                <w:tcPr>
                  <w:tcW w:w="219" w:type="pct"/>
                  <w:vMerge w:val="continue"/>
                  <w:tcBorders>
                    <w:tl2br w:val="nil"/>
                    <w:tr2bl w:val="nil"/>
                  </w:tcBorders>
                  <w:vAlign w:val="center"/>
                </w:tcPr>
                <w:p w14:paraId="3C8F3BFA">
                  <w:pPr>
                    <w:pStyle w:val="57"/>
                    <w:rPr>
                      <w:color w:val="auto"/>
                    </w:rPr>
                  </w:pPr>
                </w:p>
              </w:tc>
              <w:tc>
                <w:tcPr>
                  <w:tcW w:w="667" w:type="pct"/>
                  <w:tcBorders>
                    <w:tl2br w:val="nil"/>
                    <w:tr2bl w:val="nil"/>
                  </w:tcBorders>
                  <w:vAlign w:val="center"/>
                </w:tcPr>
                <w:p w14:paraId="387AA4BE">
                  <w:pPr>
                    <w:pStyle w:val="57"/>
                    <w:rPr>
                      <w:rFonts w:hint="eastAsia"/>
                      <w:color w:val="auto"/>
                    </w:rPr>
                  </w:pPr>
                  <w:r>
                    <w:rPr>
                      <w:rFonts w:hint="eastAsia"/>
                      <w:color w:val="auto"/>
                    </w:rPr>
                    <w:t>注塑机7#</w:t>
                  </w:r>
                </w:p>
              </w:tc>
              <w:tc>
                <w:tcPr>
                  <w:tcW w:w="143" w:type="pct"/>
                  <w:tcBorders>
                    <w:tl2br w:val="nil"/>
                    <w:tr2bl w:val="nil"/>
                  </w:tcBorders>
                  <w:vAlign w:val="center"/>
                </w:tcPr>
                <w:p w14:paraId="737C1F07">
                  <w:pPr>
                    <w:pStyle w:val="57"/>
                    <w:rPr>
                      <w:color w:val="auto"/>
                    </w:rPr>
                  </w:pPr>
                  <w:r>
                    <w:rPr>
                      <w:color w:val="auto"/>
                    </w:rPr>
                    <w:t>/</w:t>
                  </w:r>
                </w:p>
              </w:tc>
              <w:tc>
                <w:tcPr>
                  <w:tcW w:w="717" w:type="pct"/>
                  <w:tcBorders>
                    <w:tl2br w:val="nil"/>
                    <w:tr2bl w:val="nil"/>
                  </w:tcBorders>
                  <w:vAlign w:val="center"/>
                </w:tcPr>
                <w:p w14:paraId="38603594">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25C3FEAA">
                  <w:pPr>
                    <w:pStyle w:val="57"/>
                    <w:rPr>
                      <w:color w:val="auto"/>
                    </w:rPr>
                  </w:pPr>
                </w:p>
              </w:tc>
              <w:tc>
                <w:tcPr>
                  <w:tcW w:w="228" w:type="pct"/>
                  <w:tcBorders>
                    <w:tl2br w:val="nil"/>
                    <w:tr2bl w:val="nil"/>
                  </w:tcBorders>
                  <w:vAlign w:val="center"/>
                </w:tcPr>
                <w:p w14:paraId="50F1A5E8">
                  <w:pPr>
                    <w:pStyle w:val="57"/>
                    <w:rPr>
                      <w:color w:val="auto"/>
                    </w:rPr>
                  </w:pPr>
                  <w:r>
                    <w:rPr>
                      <w:rFonts w:hint="eastAsia"/>
                      <w:color w:val="auto"/>
                    </w:rPr>
                    <w:t>5</w:t>
                  </w:r>
                </w:p>
              </w:tc>
              <w:tc>
                <w:tcPr>
                  <w:tcW w:w="254" w:type="pct"/>
                  <w:tcBorders>
                    <w:tl2br w:val="nil"/>
                    <w:tr2bl w:val="nil"/>
                  </w:tcBorders>
                  <w:vAlign w:val="center"/>
                </w:tcPr>
                <w:p w14:paraId="15AB53E4">
                  <w:pPr>
                    <w:pStyle w:val="57"/>
                    <w:rPr>
                      <w:color w:val="auto"/>
                    </w:rPr>
                  </w:pPr>
                  <w:r>
                    <w:rPr>
                      <w:rFonts w:hint="eastAsia"/>
                      <w:color w:val="auto"/>
                    </w:rPr>
                    <w:t>21</w:t>
                  </w:r>
                </w:p>
              </w:tc>
              <w:tc>
                <w:tcPr>
                  <w:tcW w:w="224" w:type="pct"/>
                  <w:tcBorders>
                    <w:tl2br w:val="nil"/>
                    <w:tr2bl w:val="nil"/>
                  </w:tcBorders>
                  <w:vAlign w:val="center"/>
                </w:tcPr>
                <w:p w14:paraId="1511F3E5">
                  <w:pPr>
                    <w:pStyle w:val="57"/>
                    <w:rPr>
                      <w:rFonts w:hint="eastAsia"/>
                      <w:color w:val="auto"/>
                    </w:rPr>
                  </w:pPr>
                  <w:r>
                    <w:rPr>
                      <w:rFonts w:hint="eastAsia"/>
                      <w:color w:val="auto"/>
                    </w:rPr>
                    <w:t>1.5</w:t>
                  </w:r>
                </w:p>
              </w:tc>
              <w:tc>
                <w:tcPr>
                  <w:tcW w:w="288" w:type="pct"/>
                  <w:tcBorders>
                    <w:tl2br w:val="nil"/>
                    <w:tr2bl w:val="nil"/>
                  </w:tcBorders>
                  <w:vAlign w:val="center"/>
                </w:tcPr>
                <w:p w14:paraId="4AD62ACB">
                  <w:pPr>
                    <w:pStyle w:val="57"/>
                    <w:rPr>
                      <w:rFonts w:hint="eastAsia"/>
                      <w:color w:val="auto"/>
                    </w:rPr>
                  </w:pPr>
                  <w:r>
                    <w:rPr>
                      <w:rFonts w:hint="eastAsia"/>
                      <w:color w:val="auto"/>
                    </w:rPr>
                    <w:t>5</w:t>
                  </w:r>
                </w:p>
              </w:tc>
              <w:tc>
                <w:tcPr>
                  <w:tcW w:w="378" w:type="pct"/>
                  <w:tcBorders>
                    <w:tl2br w:val="nil"/>
                    <w:tr2bl w:val="nil"/>
                  </w:tcBorders>
                  <w:vAlign w:val="center"/>
                </w:tcPr>
                <w:p w14:paraId="63BF005B">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7090AF5B">
                  <w:pPr>
                    <w:pStyle w:val="57"/>
                    <w:rPr>
                      <w:color w:val="auto"/>
                    </w:rPr>
                  </w:pPr>
                </w:p>
              </w:tc>
              <w:tc>
                <w:tcPr>
                  <w:tcW w:w="365" w:type="pct"/>
                  <w:tcBorders>
                    <w:tl2br w:val="nil"/>
                    <w:tr2bl w:val="nil"/>
                  </w:tcBorders>
                  <w:vAlign w:val="center"/>
                </w:tcPr>
                <w:p w14:paraId="787567B8">
                  <w:pPr>
                    <w:pStyle w:val="57"/>
                    <w:rPr>
                      <w:rFonts w:hint="eastAsia"/>
                      <w:color w:val="auto"/>
                    </w:rPr>
                  </w:pPr>
                  <w:r>
                    <w:rPr>
                      <w:rFonts w:hint="eastAsia"/>
                      <w:color w:val="auto"/>
                    </w:rPr>
                    <w:t>10</w:t>
                  </w:r>
                </w:p>
              </w:tc>
              <w:tc>
                <w:tcPr>
                  <w:tcW w:w="392" w:type="pct"/>
                  <w:tcBorders>
                    <w:tl2br w:val="nil"/>
                    <w:tr2bl w:val="nil"/>
                  </w:tcBorders>
                  <w:vAlign w:val="center"/>
                </w:tcPr>
                <w:p w14:paraId="1DE7832E">
                  <w:pPr>
                    <w:pStyle w:val="57"/>
                    <w:rPr>
                      <w:rFonts w:hint="eastAsia"/>
                      <w:color w:val="auto"/>
                    </w:rPr>
                  </w:pPr>
                  <w:r>
                    <w:rPr>
                      <w:rFonts w:hint="eastAsia"/>
                      <w:color w:val="auto"/>
                    </w:rPr>
                    <w:t>55</w:t>
                  </w:r>
                </w:p>
              </w:tc>
              <w:tc>
                <w:tcPr>
                  <w:tcW w:w="352" w:type="pct"/>
                  <w:tcBorders>
                    <w:tl2br w:val="nil"/>
                    <w:tr2bl w:val="nil"/>
                  </w:tcBorders>
                  <w:vAlign w:val="center"/>
                </w:tcPr>
                <w:p w14:paraId="413947C5">
                  <w:pPr>
                    <w:pStyle w:val="57"/>
                    <w:rPr>
                      <w:color w:val="auto"/>
                    </w:rPr>
                  </w:pPr>
                  <w:r>
                    <w:rPr>
                      <w:color w:val="auto"/>
                    </w:rPr>
                    <w:t>1</w:t>
                  </w:r>
                </w:p>
              </w:tc>
            </w:tr>
            <w:tr w14:paraId="2C7C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6E73569C">
                  <w:pPr>
                    <w:pStyle w:val="57"/>
                    <w:rPr>
                      <w:color w:val="auto"/>
                    </w:rPr>
                  </w:pPr>
                </w:p>
              </w:tc>
              <w:tc>
                <w:tcPr>
                  <w:tcW w:w="219" w:type="pct"/>
                  <w:vMerge w:val="continue"/>
                  <w:tcBorders>
                    <w:tl2br w:val="nil"/>
                    <w:tr2bl w:val="nil"/>
                  </w:tcBorders>
                  <w:vAlign w:val="center"/>
                </w:tcPr>
                <w:p w14:paraId="6F82C839">
                  <w:pPr>
                    <w:pStyle w:val="57"/>
                    <w:rPr>
                      <w:color w:val="auto"/>
                    </w:rPr>
                  </w:pPr>
                </w:p>
              </w:tc>
              <w:tc>
                <w:tcPr>
                  <w:tcW w:w="667" w:type="pct"/>
                  <w:tcBorders>
                    <w:tl2br w:val="nil"/>
                    <w:tr2bl w:val="nil"/>
                  </w:tcBorders>
                  <w:vAlign w:val="center"/>
                </w:tcPr>
                <w:p w14:paraId="180FBE71">
                  <w:pPr>
                    <w:pStyle w:val="57"/>
                    <w:rPr>
                      <w:rFonts w:hint="eastAsia"/>
                      <w:color w:val="auto"/>
                    </w:rPr>
                  </w:pPr>
                  <w:r>
                    <w:rPr>
                      <w:rFonts w:hint="eastAsia"/>
                      <w:color w:val="auto"/>
                    </w:rPr>
                    <w:t>注塑机8#</w:t>
                  </w:r>
                </w:p>
              </w:tc>
              <w:tc>
                <w:tcPr>
                  <w:tcW w:w="143" w:type="pct"/>
                  <w:tcBorders>
                    <w:tl2br w:val="nil"/>
                    <w:tr2bl w:val="nil"/>
                  </w:tcBorders>
                  <w:vAlign w:val="center"/>
                </w:tcPr>
                <w:p w14:paraId="56A1AB33">
                  <w:pPr>
                    <w:pStyle w:val="57"/>
                    <w:rPr>
                      <w:color w:val="auto"/>
                    </w:rPr>
                  </w:pPr>
                  <w:r>
                    <w:rPr>
                      <w:color w:val="auto"/>
                    </w:rPr>
                    <w:t>/</w:t>
                  </w:r>
                </w:p>
              </w:tc>
              <w:tc>
                <w:tcPr>
                  <w:tcW w:w="717" w:type="pct"/>
                  <w:tcBorders>
                    <w:tl2br w:val="nil"/>
                    <w:tr2bl w:val="nil"/>
                  </w:tcBorders>
                  <w:vAlign w:val="center"/>
                </w:tcPr>
                <w:p w14:paraId="695419C3">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6B5E4C2C">
                  <w:pPr>
                    <w:pStyle w:val="57"/>
                    <w:rPr>
                      <w:color w:val="auto"/>
                    </w:rPr>
                  </w:pPr>
                </w:p>
              </w:tc>
              <w:tc>
                <w:tcPr>
                  <w:tcW w:w="228" w:type="pct"/>
                  <w:tcBorders>
                    <w:tl2br w:val="nil"/>
                    <w:tr2bl w:val="nil"/>
                  </w:tcBorders>
                  <w:vAlign w:val="center"/>
                </w:tcPr>
                <w:p w14:paraId="59CAC24F">
                  <w:pPr>
                    <w:pStyle w:val="57"/>
                    <w:rPr>
                      <w:rFonts w:hint="eastAsia"/>
                      <w:color w:val="auto"/>
                    </w:rPr>
                  </w:pPr>
                  <w:r>
                    <w:rPr>
                      <w:rFonts w:hint="eastAsia"/>
                      <w:color w:val="auto"/>
                    </w:rPr>
                    <w:t>5</w:t>
                  </w:r>
                </w:p>
              </w:tc>
              <w:tc>
                <w:tcPr>
                  <w:tcW w:w="254" w:type="pct"/>
                  <w:tcBorders>
                    <w:tl2br w:val="nil"/>
                    <w:tr2bl w:val="nil"/>
                  </w:tcBorders>
                  <w:vAlign w:val="center"/>
                </w:tcPr>
                <w:p w14:paraId="72D323E1">
                  <w:pPr>
                    <w:pStyle w:val="57"/>
                    <w:rPr>
                      <w:color w:val="auto"/>
                    </w:rPr>
                  </w:pPr>
                  <w:r>
                    <w:rPr>
                      <w:rFonts w:hint="eastAsia"/>
                      <w:color w:val="auto"/>
                    </w:rPr>
                    <w:t>24</w:t>
                  </w:r>
                </w:p>
              </w:tc>
              <w:tc>
                <w:tcPr>
                  <w:tcW w:w="224" w:type="pct"/>
                  <w:tcBorders>
                    <w:tl2br w:val="nil"/>
                    <w:tr2bl w:val="nil"/>
                  </w:tcBorders>
                  <w:vAlign w:val="center"/>
                </w:tcPr>
                <w:p w14:paraId="6DEBB31E">
                  <w:pPr>
                    <w:pStyle w:val="57"/>
                    <w:rPr>
                      <w:rFonts w:hint="eastAsia"/>
                      <w:color w:val="auto"/>
                    </w:rPr>
                  </w:pPr>
                  <w:r>
                    <w:rPr>
                      <w:rFonts w:hint="eastAsia"/>
                      <w:color w:val="auto"/>
                    </w:rPr>
                    <w:t>1.5</w:t>
                  </w:r>
                </w:p>
              </w:tc>
              <w:tc>
                <w:tcPr>
                  <w:tcW w:w="288" w:type="pct"/>
                  <w:tcBorders>
                    <w:tl2br w:val="nil"/>
                    <w:tr2bl w:val="nil"/>
                  </w:tcBorders>
                  <w:vAlign w:val="center"/>
                </w:tcPr>
                <w:p w14:paraId="3A46CA35">
                  <w:pPr>
                    <w:pStyle w:val="57"/>
                    <w:rPr>
                      <w:rFonts w:hint="eastAsia"/>
                      <w:color w:val="auto"/>
                    </w:rPr>
                  </w:pPr>
                  <w:r>
                    <w:rPr>
                      <w:rFonts w:hint="eastAsia"/>
                      <w:color w:val="auto"/>
                    </w:rPr>
                    <w:t>5</w:t>
                  </w:r>
                </w:p>
              </w:tc>
              <w:tc>
                <w:tcPr>
                  <w:tcW w:w="378" w:type="pct"/>
                  <w:tcBorders>
                    <w:tl2br w:val="nil"/>
                    <w:tr2bl w:val="nil"/>
                  </w:tcBorders>
                  <w:vAlign w:val="center"/>
                </w:tcPr>
                <w:p w14:paraId="41596E32">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E0FBAFE">
                  <w:pPr>
                    <w:pStyle w:val="57"/>
                    <w:rPr>
                      <w:color w:val="auto"/>
                    </w:rPr>
                  </w:pPr>
                </w:p>
              </w:tc>
              <w:tc>
                <w:tcPr>
                  <w:tcW w:w="365" w:type="pct"/>
                  <w:tcBorders>
                    <w:tl2br w:val="nil"/>
                    <w:tr2bl w:val="nil"/>
                  </w:tcBorders>
                  <w:vAlign w:val="center"/>
                </w:tcPr>
                <w:p w14:paraId="6E3ECF17">
                  <w:pPr>
                    <w:pStyle w:val="57"/>
                    <w:rPr>
                      <w:rFonts w:hint="eastAsia"/>
                      <w:color w:val="auto"/>
                    </w:rPr>
                  </w:pPr>
                  <w:r>
                    <w:rPr>
                      <w:rFonts w:hint="eastAsia"/>
                      <w:color w:val="auto"/>
                    </w:rPr>
                    <w:t>10</w:t>
                  </w:r>
                </w:p>
              </w:tc>
              <w:tc>
                <w:tcPr>
                  <w:tcW w:w="392" w:type="pct"/>
                  <w:tcBorders>
                    <w:tl2br w:val="nil"/>
                    <w:tr2bl w:val="nil"/>
                  </w:tcBorders>
                  <w:vAlign w:val="center"/>
                </w:tcPr>
                <w:p w14:paraId="61281194">
                  <w:pPr>
                    <w:pStyle w:val="57"/>
                    <w:rPr>
                      <w:rFonts w:hint="eastAsia"/>
                      <w:color w:val="auto"/>
                    </w:rPr>
                  </w:pPr>
                  <w:r>
                    <w:rPr>
                      <w:rFonts w:hint="eastAsia"/>
                      <w:color w:val="auto"/>
                    </w:rPr>
                    <w:t>55</w:t>
                  </w:r>
                </w:p>
              </w:tc>
              <w:tc>
                <w:tcPr>
                  <w:tcW w:w="352" w:type="pct"/>
                  <w:tcBorders>
                    <w:tl2br w:val="nil"/>
                    <w:tr2bl w:val="nil"/>
                  </w:tcBorders>
                  <w:vAlign w:val="center"/>
                </w:tcPr>
                <w:p w14:paraId="41560672">
                  <w:pPr>
                    <w:pStyle w:val="57"/>
                    <w:rPr>
                      <w:color w:val="auto"/>
                    </w:rPr>
                  </w:pPr>
                  <w:r>
                    <w:rPr>
                      <w:color w:val="auto"/>
                    </w:rPr>
                    <w:t>1</w:t>
                  </w:r>
                </w:p>
              </w:tc>
            </w:tr>
            <w:tr w14:paraId="54DEF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29FB9653">
                  <w:pPr>
                    <w:pStyle w:val="57"/>
                    <w:rPr>
                      <w:color w:val="auto"/>
                    </w:rPr>
                  </w:pPr>
                </w:p>
              </w:tc>
              <w:tc>
                <w:tcPr>
                  <w:tcW w:w="219" w:type="pct"/>
                  <w:vMerge w:val="continue"/>
                  <w:tcBorders>
                    <w:tl2br w:val="nil"/>
                    <w:tr2bl w:val="nil"/>
                  </w:tcBorders>
                  <w:vAlign w:val="center"/>
                </w:tcPr>
                <w:p w14:paraId="0D4BC3C1">
                  <w:pPr>
                    <w:pStyle w:val="57"/>
                    <w:rPr>
                      <w:color w:val="auto"/>
                    </w:rPr>
                  </w:pPr>
                </w:p>
              </w:tc>
              <w:tc>
                <w:tcPr>
                  <w:tcW w:w="667" w:type="pct"/>
                  <w:tcBorders>
                    <w:tl2br w:val="nil"/>
                    <w:tr2bl w:val="nil"/>
                  </w:tcBorders>
                  <w:vAlign w:val="center"/>
                </w:tcPr>
                <w:p w14:paraId="62C65A0C">
                  <w:pPr>
                    <w:pStyle w:val="57"/>
                    <w:rPr>
                      <w:rFonts w:hint="eastAsia"/>
                      <w:color w:val="auto"/>
                    </w:rPr>
                  </w:pPr>
                  <w:r>
                    <w:rPr>
                      <w:rFonts w:hint="eastAsia"/>
                      <w:color w:val="auto"/>
                    </w:rPr>
                    <w:t>注塑机9#</w:t>
                  </w:r>
                </w:p>
              </w:tc>
              <w:tc>
                <w:tcPr>
                  <w:tcW w:w="143" w:type="pct"/>
                  <w:tcBorders>
                    <w:tl2br w:val="nil"/>
                    <w:tr2bl w:val="nil"/>
                  </w:tcBorders>
                  <w:vAlign w:val="center"/>
                </w:tcPr>
                <w:p w14:paraId="3683C41A">
                  <w:pPr>
                    <w:pStyle w:val="57"/>
                    <w:rPr>
                      <w:color w:val="auto"/>
                    </w:rPr>
                  </w:pPr>
                  <w:r>
                    <w:rPr>
                      <w:color w:val="auto"/>
                    </w:rPr>
                    <w:t>/</w:t>
                  </w:r>
                </w:p>
              </w:tc>
              <w:tc>
                <w:tcPr>
                  <w:tcW w:w="717" w:type="pct"/>
                  <w:tcBorders>
                    <w:tl2br w:val="nil"/>
                    <w:tr2bl w:val="nil"/>
                  </w:tcBorders>
                  <w:vAlign w:val="center"/>
                </w:tcPr>
                <w:p w14:paraId="160B5CAF">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2B54F0FB">
                  <w:pPr>
                    <w:pStyle w:val="57"/>
                    <w:rPr>
                      <w:color w:val="auto"/>
                    </w:rPr>
                  </w:pPr>
                </w:p>
              </w:tc>
              <w:tc>
                <w:tcPr>
                  <w:tcW w:w="228" w:type="pct"/>
                  <w:tcBorders>
                    <w:tl2br w:val="nil"/>
                    <w:tr2bl w:val="nil"/>
                  </w:tcBorders>
                  <w:vAlign w:val="center"/>
                </w:tcPr>
                <w:p w14:paraId="03968584">
                  <w:pPr>
                    <w:pStyle w:val="57"/>
                    <w:rPr>
                      <w:rFonts w:hint="eastAsia"/>
                      <w:color w:val="auto"/>
                    </w:rPr>
                  </w:pPr>
                  <w:r>
                    <w:rPr>
                      <w:rFonts w:hint="eastAsia"/>
                      <w:color w:val="auto"/>
                    </w:rPr>
                    <w:t>5</w:t>
                  </w:r>
                </w:p>
              </w:tc>
              <w:tc>
                <w:tcPr>
                  <w:tcW w:w="254" w:type="pct"/>
                  <w:tcBorders>
                    <w:tl2br w:val="nil"/>
                    <w:tr2bl w:val="nil"/>
                  </w:tcBorders>
                  <w:vAlign w:val="center"/>
                </w:tcPr>
                <w:p w14:paraId="5B89E6F0">
                  <w:pPr>
                    <w:pStyle w:val="57"/>
                    <w:rPr>
                      <w:color w:val="auto"/>
                    </w:rPr>
                  </w:pPr>
                  <w:r>
                    <w:rPr>
                      <w:rFonts w:hint="eastAsia"/>
                      <w:color w:val="auto"/>
                    </w:rPr>
                    <w:t>27</w:t>
                  </w:r>
                </w:p>
              </w:tc>
              <w:tc>
                <w:tcPr>
                  <w:tcW w:w="224" w:type="pct"/>
                  <w:tcBorders>
                    <w:tl2br w:val="nil"/>
                    <w:tr2bl w:val="nil"/>
                  </w:tcBorders>
                  <w:vAlign w:val="center"/>
                </w:tcPr>
                <w:p w14:paraId="2E583500">
                  <w:pPr>
                    <w:pStyle w:val="57"/>
                    <w:rPr>
                      <w:rFonts w:hint="eastAsia"/>
                      <w:color w:val="auto"/>
                    </w:rPr>
                  </w:pPr>
                  <w:r>
                    <w:rPr>
                      <w:rFonts w:hint="eastAsia"/>
                      <w:color w:val="auto"/>
                    </w:rPr>
                    <w:t>1.5</w:t>
                  </w:r>
                </w:p>
              </w:tc>
              <w:tc>
                <w:tcPr>
                  <w:tcW w:w="288" w:type="pct"/>
                  <w:tcBorders>
                    <w:tl2br w:val="nil"/>
                    <w:tr2bl w:val="nil"/>
                  </w:tcBorders>
                  <w:vAlign w:val="center"/>
                </w:tcPr>
                <w:p w14:paraId="6A3DEBDF">
                  <w:pPr>
                    <w:pStyle w:val="57"/>
                    <w:rPr>
                      <w:rFonts w:hint="eastAsia"/>
                      <w:color w:val="auto"/>
                    </w:rPr>
                  </w:pPr>
                  <w:r>
                    <w:rPr>
                      <w:rFonts w:hint="eastAsia"/>
                      <w:color w:val="auto"/>
                    </w:rPr>
                    <w:t>5</w:t>
                  </w:r>
                </w:p>
              </w:tc>
              <w:tc>
                <w:tcPr>
                  <w:tcW w:w="378" w:type="pct"/>
                  <w:tcBorders>
                    <w:tl2br w:val="nil"/>
                    <w:tr2bl w:val="nil"/>
                  </w:tcBorders>
                  <w:vAlign w:val="center"/>
                </w:tcPr>
                <w:p w14:paraId="298E9007">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A530DED">
                  <w:pPr>
                    <w:pStyle w:val="57"/>
                    <w:rPr>
                      <w:color w:val="auto"/>
                    </w:rPr>
                  </w:pPr>
                </w:p>
              </w:tc>
              <w:tc>
                <w:tcPr>
                  <w:tcW w:w="365" w:type="pct"/>
                  <w:tcBorders>
                    <w:tl2br w:val="nil"/>
                    <w:tr2bl w:val="nil"/>
                  </w:tcBorders>
                  <w:vAlign w:val="center"/>
                </w:tcPr>
                <w:p w14:paraId="784C27AA">
                  <w:pPr>
                    <w:pStyle w:val="57"/>
                    <w:rPr>
                      <w:rFonts w:hint="eastAsia"/>
                      <w:color w:val="auto"/>
                    </w:rPr>
                  </w:pPr>
                  <w:r>
                    <w:rPr>
                      <w:rFonts w:hint="eastAsia"/>
                      <w:color w:val="auto"/>
                    </w:rPr>
                    <w:t>10</w:t>
                  </w:r>
                </w:p>
              </w:tc>
              <w:tc>
                <w:tcPr>
                  <w:tcW w:w="392" w:type="pct"/>
                  <w:tcBorders>
                    <w:tl2br w:val="nil"/>
                    <w:tr2bl w:val="nil"/>
                  </w:tcBorders>
                  <w:vAlign w:val="center"/>
                </w:tcPr>
                <w:p w14:paraId="191B52B1">
                  <w:pPr>
                    <w:pStyle w:val="57"/>
                    <w:rPr>
                      <w:rFonts w:hint="eastAsia"/>
                      <w:color w:val="auto"/>
                    </w:rPr>
                  </w:pPr>
                  <w:r>
                    <w:rPr>
                      <w:rFonts w:hint="eastAsia"/>
                      <w:color w:val="auto"/>
                    </w:rPr>
                    <w:t>55</w:t>
                  </w:r>
                </w:p>
              </w:tc>
              <w:tc>
                <w:tcPr>
                  <w:tcW w:w="352" w:type="pct"/>
                  <w:tcBorders>
                    <w:tl2br w:val="nil"/>
                    <w:tr2bl w:val="nil"/>
                  </w:tcBorders>
                  <w:vAlign w:val="center"/>
                </w:tcPr>
                <w:p w14:paraId="3676ADCE">
                  <w:pPr>
                    <w:pStyle w:val="57"/>
                    <w:rPr>
                      <w:color w:val="auto"/>
                    </w:rPr>
                  </w:pPr>
                  <w:r>
                    <w:rPr>
                      <w:color w:val="auto"/>
                    </w:rPr>
                    <w:t>1</w:t>
                  </w:r>
                </w:p>
              </w:tc>
            </w:tr>
            <w:tr w14:paraId="2ED43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0" w:type="pct"/>
                  <w:vMerge w:val="continue"/>
                  <w:tcBorders>
                    <w:tl2br w:val="nil"/>
                    <w:tr2bl w:val="nil"/>
                  </w:tcBorders>
                  <w:vAlign w:val="center"/>
                </w:tcPr>
                <w:p w14:paraId="733AACFD">
                  <w:pPr>
                    <w:pStyle w:val="57"/>
                    <w:rPr>
                      <w:color w:val="auto"/>
                    </w:rPr>
                  </w:pPr>
                </w:p>
              </w:tc>
              <w:tc>
                <w:tcPr>
                  <w:tcW w:w="219" w:type="pct"/>
                  <w:vMerge w:val="continue"/>
                  <w:tcBorders>
                    <w:tl2br w:val="nil"/>
                    <w:tr2bl w:val="nil"/>
                  </w:tcBorders>
                  <w:vAlign w:val="center"/>
                </w:tcPr>
                <w:p w14:paraId="10B95F05">
                  <w:pPr>
                    <w:pStyle w:val="57"/>
                    <w:rPr>
                      <w:color w:val="auto"/>
                    </w:rPr>
                  </w:pPr>
                </w:p>
              </w:tc>
              <w:tc>
                <w:tcPr>
                  <w:tcW w:w="667" w:type="pct"/>
                  <w:tcBorders>
                    <w:tl2br w:val="nil"/>
                    <w:tr2bl w:val="nil"/>
                  </w:tcBorders>
                  <w:vAlign w:val="center"/>
                </w:tcPr>
                <w:p w14:paraId="044394AE">
                  <w:pPr>
                    <w:pStyle w:val="57"/>
                    <w:rPr>
                      <w:rFonts w:hint="eastAsia"/>
                      <w:color w:val="auto"/>
                    </w:rPr>
                  </w:pPr>
                  <w:r>
                    <w:rPr>
                      <w:rFonts w:hint="eastAsia"/>
                      <w:color w:val="auto"/>
                    </w:rPr>
                    <w:t>注塑机10#</w:t>
                  </w:r>
                </w:p>
              </w:tc>
              <w:tc>
                <w:tcPr>
                  <w:tcW w:w="143" w:type="pct"/>
                  <w:tcBorders>
                    <w:tl2br w:val="nil"/>
                    <w:tr2bl w:val="nil"/>
                  </w:tcBorders>
                  <w:vAlign w:val="center"/>
                </w:tcPr>
                <w:p w14:paraId="196E21E0">
                  <w:pPr>
                    <w:pStyle w:val="57"/>
                    <w:rPr>
                      <w:color w:val="auto"/>
                    </w:rPr>
                  </w:pPr>
                  <w:r>
                    <w:rPr>
                      <w:color w:val="auto"/>
                    </w:rPr>
                    <w:t>/</w:t>
                  </w:r>
                </w:p>
              </w:tc>
              <w:tc>
                <w:tcPr>
                  <w:tcW w:w="717" w:type="pct"/>
                  <w:tcBorders>
                    <w:tl2br w:val="nil"/>
                    <w:tr2bl w:val="nil"/>
                  </w:tcBorders>
                  <w:vAlign w:val="center"/>
                </w:tcPr>
                <w:p w14:paraId="0B865B6F">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309C7333">
                  <w:pPr>
                    <w:pStyle w:val="57"/>
                    <w:rPr>
                      <w:color w:val="auto"/>
                    </w:rPr>
                  </w:pPr>
                </w:p>
              </w:tc>
              <w:tc>
                <w:tcPr>
                  <w:tcW w:w="228" w:type="pct"/>
                  <w:tcBorders>
                    <w:tl2br w:val="nil"/>
                    <w:tr2bl w:val="nil"/>
                  </w:tcBorders>
                  <w:vAlign w:val="center"/>
                </w:tcPr>
                <w:p w14:paraId="4F8E8828">
                  <w:pPr>
                    <w:pStyle w:val="57"/>
                    <w:rPr>
                      <w:rFonts w:hint="eastAsia"/>
                      <w:color w:val="auto"/>
                    </w:rPr>
                  </w:pPr>
                  <w:r>
                    <w:rPr>
                      <w:rFonts w:hint="eastAsia"/>
                      <w:color w:val="auto"/>
                    </w:rPr>
                    <w:t>5</w:t>
                  </w:r>
                </w:p>
              </w:tc>
              <w:tc>
                <w:tcPr>
                  <w:tcW w:w="254" w:type="pct"/>
                  <w:tcBorders>
                    <w:tl2br w:val="nil"/>
                    <w:tr2bl w:val="nil"/>
                  </w:tcBorders>
                  <w:vAlign w:val="center"/>
                </w:tcPr>
                <w:p w14:paraId="1F33C139">
                  <w:pPr>
                    <w:pStyle w:val="57"/>
                    <w:rPr>
                      <w:color w:val="auto"/>
                    </w:rPr>
                  </w:pPr>
                  <w:r>
                    <w:rPr>
                      <w:rFonts w:hint="eastAsia"/>
                      <w:color w:val="auto"/>
                    </w:rPr>
                    <w:t>30</w:t>
                  </w:r>
                </w:p>
              </w:tc>
              <w:tc>
                <w:tcPr>
                  <w:tcW w:w="224" w:type="pct"/>
                  <w:tcBorders>
                    <w:tl2br w:val="nil"/>
                    <w:tr2bl w:val="nil"/>
                  </w:tcBorders>
                  <w:vAlign w:val="center"/>
                </w:tcPr>
                <w:p w14:paraId="5B747409">
                  <w:pPr>
                    <w:pStyle w:val="57"/>
                    <w:rPr>
                      <w:rFonts w:hint="eastAsia"/>
                      <w:color w:val="auto"/>
                    </w:rPr>
                  </w:pPr>
                  <w:r>
                    <w:rPr>
                      <w:rFonts w:hint="eastAsia"/>
                      <w:color w:val="auto"/>
                    </w:rPr>
                    <w:t>1.5</w:t>
                  </w:r>
                </w:p>
              </w:tc>
              <w:tc>
                <w:tcPr>
                  <w:tcW w:w="288" w:type="pct"/>
                  <w:tcBorders>
                    <w:tl2br w:val="nil"/>
                    <w:tr2bl w:val="nil"/>
                  </w:tcBorders>
                  <w:vAlign w:val="center"/>
                </w:tcPr>
                <w:p w14:paraId="1DF7A6F7">
                  <w:pPr>
                    <w:pStyle w:val="57"/>
                    <w:rPr>
                      <w:rFonts w:hint="eastAsia"/>
                      <w:color w:val="auto"/>
                    </w:rPr>
                  </w:pPr>
                  <w:r>
                    <w:rPr>
                      <w:rFonts w:hint="eastAsia"/>
                      <w:color w:val="auto"/>
                    </w:rPr>
                    <w:t>5</w:t>
                  </w:r>
                </w:p>
              </w:tc>
              <w:tc>
                <w:tcPr>
                  <w:tcW w:w="378" w:type="pct"/>
                  <w:tcBorders>
                    <w:tl2br w:val="nil"/>
                    <w:tr2bl w:val="nil"/>
                  </w:tcBorders>
                  <w:vAlign w:val="center"/>
                </w:tcPr>
                <w:p w14:paraId="33C31295">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D0849CB">
                  <w:pPr>
                    <w:pStyle w:val="57"/>
                    <w:rPr>
                      <w:color w:val="auto"/>
                    </w:rPr>
                  </w:pPr>
                </w:p>
              </w:tc>
              <w:tc>
                <w:tcPr>
                  <w:tcW w:w="365" w:type="pct"/>
                  <w:tcBorders>
                    <w:tl2br w:val="nil"/>
                    <w:tr2bl w:val="nil"/>
                  </w:tcBorders>
                  <w:vAlign w:val="center"/>
                </w:tcPr>
                <w:p w14:paraId="43FB404F">
                  <w:pPr>
                    <w:pStyle w:val="57"/>
                    <w:rPr>
                      <w:rFonts w:hint="eastAsia"/>
                      <w:color w:val="auto"/>
                    </w:rPr>
                  </w:pPr>
                  <w:r>
                    <w:rPr>
                      <w:rFonts w:hint="eastAsia"/>
                      <w:color w:val="auto"/>
                    </w:rPr>
                    <w:t>10</w:t>
                  </w:r>
                </w:p>
              </w:tc>
              <w:tc>
                <w:tcPr>
                  <w:tcW w:w="392" w:type="pct"/>
                  <w:tcBorders>
                    <w:tl2br w:val="nil"/>
                    <w:tr2bl w:val="nil"/>
                  </w:tcBorders>
                  <w:vAlign w:val="center"/>
                </w:tcPr>
                <w:p w14:paraId="6559A96A">
                  <w:pPr>
                    <w:pStyle w:val="57"/>
                    <w:rPr>
                      <w:rFonts w:hint="eastAsia"/>
                      <w:color w:val="auto"/>
                    </w:rPr>
                  </w:pPr>
                  <w:r>
                    <w:rPr>
                      <w:rFonts w:hint="eastAsia"/>
                      <w:color w:val="auto"/>
                    </w:rPr>
                    <w:t>55</w:t>
                  </w:r>
                </w:p>
              </w:tc>
              <w:tc>
                <w:tcPr>
                  <w:tcW w:w="352" w:type="pct"/>
                  <w:tcBorders>
                    <w:tl2br w:val="nil"/>
                    <w:tr2bl w:val="nil"/>
                  </w:tcBorders>
                  <w:vAlign w:val="center"/>
                </w:tcPr>
                <w:p w14:paraId="638070A3">
                  <w:pPr>
                    <w:pStyle w:val="57"/>
                    <w:rPr>
                      <w:color w:val="auto"/>
                    </w:rPr>
                  </w:pPr>
                  <w:r>
                    <w:rPr>
                      <w:color w:val="auto"/>
                    </w:rPr>
                    <w:t>1</w:t>
                  </w:r>
                </w:p>
              </w:tc>
            </w:tr>
            <w:tr w14:paraId="05FB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0" w:type="pct"/>
                  <w:vMerge w:val="continue"/>
                  <w:tcBorders>
                    <w:tl2br w:val="nil"/>
                    <w:tr2bl w:val="nil"/>
                  </w:tcBorders>
                  <w:vAlign w:val="center"/>
                </w:tcPr>
                <w:p w14:paraId="01B8B3E9">
                  <w:pPr>
                    <w:pStyle w:val="57"/>
                    <w:rPr>
                      <w:color w:val="auto"/>
                    </w:rPr>
                  </w:pPr>
                </w:p>
              </w:tc>
              <w:tc>
                <w:tcPr>
                  <w:tcW w:w="219" w:type="pct"/>
                  <w:vMerge w:val="continue"/>
                  <w:tcBorders>
                    <w:tl2br w:val="nil"/>
                    <w:tr2bl w:val="nil"/>
                  </w:tcBorders>
                  <w:vAlign w:val="center"/>
                </w:tcPr>
                <w:p w14:paraId="16A52FC9">
                  <w:pPr>
                    <w:pStyle w:val="57"/>
                    <w:rPr>
                      <w:color w:val="auto"/>
                    </w:rPr>
                  </w:pPr>
                </w:p>
              </w:tc>
              <w:tc>
                <w:tcPr>
                  <w:tcW w:w="667" w:type="pct"/>
                  <w:tcBorders>
                    <w:tl2br w:val="nil"/>
                    <w:tr2bl w:val="nil"/>
                  </w:tcBorders>
                  <w:vAlign w:val="center"/>
                </w:tcPr>
                <w:p w14:paraId="2F74D77D">
                  <w:pPr>
                    <w:pStyle w:val="57"/>
                    <w:rPr>
                      <w:rFonts w:hint="eastAsia"/>
                      <w:color w:val="auto"/>
                    </w:rPr>
                  </w:pPr>
                  <w:r>
                    <w:rPr>
                      <w:rFonts w:hint="eastAsia"/>
                      <w:color w:val="auto"/>
                    </w:rPr>
                    <w:t>注塑机11#</w:t>
                  </w:r>
                </w:p>
              </w:tc>
              <w:tc>
                <w:tcPr>
                  <w:tcW w:w="143" w:type="pct"/>
                  <w:tcBorders>
                    <w:tl2br w:val="nil"/>
                    <w:tr2bl w:val="nil"/>
                  </w:tcBorders>
                  <w:vAlign w:val="center"/>
                </w:tcPr>
                <w:p w14:paraId="647879AF">
                  <w:pPr>
                    <w:pStyle w:val="57"/>
                    <w:rPr>
                      <w:color w:val="auto"/>
                    </w:rPr>
                  </w:pPr>
                  <w:r>
                    <w:rPr>
                      <w:color w:val="auto"/>
                    </w:rPr>
                    <w:t>/</w:t>
                  </w:r>
                </w:p>
              </w:tc>
              <w:tc>
                <w:tcPr>
                  <w:tcW w:w="717" w:type="pct"/>
                  <w:tcBorders>
                    <w:tl2br w:val="nil"/>
                    <w:tr2bl w:val="nil"/>
                  </w:tcBorders>
                  <w:vAlign w:val="center"/>
                </w:tcPr>
                <w:p w14:paraId="0C5AFB2E">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2BA0405C">
                  <w:pPr>
                    <w:pStyle w:val="57"/>
                    <w:rPr>
                      <w:color w:val="auto"/>
                    </w:rPr>
                  </w:pPr>
                </w:p>
              </w:tc>
              <w:tc>
                <w:tcPr>
                  <w:tcW w:w="228" w:type="pct"/>
                  <w:tcBorders>
                    <w:tl2br w:val="nil"/>
                    <w:tr2bl w:val="nil"/>
                  </w:tcBorders>
                  <w:vAlign w:val="center"/>
                </w:tcPr>
                <w:p w14:paraId="70F0E839">
                  <w:pPr>
                    <w:pStyle w:val="57"/>
                    <w:rPr>
                      <w:rFonts w:hint="eastAsia"/>
                      <w:color w:val="auto"/>
                    </w:rPr>
                  </w:pPr>
                  <w:r>
                    <w:rPr>
                      <w:rFonts w:hint="eastAsia"/>
                      <w:color w:val="auto"/>
                    </w:rPr>
                    <w:t>5</w:t>
                  </w:r>
                </w:p>
              </w:tc>
              <w:tc>
                <w:tcPr>
                  <w:tcW w:w="254" w:type="pct"/>
                  <w:tcBorders>
                    <w:tl2br w:val="nil"/>
                    <w:tr2bl w:val="nil"/>
                  </w:tcBorders>
                  <w:vAlign w:val="center"/>
                </w:tcPr>
                <w:p w14:paraId="54C878B6">
                  <w:pPr>
                    <w:pStyle w:val="57"/>
                    <w:rPr>
                      <w:color w:val="auto"/>
                    </w:rPr>
                  </w:pPr>
                  <w:r>
                    <w:rPr>
                      <w:rFonts w:hint="eastAsia"/>
                      <w:color w:val="auto"/>
                    </w:rPr>
                    <w:t>33</w:t>
                  </w:r>
                </w:p>
              </w:tc>
              <w:tc>
                <w:tcPr>
                  <w:tcW w:w="224" w:type="pct"/>
                  <w:tcBorders>
                    <w:tl2br w:val="nil"/>
                    <w:tr2bl w:val="nil"/>
                  </w:tcBorders>
                  <w:vAlign w:val="center"/>
                </w:tcPr>
                <w:p w14:paraId="5B77AE98">
                  <w:pPr>
                    <w:pStyle w:val="57"/>
                    <w:rPr>
                      <w:rFonts w:hint="eastAsia"/>
                      <w:color w:val="auto"/>
                    </w:rPr>
                  </w:pPr>
                  <w:r>
                    <w:rPr>
                      <w:rFonts w:hint="eastAsia"/>
                      <w:color w:val="auto"/>
                    </w:rPr>
                    <w:t>1.5</w:t>
                  </w:r>
                </w:p>
              </w:tc>
              <w:tc>
                <w:tcPr>
                  <w:tcW w:w="288" w:type="pct"/>
                  <w:tcBorders>
                    <w:tl2br w:val="nil"/>
                    <w:tr2bl w:val="nil"/>
                  </w:tcBorders>
                  <w:vAlign w:val="center"/>
                </w:tcPr>
                <w:p w14:paraId="55138C36">
                  <w:pPr>
                    <w:pStyle w:val="57"/>
                    <w:rPr>
                      <w:rFonts w:hint="eastAsia"/>
                      <w:color w:val="auto"/>
                    </w:rPr>
                  </w:pPr>
                  <w:r>
                    <w:rPr>
                      <w:rFonts w:hint="eastAsia"/>
                      <w:color w:val="auto"/>
                    </w:rPr>
                    <w:t>5</w:t>
                  </w:r>
                </w:p>
              </w:tc>
              <w:tc>
                <w:tcPr>
                  <w:tcW w:w="378" w:type="pct"/>
                  <w:tcBorders>
                    <w:tl2br w:val="nil"/>
                    <w:tr2bl w:val="nil"/>
                  </w:tcBorders>
                  <w:vAlign w:val="center"/>
                </w:tcPr>
                <w:p w14:paraId="1F73478C">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6B8342F6">
                  <w:pPr>
                    <w:pStyle w:val="57"/>
                    <w:rPr>
                      <w:color w:val="auto"/>
                    </w:rPr>
                  </w:pPr>
                </w:p>
              </w:tc>
              <w:tc>
                <w:tcPr>
                  <w:tcW w:w="365" w:type="pct"/>
                  <w:tcBorders>
                    <w:tl2br w:val="nil"/>
                    <w:tr2bl w:val="nil"/>
                  </w:tcBorders>
                  <w:vAlign w:val="center"/>
                </w:tcPr>
                <w:p w14:paraId="635E7C2D">
                  <w:pPr>
                    <w:pStyle w:val="57"/>
                    <w:rPr>
                      <w:rFonts w:hint="eastAsia"/>
                      <w:color w:val="auto"/>
                    </w:rPr>
                  </w:pPr>
                  <w:r>
                    <w:rPr>
                      <w:rFonts w:hint="eastAsia"/>
                      <w:color w:val="auto"/>
                    </w:rPr>
                    <w:t>10</w:t>
                  </w:r>
                </w:p>
              </w:tc>
              <w:tc>
                <w:tcPr>
                  <w:tcW w:w="392" w:type="pct"/>
                  <w:tcBorders>
                    <w:tl2br w:val="nil"/>
                    <w:tr2bl w:val="nil"/>
                  </w:tcBorders>
                  <w:vAlign w:val="center"/>
                </w:tcPr>
                <w:p w14:paraId="5EB41E77">
                  <w:pPr>
                    <w:pStyle w:val="57"/>
                    <w:rPr>
                      <w:rFonts w:hint="eastAsia"/>
                      <w:color w:val="auto"/>
                    </w:rPr>
                  </w:pPr>
                  <w:r>
                    <w:rPr>
                      <w:rFonts w:hint="eastAsia"/>
                      <w:color w:val="auto"/>
                    </w:rPr>
                    <w:t>55</w:t>
                  </w:r>
                </w:p>
              </w:tc>
              <w:tc>
                <w:tcPr>
                  <w:tcW w:w="352" w:type="pct"/>
                  <w:tcBorders>
                    <w:tl2br w:val="nil"/>
                    <w:tr2bl w:val="nil"/>
                  </w:tcBorders>
                  <w:vAlign w:val="center"/>
                </w:tcPr>
                <w:p w14:paraId="091829CB">
                  <w:pPr>
                    <w:pStyle w:val="57"/>
                    <w:rPr>
                      <w:color w:val="auto"/>
                    </w:rPr>
                  </w:pPr>
                  <w:r>
                    <w:rPr>
                      <w:color w:val="auto"/>
                    </w:rPr>
                    <w:t>1</w:t>
                  </w:r>
                </w:p>
              </w:tc>
            </w:tr>
            <w:tr w14:paraId="67A1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140" w:type="pct"/>
                  <w:vMerge w:val="continue"/>
                  <w:tcBorders>
                    <w:tl2br w:val="nil"/>
                    <w:tr2bl w:val="nil"/>
                  </w:tcBorders>
                  <w:vAlign w:val="center"/>
                </w:tcPr>
                <w:p w14:paraId="4A3087BD">
                  <w:pPr>
                    <w:pStyle w:val="57"/>
                    <w:rPr>
                      <w:color w:val="auto"/>
                    </w:rPr>
                  </w:pPr>
                </w:p>
              </w:tc>
              <w:tc>
                <w:tcPr>
                  <w:tcW w:w="219" w:type="pct"/>
                  <w:vMerge w:val="continue"/>
                  <w:tcBorders>
                    <w:tl2br w:val="nil"/>
                    <w:tr2bl w:val="nil"/>
                  </w:tcBorders>
                  <w:vAlign w:val="center"/>
                </w:tcPr>
                <w:p w14:paraId="1D9A1249">
                  <w:pPr>
                    <w:pStyle w:val="57"/>
                    <w:rPr>
                      <w:color w:val="auto"/>
                    </w:rPr>
                  </w:pPr>
                </w:p>
              </w:tc>
              <w:tc>
                <w:tcPr>
                  <w:tcW w:w="667" w:type="pct"/>
                  <w:tcBorders>
                    <w:tl2br w:val="nil"/>
                    <w:tr2bl w:val="nil"/>
                  </w:tcBorders>
                  <w:vAlign w:val="center"/>
                </w:tcPr>
                <w:p w14:paraId="63B60489">
                  <w:pPr>
                    <w:pStyle w:val="57"/>
                    <w:rPr>
                      <w:rFonts w:hint="eastAsia"/>
                      <w:color w:val="auto"/>
                    </w:rPr>
                  </w:pPr>
                  <w:r>
                    <w:rPr>
                      <w:rFonts w:hint="eastAsia"/>
                      <w:color w:val="auto"/>
                    </w:rPr>
                    <w:t>注塑机12#</w:t>
                  </w:r>
                </w:p>
              </w:tc>
              <w:tc>
                <w:tcPr>
                  <w:tcW w:w="143" w:type="pct"/>
                  <w:tcBorders>
                    <w:tl2br w:val="nil"/>
                    <w:tr2bl w:val="nil"/>
                  </w:tcBorders>
                  <w:vAlign w:val="center"/>
                </w:tcPr>
                <w:p w14:paraId="0C80E462">
                  <w:pPr>
                    <w:pStyle w:val="57"/>
                    <w:rPr>
                      <w:color w:val="auto"/>
                    </w:rPr>
                  </w:pPr>
                  <w:r>
                    <w:rPr>
                      <w:color w:val="auto"/>
                    </w:rPr>
                    <w:t>/</w:t>
                  </w:r>
                </w:p>
              </w:tc>
              <w:tc>
                <w:tcPr>
                  <w:tcW w:w="717" w:type="pct"/>
                  <w:tcBorders>
                    <w:tl2br w:val="nil"/>
                    <w:tr2bl w:val="nil"/>
                  </w:tcBorders>
                  <w:vAlign w:val="center"/>
                </w:tcPr>
                <w:p w14:paraId="51FC4F6C">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1AC6A607">
                  <w:pPr>
                    <w:pStyle w:val="57"/>
                    <w:rPr>
                      <w:color w:val="auto"/>
                    </w:rPr>
                  </w:pPr>
                </w:p>
              </w:tc>
              <w:tc>
                <w:tcPr>
                  <w:tcW w:w="228" w:type="pct"/>
                  <w:tcBorders>
                    <w:tl2br w:val="nil"/>
                    <w:tr2bl w:val="nil"/>
                  </w:tcBorders>
                  <w:vAlign w:val="center"/>
                </w:tcPr>
                <w:p w14:paraId="65593BAD">
                  <w:pPr>
                    <w:pStyle w:val="57"/>
                    <w:rPr>
                      <w:rFonts w:hint="eastAsia"/>
                      <w:color w:val="auto"/>
                    </w:rPr>
                  </w:pPr>
                  <w:r>
                    <w:rPr>
                      <w:rFonts w:hint="eastAsia"/>
                      <w:color w:val="auto"/>
                    </w:rPr>
                    <w:t>5</w:t>
                  </w:r>
                </w:p>
              </w:tc>
              <w:tc>
                <w:tcPr>
                  <w:tcW w:w="254" w:type="pct"/>
                  <w:tcBorders>
                    <w:tl2br w:val="nil"/>
                    <w:tr2bl w:val="nil"/>
                  </w:tcBorders>
                  <w:vAlign w:val="center"/>
                </w:tcPr>
                <w:p w14:paraId="3FB89F7D">
                  <w:pPr>
                    <w:pStyle w:val="57"/>
                    <w:rPr>
                      <w:color w:val="auto"/>
                    </w:rPr>
                  </w:pPr>
                  <w:r>
                    <w:rPr>
                      <w:rFonts w:hint="eastAsia"/>
                      <w:color w:val="auto"/>
                    </w:rPr>
                    <w:t>36</w:t>
                  </w:r>
                </w:p>
              </w:tc>
              <w:tc>
                <w:tcPr>
                  <w:tcW w:w="224" w:type="pct"/>
                  <w:tcBorders>
                    <w:tl2br w:val="nil"/>
                    <w:tr2bl w:val="nil"/>
                  </w:tcBorders>
                  <w:vAlign w:val="center"/>
                </w:tcPr>
                <w:p w14:paraId="66892966">
                  <w:pPr>
                    <w:pStyle w:val="57"/>
                    <w:rPr>
                      <w:rFonts w:hint="eastAsia"/>
                      <w:color w:val="auto"/>
                    </w:rPr>
                  </w:pPr>
                  <w:r>
                    <w:rPr>
                      <w:rFonts w:hint="eastAsia"/>
                      <w:color w:val="auto"/>
                    </w:rPr>
                    <w:t>1.5</w:t>
                  </w:r>
                </w:p>
              </w:tc>
              <w:tc>
                <w:tcPr>
                  <w:tcW w:w="288" w:type="pct"/>
                  <w:tcBorders>
                    <w:tl2br w:val="nil"/>
                    <w:tr2bl w:val="nil"/>
                  </w:tcBorders>
                  <w:vAlign w:val="center"/>
                </w:tcPr>
                <w:p w14:paraId="7DE97EE5">
                  <w:pPr>
                    <w:pStyle w:val="57"/>
                    <w:rPr>
                      <w:rFonts w:hint="eastAsia"/>
                      <w:color w:val="auto"/>
                    </w:rPr>
                  </w:pPr>
                  <w:r>
                    <w:rPr>
                      <w:rFonts w:hint="eastAsia"/>
                      <w:color w:val="auto"/>
                    </w:rPr>
                    <w:t>5</w:t>
                  </w:r>
                </w:p>
              </w:tc>
              <w:tc>
                <w:tcPr>
                  <w:tcW w:w="378" w:type="pct"/>
                  <w:tcBorders>
                    <w:tl2br w:val="nil"/>
                    <w:tr2bl w:val="nil"/>
                  </w:tcBorders>
                  <w:vAlign w:val="center"/>
                </w:tcPr>
                <w:p w14:paraId="7D5CE98E">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1CDCE55">
                  <w:pPr>
                    <w:pStyle w:val="57"/>
                    <w:rPr>
                      <w:color w:val="auto"/>
                    </w:rPr>
                  </w:pPr>
                </w:p>
              </w:tc>
              <w:tc>
                <w:tcPr>
                  <w:tcW w:w="365" w:type="pct"/>
                  <w:tcBorders>
                    <w:tl2br w:val="nil"/>
                    <w:tr2bl w:val="nil"/>
                  </w:tcBorders>
                  <w:vAlign w:val="center"/>
                </w:tcPr>
                <w:p w14:paraId="5CE6571E">
                  <w:pPr>
                    <w:pStyle w:val="57"/>
                    <w:rPr>
                      <w:rFonts w:hint="eastAsia"/>
                      <w:color w:val="auto"/>
                    </w:rPr>
                  </w:pPr>
                  <w:r>
                    <w:rPr>
                      <w:rFonts w:hint="eastAsia"/>
                      <w:color w:val="auto"/>
                    </w:rPr>
                    <w:t>10</w:t>
                  </w:r>
                </w:p>
              </w:tc>
              <w:tc>
                <w:tcPr>
                  <w:tcW w:w="392" w:type="pct"/>
                  <w:tcBorders>
                    <w:tl2br w:val="nil"/>
                    <w:tr2bl w:val="nil"/>
                  </w:tcBorders>
                  <w:vAlign w:val="center"/>
                </w:tcPr>
                <w:p w14:paraId="4FDE65F7">
                  <w:pPr>
                    <w:pStyle w:val="57"/>
                    <w:rPr>
                      <w:rFonts w:hint="eastAsia"/>
                      <w:color w:val="auto"/>
                    </w:rPr>
                  </w:pPr>
                  <w:r>
                    <w:rPr>
                      <w:rFonts w:hint="eastAsia"/>
                      <w:color w:val="auto"/>
                    </w:rPr>
                    <w:t>55</w:t>
                  </w:r>
                </w:p>
              </w:tc>
              <w:tc>
                <w:tcPr>
                  <w:tcW w:w="352" w:type="pct"/>
                  <w:tcBorders>
                    <w:tl2br w:val="nil"/>
                    <w:tr2bl w:val="nil"/>
                  </w:tcBorders>
                  <w:vAlign w:val="center"/>
                </w:tcPr>
                <w:p w14:paraId="6E59031E">
                  <w:pPr>
                    <w:pStyle w:val="57"/>
                    <w:rPr>
                      <w:color w:val="auto"/>
                    </w:rPr>
                  </w:pPr>
                  <w:r>
                    <w:rPr>
                      <w:color w:val="auto"/>
                    </w:rPr>
                    <w:t>1</w:t>
                  </w:r>
                </w:p>
              </w:tc>
            </w:tr>
            <w:tr w14:paraId="7F161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0" w:type="pct"/>
                  <w:vMerge w:val="continue"/>
                  <w:tcBorders>
                    <w:tl2br w:val="nil"/>
                    <w:tr2bl w:val="nil"/>
                  </w:tcBorders>
                  <w:vAlign w:val="center"/>
                </w:tcPr>
                <w:p w14:paraId="036B3093">
                  <w:pPr>
                    <w:pStyle w:val="57"/>
                    <w:rPr>
                      <w:color w:val="auto"/>
                    </w:rPr>
                  </w:pPr>
                </w:p>
              </w:tc>
              <w:tc>
                <w:tcPr>
                  <w:tcW w:w="219" w:type="pct"/>
                  <w:vMerge w:val="continue"/>
                  <w:tcBorders>
                    <w:tl2br w:val="nil"/>
                    <w:tr2bl w:val="nil"/>
                  </w:tcBorders>
                  <w:vAlign w:val="center"/>
                </w:tcPr>
                <w:p w14:paraId="2F013D85">
                  <w:pPr>
                    <w:pStyle w:val="57"/>
                    <w:rPr>
                      <w:color w:val="auto"/>
                    </w:rPr>
                  </w:pPr>
                </w:p>
              </w:tc>
              <w:tc>
                <w:tcPr>
                  <w:tcW w:w="667" w:type="pct"/>
                  <w:tcBorders>
                    <w:tl2br w:val="nil"/>
                    <w:tr2bl w:val="nil"/>
                  </w:tcBorders>
                  <w:vAlign w:val="center"/>
                </w:tcPr>
                <w:p w14:paraId="2860742A">
                  <w:pPr>
                    <w:pStyle w:val="57"/>
                    <w:rPr>
                      <w:rFonts w:hint="eastAsia"/>
                      <w:color w:val="auto"/>
                    </w:rPr>
                  </w:pPr>
                  <w:r>
                    <w:rPr>
                      <w:rFonts w:hint="eastAsia"/>
                      <w:color w:val="auto"/>
                    </w:rPr>
                    <w:t>注塑机13#</w:t>
                  </w:r>
                </w:p>
              </w:tc>
              <w:tc>
                <w:tcPr>
                  <w:tcW w:w="143" w:type="pct"/>
                  <w:tcBorders>
                    <w:tl2br w:val="nil"/>
                    <w:tr2bl w:val="nil"/>
                  </w:tcBorders>
                  <w:vAlign w:val="center"/>
                </w:tcPr>
                <w:p w14:paraId="160BC166">
                  <w:pPr>
                    <w:pStyle w:val="57"/>
                    <w:rPr>
                      <w:color w:val="auto"/>
                    </w:rPr>
                  </w:pPr>
                  <w:r>
                    <w:rPr>
                      <w:color w:val="auto"/>
                    </w:rPr>
                    <w:t>/</w:t>
                  </w:r>
                </w:p>
              </w:tc>
              <w:tc>
                <w:tcPr>
                  <w:tcW w:w="717" w:type="pct"/>
                  <w:tcBorders>
                    <w:tl2br w:val="nil"/>
                    <w:tr2bl w:val="nil"/>
                  </w:tcBorders>
                  <w:vAlign w:val="center"/>
                </w:tcPr>
                <w:p w14:paraId="57E1E6FE">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746F616F">
                  <w:pPr>
                    <w:pStyle w:val="57"/>
                    <w:rPr>
                      <w:color w:val="auto"/>
                    </w:rPr>
                  </w:pPr>
                </w:p>
              </w:tc>
              <w:tc>
                <w:tcPr>
                  <w:tcW w:w="228" w:type="pct"/>
                  <w:tcBorders>
                    <w:tl2br w:val="nil"/>
                    <w:tr2bl w:val="nil"/>
                  </w:tcBorders>
                  <w:vAlign w:val="center"/>
                </w:tcPr>
                <w:p w14:paraId="1B947739">
                  <w:pPr>
                    <w:pStyle w:val="57"/>
                    <w:rPr>
                      <w:rFonts w:hint="eastAsia"/>
                      <w:color w:val="auto"/>
                    </w:rPr>
                  </w:pPr>
                  <w:r>
                    <w:rPr>
                      <w:rFonts w:hint="eastAsia"/>
                      <w:color w:val="auto"/>
                    </w:rPr>
                    <w:t>5</w:t>
                  </w:r>
                </w:p>
              </w:tc>
              <w:tc>
                <w:tcPr>
                  <w:tcW w:w="254" w:type="pct"/>
                  <w:tcBorders>
                    <w:tl2br w:val="nil"/>
                    <w:tr2bl w:val="nil"/>
                  </w:tcBorders>
                  <w:vAlign w:val="center"/>
                </w:tcPr>
                <w:p w14:paraId="3D58B5D9">
                  <w:pPr>
                    <w:pStyle w:val="57"/>
                    <w:rPr>
                      <w:color w:val="auto"/>
                    </w:rPr>
                  </w:pPr>
                  <w:r>
                    <w:rPr>
                      <w:rFonts w:hint="eastAsia"/>
                      <w:color w:val="auto"/>
                    </w:rPr>
                    <w:t>39</w:t>
                  </w:r>
                </w:p>
              </w:tc>
              <w:tc>
                <w:tcPr>
                  <w:tcW w:w="224" w:type="pct"/>
                  <w:tcBorders>
                    <w:tl2br w:val="nil"/>
                    <w:tr2bl w:val="nil"/>
                  </w:tcBorders>
                  <w:vAlign w:val="center"/>
                </w:tcPr>
                <w:p w14:paraId="133609C7">
                  <w:pPr>
                    <w:pStyle w:val="57"/>
                    <w:rPr>
                      <w:rFonts w:hint="eastAsia"/>
                      <w:color w:val="auto"/>
                    </w:rPr>
                  </w:pPr>
                  <w:r>
                    <w:rPr>
                      <w:rFonts w:hint="eastAsia"/>
                      <w:color w:val="auto"/>
                    </w:rPr>
                    <w:t>1.5</w:t>
                  </w:r>
                </w:p>
              </w:tc>
              <w:tc>
                <w:tcPr>
                  <w:tcW w:w="288" w:type="pct"/>
                  <w:tcBorders>
                    <w:tl2br w:val="nil"/>
                    <w:tr2bl w:val="nil"/>
                  </w:tcBorders>
                  <w:vAlign w:val="center"/>
                </w:tcPr>
                <w:p w14:paraId="49557576">
                  <w:pPr>
                    <w:pStyle w:val="57"/>
                    <w:rPr>
                      <w:rFonts w:hint="eastAsia"/>
                      <w:color w:val="auto"/>
                    </w:rPr>
                  </w:pPr>
                  <w:r>
                    <w:rPr>
                      <w:rFonts w:hint="eastAsia"/>
                      <w:color w:val="auto"/>
                    </w:rPr>
                    <w:t>5</w:t>
                  </w:r>
                </w:p>
              </w:tc>
              <w:tc>
                <w:tcPr>
                  <w:tcW w:w="378" w:type="pct"/>
                  <w:tcBorders>
                    <w:tl2br w:val="nil"/>
                    <w:tr2bl w:val="nil"/>
                  </w:tcBorders>
                  <w:vAlign w:val="center"/>
                </w:tcPr>
                <w:p w14:paraId="4FCAB931">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045DFC7D">
                  <w:pPr>
                    <w:pStyle w:val="57"/>
                    <w:rPr>
                      <w:color w:val="auto"/>
                    </w:rPr>
                  </w:pPr>
                </w:p>
              </w:tc>
              <w:tc>
                <w:tcPr>
                  <w:tcW w:w="365" w:type="pct"/>
                  <w:tcBorders>
                    <w:tl2br w:val="nil"/>
                    <w:tr2bl w:val="nil"/>
                  </w:tcBorders>
                  <w:vAlign w:val="center"/>
                </w:tcPr>
                <w:p w14:paraId="1B6B1305">
                  <w:pPr>
                    <w:pStyle w:val="57"/>
                    <w:rPr>
                      <w:rFonts w:hint="eastAsia"/>
                      <w:color w:val="auto"/>
                    </w:rPr>
                  </w:pPr>
                  <w:r>
                    <w:rPr>
                      <w:rFonts w:hint="eastAsia"/>
                      <w:color w:val="auto"/>
                    </w:rPr>
                    <w:t>10</w:t>
                  </w:r>
                </w:p>
              </w:tc>
              <w:tc>
                <w:tcPr>
                  <w:tcW w:w="392" w:type="pct"/>
                  <w:tcBorders>
                    <w:tl2br w:val="nil"/>
                    <w:tr2bl w:val="nil"/>
                  </w:tcBorders>
                  <w:vAlign w:val="center"/>
                </w:tcPr>
                <w:p w14:paraId="1356EDED">
                  <w:pPr>
                    <w:pStyle w:val="57"/>
                    <w:rPr>
                      <w:rFonts w:hint="eastAsia"/>
                      <w:color w:val="auto"/>
                    </w:rPr>
                  </w:pPr>
                  <w:r>
                    <w:rPr>
                      <w:rFonts w:hint="eastAsia"/>
                      <w:color w:val="auto"/>
                    </w:rPr>
                    <w:t>55</w:t>
                  </w:r>
                </w:p>
              </w:tc>
              <w:tc>
                <w:tcPr>
                  <w:tcW w:w="352" w:type="pct"/>
                  <w:tcBorders>
                    <w:tl2br w:val="nil"/>
                    <w:tr2bl w:val="nil"/>
                  </w:tcBorders>
                  <w:vAlign w:val="center"/>
                </w:tcPr>
                <w:p w14:paraId="06166A52">
                  <w:pPr>
                    <w:pStyle w:val="57"/>
                    <w:rPr>
                      <w:color w:val="auto"/>
                    </w:rPr>
                  </w:pPr>
                  <w:r>
                    <w:rPr>
                      <w:color w:val="auto"/>
                    </w:rPr>
                    <w:t>1</w:t>
                  </w:r>
                </w:p>
              </w:tc>
            </w:tr>
            <w:tr w14:paraId="13AF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0" w:type="pct"/>
                  <w:vMerge w:val="continue"/>
                  <w:tcBorders>
                    <w:tl2br w:val="nil"/>
                    <w:tr2bl w:val="nil"/>
                  </w:tcBorders>
                  <w:vAlign w:val="center"/>
                </w:tcPr>
                <w:p w14:paraId="140BB0C8">
                  <w:pPr>
                    <w:pStyle w:val="57"/>
                    <w:rPr>
                      <w:color w:val="auto"/>
                    </w:rPr>
                  </w:pPr>
                </w:p>
              </w:tc>
              <w:tc>
                <w:tcPr>
                  <w:tcW w:w="219" w:type="pct"/>
                  <w:vMerge w:val="continue"/>
                  <w:tcBorders>
                    <w:tl2br w:val="nil"/>
                    <w:tr2bl w:val="nil"/>
                  </w:tcBorders>
                  <w:vAlign w:val="center"/>
                </w:tcPr>
                <w:p w14:paraId="2A6B26C6">
                  <w:pPr>
                    <w:pStyle w:val="57"/>
                    <w:rPr>
                      <w:color w:val="auto"/>
                    </w:rPr>
                  </w:pPr>
                </w:p>
              </w:tc>
              <w:tc>
                <w:tcPr>
                  <w:tcW w:w="667" w:type="pct"/>
                  <w:tcBorders>
                    <w:tl2br w:val="nil"/>
                    <w:tr2bl w:val="nil"/>
                  </w:tcBorders>
                  <w:vAlign w:val="center"/>
                </w:tcPr>
                <w:p w14:paraId="3EC5EAD2">
                  <w:pPr>
                    <w:pStyle w:val="57"/>
                    <w:rPr>
                      <w:rFonts w:hint="eastAsia"/>
                      <w:color w:val="auto"/>
                    </w:rPr>
                  </w:pPr>
                  <w:r>
                    <w:rPr>
                      <w:rFonts w:hint="eastAsia"/>
                      <w:color w:val="auto"/>
                    </w:rPr>
                    <w:t>注塑机14#</w:t>
                  </w:r>
                </w:p>
              </w:tc>
              <w:tc>
                <w:tcPr>
                  <w:tcW w:w="143" w:type="pct"/>
                  <w:tcBorders>
                    <w:tl2br w:val="nil"/>
                    <w:tr2bl w:val="nil"/>
                  </w:tcBorders>
                  <w:vAlign w:val="center"/>
                </w:tcPr>
                <w:p w14:paraId="4EF5F81A">
                  <w:pPr>
                    <w:pStyle w:val="57"/>
                    <w:rPr>
                      <w:color w:val="auto"/>
                    </w:rPr>
                  </w:pPr>
                  <w:r>
                    <w:rPr>
                      <w:color w:val="auto"/>
                    </w:rPr>
                    <w:t>/</w:t>
                  </w:r>
                </w:p>
              </w:tc>
              <w:tc>
                <w:tcPr>
                  <w:tcW w:w="717" w:type="pct"/>
                  <w:tcBorders>
                    <w:tl2br w:val="nil"/>
                    <w:tr2bl w:val="nil"/>
                  </w:tcBorders>
                  <w:vAlign w:val="center"/>
                </w:tcPr>
                <w:p w14:paraId="0293B4A5">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7AE3927F">
                  <w:pPr>
                    <w:pStyle w:val="57"/>
                    <w:rPr>
                      <w:color w:val="auto"/>
                    </w:rPr>
                  </w:pPr>
                </w:p>
              </w:tc>
              <w:tc>
                <w:tcPr>
                  <w:tcW w:w="228" w:type="pct"/>
                  <w:tcBorders>
                    <w:tl2br w:val="nil"/>
                    <w:tr2bl w:val="nil"/>
                  </w:tcBorders>
                  <w:vAlign w:val="center"/>
                </w:tcPr>
                <w:p w14:paraId="32F374EB">
                  <w:pPr>
                    <w:pStyle w:val="57"/>
                    <w:rPr>
                      <w:rFonts w:hint="eastAsia"/>
                      <w:color w:val="auto"/>
                    </w:rPr>
                  </w:pPr>
                  <w:r>
                    <w:rPr>
                      <w:rFonts w:hint="eastAsia"/>
                      <w:color w:val="auto"/>
                    </w:rPr>
                    <w:t>5</w:t>
                  </w:r>
                </w:p>
              </w:tc>
              <w:tc>
                <w:tcPr>
                  <w:tcW w:w="254" w:type="pct"/>
                  <w:tcBorders>
                    <w:tl2br w:val="nil"/>
                    <w:tr2bl w:val="nil"/>
                  </w:tcBorders>
                  <w:vAlign w:val="center"/>
                </w:tcPr>
                <w:p w14:paraId="40FD363C">
                  <w:pPr>
                    <w:pStyle w:val="57"/>
                    <w:rPr>
                      <w:color w:val="auto"/>
                    </w:rPr>
                  </w:pPr>
                  <w:r>
                    <w:rPr>
                      <w:rFonts w:hint="eastAsia"/>
                      <w:color w:val="auto"/>
                    </w:rPr>
                    <w:t>42</w:t>
                  </w:r>
                </w:p>
              </w:tc>
              <w:tc>
                <w:tcPr>
                  <w:tcW w:w="224" w:type="pct"/>
                  <w:tcBorders>
                    <w:tl2br w:val="nil"/>
                    <w:tr2bl w:val="nil"/>
                  </w:tcBorders>
                  <w:vAlign w:val="center"/>
                </w:tcPr>
                <w:p w14:paraId="538B478A">
                  <w:pPr>
                    <w:pStyle w:val="57"/>
                    <w:rPr>
                      <w:rFonts w:hint="eastAsia"/>
                      <w:color w:val="auto"/>
                    </w:rPr>
                  </w:pPr>
                  <w:r>
                    <w:rPr>
                      <w:rFonts w:hint="eastAsia"/>
                      <w:color w:val="auto"/>
                    </w:rPr>
                    <w:t>1.5</w:t>
                  </w:r>
                </w:p>
              </w:tc>
              <w:tc>
                <w:tcPr>
                  <w:tcW w:w="288" w:type="pct"/>
                  <w:tcBorders>
                    <w:tl2br w:val="nil"/>
                    <w:tr2bl w:val="nil"/>
                  </w:tcBorders>
                  <w:vAlign w:val="center"/>
                </w:tcPr>
                <w:p w14:paraId="213141DF">
                  <w:pPr>
                    <w:pStyle w:val="57"/>
                    <w:rPr>
                      <w:rFonts w:hint="eastAsia"/>
                      <w:color w:val="auto"/>
                    </w:rPr>
                  </w:pPr>
                  <w:r>
                    <w:rPr>
                      <w:rFonts w:hint="eastAsia"/>
                      <w:color w:val="auto"/>
                    </w:rPr>
                    <w:t>5</w:t>
                  </w:r>
                </w:p>
              </w:tc>
              <w:tc>
                <w:tcPr>
                  <w:tcW w:w="378" w:type="pct"/>
                  <w:tcBorders>
                    <w:tl2br w:val="nil"/>
                    <w:tr2bl w:val="nil"/>
                  </w:tcBorders>
                  <w:vAlign w:val="center"/>
                </w:tcPr>
                <w:p w14:paraId="6CE509F7">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1C760663">
                  <w:pPr>
                    <w:pStyle w:val="57"/>
                    <w:rPr>
                      <w:color w:val="auto"/>
                    </w:rPr>
                  </w:pPr>
                </w:p>
              </w:tc>
              <w:tc>
                <w:tcPr>
                  <w:tcW w:w="365" w:type="pct"/>
                  <w:tcBorders>
                    <w:tl2br w:val="nil"/>
                    <w:tr2bl w:val="nil"/>
                  </w:tcBorders>
                  <w:vAlign w:val="center"/>
                </w:tcPr>
                <w:p w14:paraId="046777D9">
                  <w:pPr>
                    <w:pStyle w:val="57"/>
                    <w:rPr>
                      <w:rFonts w:hint="eastAsia"/>
                      <w:color w:val="auto"/>
                    </w:rPr>
                  </w:pPr>
                  <w:r>
                    <w:rPr>
                      <w:rFonts w:hint="eastAsia"/>
                      <w:color w:val="auto"/>
                    </w:rPr>
                    <w:t>10</w:t>
                  </w:r>
                </w:p>
              </w:tc>
              <w:tc>
                <w:tcPr>
                  <w:tcW w:w="392" w:type="pct"/>
                  <w:tcBorders>
                    <w:tl2br w:val="nil"/>
                    <w:tr2bl w:val="nil"/>
                  </w:tcBorders>
                  <w:vAlign w:val="center"/>
                </w:tcPr>
                <w:p w14:paraId="2EA4749F">
                  <w:pPr>
                    <w:pStyle w:val="57"/>
                    <w:rPr>
                      <w:rFonts w:hint="eastAsia"/>
                      <w:color w:val="auto"/>
                    </w:rPr>
                  </w:pPr>
                  <w:r>
                    <w:rPr>
                      <w:rFonts w:hint="eastAsia"/>
                      <w:color w:val="auto"/>
                    </w:rPr>
                    <w:t>55</w:t>
                  </w:r>
                </w:p>
              </w:tc>
              <w:tc>
                <w:tcPr>
                  <w:tcW w:w="352" w:type="pct"/>
                  <w:tcBorders>
                    <w:tl2br w:val="nil"/>
                    <w:tr2bl w:val="nil"/>
                  </w:tcBorders>
                  <w:vAlign w:val="center"/>
                </w:tcPr>
                <w:p w14:paraId="7B522547">
                  <w:pPr>
                    <w:pStyle w:val="57"/>
                    <w:rPr>
                      <w:color w:val="auto"/>
                    </w:rPr>
                  </w:pPr>
                  <w:r>
                    <w:rPr>
                      <w:color w:val="auto"/>
                    </w:rPr>
                    <w:t>1</w:t>
                  </w:r>
                </w:p>
              </w:tc>
            </w:tr>
            <w:tr w14:paraId="1BF5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0" w:type="pct"/>
                  <w:vMerge w:val="continue"/>
                  <w:tcBorders>
                    <w:tl2br w:val="nil"/>
                    <w:tr2bl w:val="nil"/>
                  </w:tcBorders>
                  <w:vAlign w:val="center"/>
                </w:tcPr>
                <w:p w14:paraId="196DDB5F">
                  <w:pPr>
                    <w:pStyle w:val="57"/>
                    <w:rPr>
                      <w:color w:val="auto"/>
                    </w:rPr>
                  </w:pPr>
                </w:p>
              </w:tc>
              <w:tc>
                <w:tcPr>
                  <w:tcW w:w="219" w:type="pct"/>
                  <w:vMerge w:val="continue"/>
                  <w:tcBorders>
                    <w:tl2br w:val="nil"/>
                    <w:tr2bl w:val="nil"/>
                  </w:tcBorders>
                  <w:vAlign w:val="center"/>
                </w:tcPr>
                <w:p w14:paraId="7A118270">
                  <w:pPr>
                    <w:pStyle w:val="57"/>
                    <w:rPr>
                      <w:color w:val="auto"/>
                    </w:rPr>
                  </w:pPr>
                </w:p>
              </w:tc>
              <w:tc>
                <w:tcPr>
                  <w:tcW w:w="667" w:type="pct"/>
                  <w:tcBorders>
                    <w:tl2br w:val="nil"/>
                    <w:tr2bl w:val="nil"/>
                  </w:tcBorders>
                  <w:vAlign w:val="center"/>
                </w:tcPr>
                <w:p w14:paraId="5E17D9E9">
                  <w:pPr>
                    <w:pStyle w:val="57"/>
                    <w:rPr>
                      <w:rFonts w:hint="eastAsia"/>
                      <w:color w:val="auto"/>
                    </w:rPr>
                  </w:pPr>
                  <w:r>
                    <w:rPr>
                      <w:rFonts w:hint="eastAsia"/>
                      <w:color w:val="auto"/>
                    </w:rPr>
                    <w:t>注塑机15#</w:t>
                  </w:r>
                </w:p>
              </w:tc>
              <w:tc>
                <w:tcPr>
                  <w:tcW w:w="143" w:type="pct"/>
                  <w:tcBorders>
                    <w:tl2br w:val="nil"/>
                    <w:tr2bl w:val="nil"/>
                  </w:tcBorders>
                  <w:vAlign w:val="center"/>
                </w:tcPr>
                <w:p w14:paraId="356F6F92">
                  <w:pPr>
                    <w:pStyle w:val="57"/>
                    <w:rPr>
                      <w:color w:val="auto"/>
                    </w:rPr>
                  </w:pPr>
                  <w:r>
                    <w:rPr>
                      <w:color w:val="auto"/>
                    </w:rPr>
                    <w:t>/</w:t>
                  </w:r>
                </w:p>
              </w:tc>
              <w:tc>
                <w:tcPr>
                  <w:tcW w:w="717" w:type="pct"/>
                  <w:tcBorders>
                    <w:tl2br w:val="nil"/>
                    <w:tr2bl w:val="nil"/>
                  </w:tcBorders>
                  <w:vAlign w:val="center"/>
                </w:tcPr>
                <w:p w14:paraId="327CCB17">
                  <w:pPr>
                    <w:pStyle w:val="57"/>
                    <w:rPr>
                      <w:rFonts w:hint="eastAsia"/>
                      <w:color w:val="auto"/>
                    </w:rPr>
                  </w:pPr>
                  <w:r>
                    <w:rPr>
                      <w:rFonts w:hint="eastAsia"/>
                      <w:color w:val="auto"/>
                    </w:rPr>
                    <w:t>7</w:t>
                  </w:r>
                  <w:r>
                    <w:rPr>
                      <w:color w:val="auto"/>
                    </w:rPr>
                    <w:t>5/1</w:t>
                  </w:r>
                </w:p>
              </w:tc>
              <w:tc>
                <w:tcPr>
                  <w:tcW w:w="346" w:type="pct"/>
                  <w:vMerge w:val="continue"/>
                  <w:tcBorders>
                    <w:tl2br w:val="nil"/>
                    <w:tr2bl w:val="nil"/>
                  </w:tcBorders>
                  <w:vAlign w:val="center"/>
                </w:tcPr>
                <w:p w14:paraId="60A4A3C4">
                  <w:pPr>
                    <w:pStyle w:val="57"/>
                    <w:rPr>
                      <w:color w:val="auto"/>
                    </w:rPr>
                  </w:pPr>
                </w:p>
              </w:tc>
              <w:tc>
                <w:tcPr>
                  <w:tcW w:w="228" w:type="pct"/>
                  <w:tcBorders>
                    <w:tl2br w:val="nil"/>
                    <w:tr2bl w:val="nil"/>
                  </w:tcBorders>
                  <w:vAlign w:val="center"/>
                </w:tcPr>
                <w:p w14:paraId="7346B265">
                  <w:pPr>
                    <w:pStyle w:val="57"/>
                    <w:rPr>
                      <w:rFonts w:hint="eastAsia"/>
                      <w:color w:val="auto"/>
                    </w:rPr>
                  </w:pPr>
                  <w:r>
                    <w:rPr>
                      <w:rFonts w:hint="eastAsia"/>
                      <w:color w:val="auto"/>
                    </w:rPr>
                    <w:t>5</w:t>
                  </w:r>
                </w:p>
              </w:tc>
              <w:tc>
                <w:tcPr>
                  <w:tcW w:w="254" w:type="pct"/>
                  <w:tcBorders>
                    <w:tl2br w:val="nil"/>
                    <w:tr2bl w:val="nil"/>
                  </w:tcBorders>
                  <w:vAlign w:val="center"/>
                </w:tcPr>
                <w:p w14:paraId="329DC7B4">
                  <w:pPr>
                    <w:pStyle w:val="57"/>
                    <w:rPr>
                      <w:color w:val="auto"/>
                    </w:rPr>
                  </w:pPr>
                  <w:r>
                    <w:rPr>
                      <w:rFonts w:hint="eastAsia"/>
                      <w:color w:val="auto"/>
                    </w:rPr>
                    <w:t>45</w:t>
                  </w:r>
                </w:p>
              </w:tc>
              <w:tc>
                <w:tcPr>
                  <w:tcW w:w="224" w:type="pct"/>
                  <w:tcBorders>
                    <w:tl2br w:val="nil"/>
                    <w:tr2bl w:val="nil"/>
                  </w:tcBorders>
                  <w:vAlign w:val="center"/>
                </w:tcPr>
                <w:p w14:paraId="2BA6F6F3">
                  <w:pPr>
                    <w:pStyle w:val="57"/>
                    <w:rPr>
                      <w:rFonts w:hint="eastAsia"/>
                      <w:color w:val="auto"/>
                    </w:rPr>
                  </w:pPr>
                  <w:r>
                    <w:rPr>
                      <w:rFonts w:hint="eastAsia"/>
                      <w:color w:val="auto"/>
                    </w:rPr>
                    <w:t>1.5</w:t>
                  </w:r>
                </w:p>
              </w:tc>
              <w:tc>
                <w:tcPr>
                  <w:tcW w:w="288" w:type="pct"/>
                  <w:tcBorders>
                    <w:tl2br w:val="nil"/>
                    <w:tr2bl w:val="nil"/>
                  </w:tcBorders>
                  <w:vAlign w:val="center"/>
                </w:tcPr>
                <w:p w14:paraId="332F6FBE">
                  <w:pPr>
                    <w:pStyle w:val="57"/>
                    <w:rPr>
                      <w:rFonts w:hint="eastAsia"/>
                      <w:color w:val="auto"/>
                    </w:rPr>
                  </w:pPr>
                  <w:r>
                    <w:rPr>
                      <w:rFonts w:hint="eastAsia"/>
                      <w:color w:val="auto"/>
                    </w:rPr>
                    <w:t>5</w:t>
                  </w:r>
                </w:p>
              </w:tc>
              <w:tc>
                <w:tcPr>
                  <w:tcW w:w="378" w:type="pct"/>
                  <w:tcBorders>
                    <w:tl2br w:val="nil"/>
                    <w:tr2bl w:val="nil"/>
                  </w:tcBorders>
                  <w:vAlign w:val="center"/>
                </w:tcPr>
                <w:p w14:paraId="667D4021">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5D97E12">
                  <w:pPr>
                    <w:pStyle w:val="57"/>
                    <w:rPr>
                      <w:color w:val="auto"/>
                    </w:rPr>
                  </w:pPr>
                </w:p>
              </w:tc>
              <w:tc>
                <w:tcPr>
                  <w:tcW w:w="365" w:type="pct"/>
                  <w:tcBorders>
                    <w:tl2br w:val="nil"/>
                    <w:tr2bl w:val="nil"/>
                  </w:tcBorders>
                  <w:vAlign w:val="center"/>
                </w:tcPr>
                <w:p w14:paraId="4733C0CE">
                  <w:pPr>
                    <w:pStyle w:val="57"/>
                    <w:rPr>
                      <w:rFonts w:hint="eastAsia"/>
                      <w:color w:val="auto"/>
                    </w:rPr>
                  </w:pPr>
                  <w:r>
                    <w:rPr>
                      <w:rFonts w:hint="eastAsia"/>
                      <w:color w:val="auto"/>
                    </w:rPr>
                    <w:t>10</w:t>
                  </w:r>
                </w:p>
              </w:tc>
              <w:tc>
                <w:tcPr>
                  <w:tcW w:w="392" w:type="pct"/>
                  <w:tcBorders>
                    <w:tl2br w:val="nil"/>
                    <w:tr2bl w:val="nil"/>
                  </w:tcBorders>
                  <w:vAlign w:val="center"/>
                </w:tcPr>
                <w:p w14:paraId="2BFE467C">
                  <w:pPr>
                    <w:pStyle w:val="57"/>
                    <w:rPr>
                      <w:rFonts w:hint="eastAsia"/>
                      <w:color w:val="auto"/>
                    </w:rPr>
                  </w:pPr>
                  <w:r>
                    <w:rPr>
                      <w:rFonts w:hint="eastAsia"/>
                      <w:color w:val="auto"/>
                    </w:rPr>
                    <w:t>55</w:t>
                  </w:r>
                </w:p>
              </w:tc>
              <w:tc>
                <w:tcPr>
                  <w:tcW w:w="352" w:type="pct"/>
                  <w:tcBorders>
                    <w:tl2br w:val="nil"/>
                    <w:tr2bl w:val="nil"/>
                  </w:tcBorders>
                  <w:vAlign w:val="center"/>
                </w:tcPr>
                <w:p w14:paraId="2E88FC63">
                  <w:pPr>
                    <w:pStyle w:val="57"/>
                    <w:rPr>
                      <w:color w:val="auto"/>
                    </w:rPr>
                  </w:pPr>
                  <w:r>
                    <w:rPr>
                      <w:color w:val="auto"/>
                    </w:rPr>
                    <w:t>1</w:t>
                  </w:r>
                </w:p>
              </w:tc>
            </w:tr>
            <w:tr w14:paraId="63C7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213047F1">
                  <w:pPr>
                    <w:pStyle w:val="57"/>
                    <w:rPr>
                      <w:color w:val="auto"/>
                    </w:rPr>
                  </w:pPr>
                </w:p>
              </w:tc>
              <w:tc>
                <w:tcPr>
                  <w:tcW w:w="219" w:type="pct"/>
                  <w:vMerge w:val="continue"/>
                  <w:tcBorders>
                    <w:tl2br w:val="nil"/>
                    <w:tr2bl w:val="nil"/>
                  </w:tcBorders>
                  <w:vAlign w:val="center"/>
                </w:tcPr>
                <w:p w14:paraId="58ED3E5D">
                  <w:pPr>
                    <w:pStyle w:val="57"/>
                    <w:rPr>
                      <w:color w:val="auto"/>
                    </w:rPr>
                  </w:pPr>
                </w:p>
              </w:tc>
              <w:tc>
                <w:tcPr>
                  <w:tcW w:w="667" w:type="pct"/>
                  <w:tcBorders>
                    <w:tl2br w:val="nil"/>
                    <w:tr2bl w:val="nil"/>
                  </w:tcBorders>
                  <w:vAlign w:val="center"/>
                </w:tcPr>
                <w:p w14:paraId="74B1577B">
                  <w:pPr>
                    <w:pStyle w:val="57"/>
                    <w:rPr>
                      <w:rFonts w:hint="eastAsia"/>
                      <w:color w:val="auto"/>
                    </w:rPr>
                  </w:pPr>
                  <w:r>
                    <w:rPr>
                      <w:rFonts w:hint="eastAsia"/>
                      <w:color w:val="auto"/>
                    </w:rPr>
                    <w:t>混色机1#</w:t>
                  </w:r>
                </w:p>
              </w:tc>
              <w:tc>
                <w:tcPr>
                  <w:tcW w:w="143" w:type="pct"/>
                  <w:tcBorders>
                    <w:tl2br w:val="nil"/>
                    <w:tr2bl w:val="nil"/>
                  </w:tcBorders>
                  <w:vAlign w:val="center"/>
                </w:tcPr>
                <w:p w14:paraId="30DE67DD">
                  <w:pPr>
                    <w:pStyle w:val="57"/>
                    <w:rPr>
                      <w:color w:val="auto"/>
                    </w:rPr>
                  </w:pPr>
                  <w:r>
                    <w:rPr>
                      <w:color w:val="auto"/>
                    </w:rPr>
                    <w:t>/</w:t>
                  </w:r>
                </w:p>
              </w:tc>
              <w:tc>
                <w:tcPr>
                  <w:tcW w:w="717" w:type="pct"/>
                  <w:tcBorders>
                    <w:tl2br w:val="nil"/>
                    <w:tr2bl w:val="nil"/>
                  </w:tcBorders>
                  <w:vAlign w:val="center"/>
                </w:tcPr>
                <w:p w14:paraId="7CFC63CD">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749FCE9F">
                  <w:pPr>
                    <w:pStyle w:val="57"/>
                    <w:rPr>
                      <w:color w:val="auto"/>
                    </w:rPr>
                  </w:pPr>
                </w:p>
              </w:tc>
              <w:tc>
                <w:tcPr>
                  <w:tcW w:w="228" w:type="pct"/>
                  <w:tcBorders>
                    <w:tl2br w:val="nil"/>
                    <w:tr2bl w:val="nil"/>
                  </w:tcBorders>
                  <w:vAlign w:val="center"/>
                </w:tcPr>
                <w:p w14:paraId="23AACBB4">
                  <w:pPr>
                    <w:pStyle w:val="57"/>
                    <w:rPr>
                      <w:color w:val="auto"/>
                    </w:rPr>
                  </w:pPr>
                  <w:r>
                    <w:rPr>
                      <w:rFonts w:hint="eastAsia"/>
                      <w:color w:val="auto"/>
                    </w:rPr>
                    <w:t>29</w:t>
                  </w:r>
                </w:p>
              </w:tc>
              <w:tc>
                <w:tcPr>
                  <w:tcW w:w="254" w:type="pct"/>
                  <w:tcBorders>
                    <w:tl2br w:val="nil"/>
                    <w:tr2bl w:val="nil"/>
                  </w:tcBorders>
                  <w:vAlign w:val="center"/>
                </w:tcPr>
                <w:p w14:paraId="2B65C8FC">
                  <w:pPr>
                    <w:pStyle w:val="57"/>
                    <w:rPr>
                      <w:rFonts w:hint="eastAsia"/>
                      <w:color w:val="auto"/>
                    </w:rPr>
                  </w:pPr>
                  <w:r>
                    <w:rPr>
                      <w:rFonts w:hint="eastAsia"/>
                      <w:color w:val="auto"/>
                    </w:rPr>
                    <w:t>3</w:t>
                  </w:r>
                </w:p>
              </w:tc>
              <w:tc>
                <w:tcPr>
                  <w:tcW w:w="224" w:type="pct"/>
                  <w:tcBorders>
                    <w:tl2br w:val="nil"/>
                    <w:tr2bl w:val="nil"/>
                  </w:tcBorders>
                  <w:vAlign w:val="center"/>
                </w:tcPr>
                <w:p w14:paraId="4150E941">
                  <w:pPr>
                    <w:pStyle w:val="57"/>
                    <w:rPr>
                      <w:rFonts w:hint="eastAsia"/>
                      <w:color w:val="auto"/>
                    </w:rPr>
                  </w:pPr>
                  <w:r>
                    <w:rPr>
                      <w:rFonts w:hint="eastAsia"/>
                      <w:color w:val="auto"/>
                    </w:rPr>
                    <w:t>1.5</w:t>
                  </w:r>
                </w:p>
              </w:tc>
              <w:tc>
                <w:tcPr>
                  <w:tcW w:w="288" w:type="pct"/>
                  <w:tcBorders>
                    <w:tl2br w:val="nil"/>
                    <w:tr2bl w:val="nil"/>
                  </w:tcBorders>
                  <w:vAlign w:val="center"/>
                </w:tcPr>
                <w:p w14:paraId="46A7B2B4">
                  <w:pPr>
                    <w:pStyle w:val="57"/>
                    <w:rPr>
                      <w:rFonts w:hint="eastAsia"/>
                      <w:color w:val="auto"/>
                    </w:rPr>
                  </w:pPr>
                  <w:r>
                    <w:rPr>
                      <w:rFonts w:hint="eastAsia"/>
                      <w:color w:val="auto"/>
                    </w:rPr>
                    <w:t>6</w:t>
                  </w:r>
                </w:p>
              </w:tc>
              <w:tc>
                <w:tcPr>
                  <w:tcW w:w="378" w:type="pct"/>
                  <w:tcBorders>
                    <w:tl2br w:val="nil"/>
                    <w:tr2bl w:val="nil"/>
                  </w:tcBorders>
                  <w:vAlign w:val="center"/>
                </w:tcPr>
                <w:p w14:paraId="622828C4">
                  <w:pPr>
                    <w:pStyle w:val="57"/>
                    <w:rPr>
                      <w:color w:val="auto"/>
                    </w:rPr>
                  </w:pPr>
                  <w:r>
                    <w:rPr>
                      <w:rFonts w:hint="eastAsia"/>
                      <w:color w:val="auto"/>
                    </w:rPr>
                    <w:t>79</w:t>
                  </w:r>
                </w:p>
              </w:tc>
              <w:tc>
                <w:tcPr>
                  <w:tcW w:w="280" w:type="pct"/>
                  <w:vMerge w:val="continue"/>
                  <w:tcBorders>
                    <w:tl2br w:val="nil"/>
                    <w:tr2bl w:val="nil"/>
                  </w:tcBorders>
                  <w:vAlign w:val="center"/>
                </w:tcPr>
                <w:p w14:paraId="151255DA">
                  <w:pPr>
                    <w:pStyle w:val="57"/>
                    <w:rPr>
                      <w:color w:val="auto"/>
                    </w:rPr>
                  </w:pPr>
                </w:p>
              </w:tc>
              <w:tc>
                <w:tcPr>
                  <w:tcW w:w="365" w:type="pct"/>
                  <w:tcBorders>
                    <w:tl2br w:val="nil"/>
                    <w:tr2bl w:val="nil"/>
                  </w:tcBorders>
                  <w:vAlign w:val="center"/>
                </w:tcPr>
                <w:p w14:paraId="7497A5E9">
                  <w:pPr>
                    <w:pStyle w:val="57"/>
                    <w:rPr>
                      <w:rFonts w:hint="eastAsia"/>
                      <w:color w:val="auto"/>
                    </w:rPr>
                  </w:pPr>
                  <w:r>
                    <w:rPr>
                      <w:rFonts w:hint="eastAsia"/>
                      <w:color w:val="auto"/>
                    </w:rPr>
                    <w:t>10</w:t>
                  </w:r>
                </w:p>
              </w:tc>
              <w:tc>
                <w:tcPr>
                  <w:tcW w:w="392" w:type="pct"/>
                  <w:tcBorders>
                    <w:tl2br w:val="nil"/>
                    <w:tr2bl w:val="nil"/>
                  </w:tcBorders>
                  <w:vAlign w:val="center"/>
                </w:tcPr>
                <w:p w14:paraId="7B8AC317">
                  <w:pPr>
                    <w:pStyle w:val="57"/>
                    <w:rPr>
                      <w:color w:val="auto"/>
                    </w:rPr>
                  </w:pPr>
                  <w:r>
                    <w:rPr>
                      <w:rFonts w:hint="eastAsia"/>
                      <w:color w:val="auto"/>
                    </w:rPr>
                    <w:t>69</w:t>
                  </w:r>
                </w:p>
              </w:tc>
              <w:tc>
                <w:tcPr>
                  <w:tcW w:w="352" w:type="pct"/>
                  <w:tcBorders>
                    <w:tl2br w:val="nil"/>
                    <w:tr2bl w:val="nil"/>
                  </w:tcBorders>
                  <w:vAlign w:val="center"/>
                </w:tcPr>
                <w:p w14:paraId="2310DD0C">
                  <w:pPr>
                    <w:pStyle w:val="57"/>
                    <w:rPr>
                      <w:color w:val="auto"/>
                    </w:rPr>
                  </w:pPr>
                  <w:r>
                    <w:rPr>
                      <w:color w:val="auto"/>
                    </w:rPr>
                    <w:t>1</w:t>
                  </w:r>
                </w:p>
              </w:tc>
            </w:tr>
            <w:tr w14:paraId="0E0C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0" w:type="pct"/>
                  <w:vMerge w:val="continue"/>
                  <w:tcBorders>
                    <w:tl2br w:val="nil"/>
                    <w:tr2bl w:val="nil"/>
                  </w:tcBorders>
                  <w:vAlign w:val="center"/>
                </w:tcPr>
                <w:p w14:paraId="2EB5A039">
                  <w:pPr>
                    <w:pStyle w:val="57"/>
                    <w:rPr>
                      <w:color w:val="auto"/>
                    </w:rPr>
                  </w:pPr>
                </w:p>
              </w:tc>
              <w:tc>
                <w:tcPr>
                  <w:tcW w:w="219" w:type="pct"/>
                  <w:vMerge w:val="continue"/>
                  <w:tcBorders>
                    <w:tl2br w:val="nil"/>
                    <w:tr2bl w:val="nil"/>
                  </w:tcBorders>
                  <w:vAlign w:val="center"/>
                </w:tcPr>
                <w:p w14:paraId="34945093">
                  <w:pPr>
                    <w:pStyle w:val="57"/>
                    <w:rPr>
                      <w:color w:val="auto"/>
                    </w:rPr>
                  </w:pPr>
                </w:p>
              </w:tc>
              <w:tc>
                <w:tcPr>
                  <w:tcW w:w="667" w:type="pct"/>
                  <w:tcBorders>
                    <w:tl2br w:val="nil"/>
                    <w:tr2bl w:val="nil"/>
                  </w:tcBorders>
                  <w:vAlign w:val="center"/>
                </w:tcPr>
                <w:p w14:paraId="137C5EAC">
                  <w:pPr>
                    <w:pStyle w:val="57"/>
                    <w:rPr>
                      <w:rFonts w:hint="eastAsia"/>
                      <w:color w:val="auto"/>
                    </w:rPr>
                  </w:pPr>
                  <w:r>
                    <w:rPr>
                      <w:rFonts w:hint="eastAsia"/>
                      <w:color w:val="auto"/>
                    </w:rPr>
                    <w:t>混色机2#</w:t>
                  </w:r>
                </w:p>
              </w:tc>
              <w:tc>
                <w:tcPr>
                  <w:tcW w:w="143" w:type="pct"/>
                  <w:tcBorders>
                    <w:tl2br w:val="nil"/>
                    <w:tr2bl w:val="nil"/>
                  </w:tcBorders>
                  <w:vAlign w:val="center"/>
                </w:tcPr>
                <w:p w14:paraId="5EAB9389">
                  <w:pPr>
                    <w:pStyle w:val="57"/>
                    <w:rPr>
                      <w:color w:val="auto"/>
                    </w:rPr>
                  </w:pPr>
                  <w:r>
                    <w:rPr>
                      <w:color w:val="auto"/>
                    </w:rPr>
                    <w:t>/</w:t>
                  </w:r>
                </w:p>
              </w:tc>
              <w:tc>
                <w:tcPr>
                  <w:tcW w:w="717" w:type="pct"/>
                  <w:tcBorders>
                    <w:tl2br w:val="nil"/>
                    <w:tr2bl w:val="nil"/>
                  </w:tcBorders>
                  <w:vAlign w:val="center"/>
                </w:tcPr>
                <w:p w14:paraId="3C3810B4">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28442AEE">
                  <w:pPr>
                    <w:pStyle w:val="57"/>
                    <w:rPr>
                      <w:color w:val="auto"/>
                    </w:rPr>
                  </w:pPr>
                </w:p>
              </w:tc>
              <w:tc>
                <w:tcPr>
                  <w:tcW w:w="228" w:type="pct"/>
                  <w:tcBorders>
                    <w:tl2br w:val="nil"/>
                    <w:tr2bl w:val="nil"/>
                  </w:tcBorders>
                  <w:vAlign w:val="center"/>
                </w:tcPr>
                <w:p w14:paraId="4C7EE4F7">
                  <w:pPr>
                    <w:pStyle w:val="57"/>
                    <w:rPr>
                      <w:color w:val="auto"/>
                    </w:rPr>
                  </w:pPr>
                  <w:r>
                    <w:rPr>
                      <w:rFonts w:hint="eastAsia"/>
                      <w:color w:val="auto"/>
                    </w:rPr>
                    <w:t>29</w:t>
                  </w:r>
                </w:p>
              </w:tc>
              <w:tc>
                <w:tcPr>
                  <w:tcW w:w="254" w:type="pct"/>
                  <w:tcBorders>
                    <w:tl2br w:val="nil"/>
                    <w:tr2bl w:val="nil"/>
                  </w:tcBorders>
                  <w:vAlign w:val="center"/>
                </w:tcPr>
                <w:p w14:paraId="2DB74297">
                  <w:pPr>
                    <w:pStyle w:val="57"/>
                    <w:rPr>
                      <w:color w:val="auto"/>
                    </w:rPr>
                  </w:pPr>
                  <w:r>
                    <w:rPr>
                      <w:rFonts w:hint="eastAsia"/>
                      <w:color w:val="auto"/>
                    </w:rPr>
                    <w:t>6</w:t>
                  </w:r>
                </w:p>
              </w:tc>
              <w:tc>
                <w:tcPr>
                  <w:tcW w:w="224" w:type="pct"/>
                  <w:tcBorders>
                    <w:tl2br w:val="nil"/>
                    <w:tr2bl w:val="nil"/>
                  </w:tcBorders>
                  <w:vAlign w:val="center"/>
                </w:tcPr>
                <w:p w14:paraId="17DF6CFD">
                  <w:pPr>
                    <w:pStyle w:val="57"/>
                    <w:rPr>
                      <w:rFonts w:hint="eastAsia"/>
                      <w:color w:val="auto"/>
                    </w:rPr>
                  </w:pPr>
                  <w:r>
                    <w:rPr>
                      <w:rFonts w:hint="eastAsia"/>
                      <w:color w:val="auto"/>
                    </w:rPr>
                    <w:t>1.5</w:t>
                  </w:r>
                </w:p>
              </w:tc>
              <w:tc>
                <w:tcPr>
                  <w:tcW w:w="288" w:type="pct"/>
                  <w:tcBorders>
                    <w:tl2br w:val="nil"/>
                    <w:tr2bl w:val="nil"/>
                  </w:tcBorders>
                  <w:vAlign w:val="center"/>
                </w:tcPr>
                <w:p w14:paraId="0983D048">
                  <w:pPr>
                    <w:pStyle w:val="57"/>
                    <w:rPr>
                      <w:rFonts w:hint="eastAsia"/>
                      <w:color w:val="auto"/>
                    </w:rPr>
                  </w:pPr>
                  <w:r>
                    <w:rPr>
                      <w:rFonts w:hint="eastAsia"/>
                      <w:color w:val="auto"/>
                    </w:rPr>
                    <w:t>6</w:t>
                  </w:r>
                </w:p>
              </w:tc>
              <w:tc>
                <w:tcPr>
                  <w:tcW w:w="378" w:type="pct"/>
                  <w:tcBorders>
                    <w:tl2br w:val="nil"/>
                    <w:tr2bl w:val="nil"/>
                  </w:tcBorders>
                  <w:vAlign w:val="center"/>
                </w:tcPr>
                <w:p w14:paraId="1C949D4F">
                  <w:pPr>
                    <w:pStyle w:val="57"/>
                    <w:rPr>
                      <w:rFonts w:hint="eastAsia"/>
                      <w:color w:val="auto"/>
                    </w:rPr>
                  </w:pPr>
                  <w:r>
                    <w:rPr>
                      <w:rFonts w:hint="eastAsia"/>
                      <w:color w:val="auto"/>
                    </w:rPr>
                    <w:t>79</w:t>
                  </w:r>
                </w:p>
              </w:tc>
              <w:tc>
                <w:tcPr>
                  <w:tcW w:w="280" w:type="pct"/>
                  <w:vMerge w:val="continue"/>
                  <w:tcBorders>
                    <w:tl2br w:val="nil"/>
                    <w:tr2bl w:val="nil"/>
                  </w:tcBorders>
                  <w:vAlign w:val="center"/>
                </w:tcPr>
                <w:p w14:paraId="413EF3DC">
                  <w:pPr>
                    <w:pStyle w:val="57"/>
                    <w:rPr>
                      <w:color w:val="auto"/>
                    </w:rPr>
                  </w:pPr>
                </w:p>
              </w:tc>
              <w:tc>
                <w:tcPr>
                  <w:tcW w:w="365" w:type="pct"/>
                  <w:tcBorders>
                    <w:tl2br w:val="nil"/>
                    <w:tr2bl w:val="nil"/>
                  </w:tcBorders>
                  <w:vAlign w:val="center"/>
                </w:tcPr>
                <w:p w14:paraId="63EA8707">
                  <w:pPr>
                    <w:pStyle w:val="57"/>
                    <w:rPr>
                      <w:rFonts w:hint="eastAsia"/>
                      <w:color w:val="auto"/>
                    </w:rPr>
                  </w:pPr>
                  <w:r>
                    <w:rPr>
                      <w:rFonts w:hint="eastAsia"/>
                      <w:color w:val="auto"/>
                    </w:rPr>
                    <w:t>10</w:t>
                  </w:r>
                </w:p>
              </w:tc>
              <w:tc>
                <w:tcPr>
                  <w:tcW w:w="392" w:type="pct"/>
                  <w:tcBorders>
                    <w:tl2br w:val="nil"/>
                    <w:tr2bl w:val="nil"/>
                  </w:tcBorders>
                  <w:vAlign w:val="center"/>
                </w:tcPr>
                <w:p w14:paraId="189F80D2">
                  <w:pPr>
                    <w:pStyle w:val="57"/>
                    <w:rPr>
                      <w:rFonts w:hint="eastAsia"/>
                      <w:color w:val="auto"/>
                    </w:rPr>
                  </w:pPr>
                  <w:r>
                    <w:rPr>
                      <w:rFonts w:hint="eastAsia"/>
                      <w:color w:val="auto"/>
                    </w:rPr>
                    <w:t>69</w:t>
                  </w:r>
                </w:p>
              </w:tc>
              <w:tc>
                <w:tcPr>
                  <w:tcW w:w="352" w:type="pct"/>
                  <w:tcBorders>
                    <w:tl2br w:val="nil"/>
                    <w:tr2bl w:val="nil"/>
                  </w:tcBorders>
                  <w:vAlign w:val="center"/>
                </w:tcPr>
                <w:p w14:paraId="44BCEC80">
                  <w:pPr>
                    <w:pStyle w:val="57"/>
                    <w:rPr>
                      <w:color w:val="auto"/>
                    </w:rPr>
                  </w:pPr>
                  <w:r>
                    <w:rPr>
                      <w:color w:val="auto"/>
                    </w:rPr>
                    <w:t>1</w:t>
                  </w:r>
                </w:p>
              </w:tc>
            </w:tr>
            <w:tr w14:paraId="0C0C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7BAD1450">
                  <w:pPr>
                    <w:pStyle w:val="57"/>
                    <w:rPr>
                      <w:color w:val="auto"/>
                    </w:rPr>
                  </w:pPr>
                </w:p>
              </w:tc>
              <w:tc>
                <w:tcPr>
                  <w:tcW w:w="219" w:type="pct"/>
                  <w:vMerge w:val="continue"/>
                  <w:tcBorders>
                    <w:tl2br w:val="nil"/>
                    <w:tr2bl w:val="nil"/>
                  </w:tcBorders>
                  <w:vAlign w:val="center"/>
                </w:tcPr>
                <w:p w14:paraId="0B14E690">
                  <w:pPr>
                    <w:pStyle w:val="57"/>
                    <w:rPr>
                      <w:color w:val="auto"/>
                    </w:rPr>
                  </w:pPr>
                </w:p>
              </w:tc>
              <w:tc>
                <w:tcPr>
                  <w:tcW w:w="667" w:type="pct"/>
                  <w:tcBorders>
                    <w:tl2br w:val="nil"/>
                    <w:tr2bl w:val="nil"/>
                  </w:tcBorders>
                  <w:vAlign w:val="center"/>
                </w:tcPr>
                <w:p w14:paraId="6BAC931E">
                  <w:pPr>
                    <w:pStyle w:val="57"/>
                    <w:rPr>
                      <w:rFonts w:hint="eastAsia"/>
                      <w:color w:val="auto"/>
                    </w:rPr>
                  </w:pPr>
                  <w:r>
                    <w:rPr>
                      <w:rFonts w:hint="eastAsia"/>
                      <w:color w:val="auto"/>
                    </w:rPr>
                    <w:t>混色机3#</w:t>
                  </w:r>
                </w:p>
              </w:tc>
              <w:tc>
                <w:tcPr>
                  <w:tcW w:w="143" w:type="pct"/>
                  <w:tcBorders>
                    <w:tl2br w:val="nil"/>
                    <w:tr2bl w:val="nil"/>
                  </w:tcBorders>
                  <w:vAlign w:val="center"/>
                </w:tcPr>
                <w:p w14:paraId="7CF6EEA8">
                  <w:pPr>
                    <w:pStyle w:val="57"/>
                    <w:rPr>
                      <w:color w:val="auto"/>
                    </w:rPr>
                  </w:pPr>
                  <w:r>
                    <w:rPr>
                      <w:color w:val="auto"/>
                    </w:rPr>
                    <w:t>/</w:t>
                  </w:r>
                </w:p>
              </w:tc>
              <w:tc>
                <w:tcPr>
                  <w:tcW w:w="717" w:type="pct"/>
                  <w:tcBorders>
                    <w:tl2br w:val="nil"/>
                    <w:tr2bl w:val="nil"/>
                  </w:tcBorders>
                  <w:vAlign w:val="center"/>
                </w:tcPr>
                <w:p w14:paraId="607CC483">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30750465">
                  <w:pPr>
                    <w:pStyle w:val="57"/>
                    <w:rPr>
                      <w:color w:val="auto"/>
                    </w:rPr>
                  </w:pPr>
                </w:p>
              </w:tc>
              <w:tc>
                <w:tcPr>
                  <w:tcW w:w="228" w:type="pct"/>
                  <w:tcBorders>
                    <w:tl2br w:val="nil"/>
                    <w:tr2bl w:val="nil"/>
                  </w:tcBorders>
                  <w:vAlign w:val="center"/>
                </w:tcPr>
                <w:p w14:paraId="5C7E0EA6">
                  <w:pPr>
                    <w:pStyle w:val="57"/>
                    <w:rPr>
                      <w:rFonts w:hint="eastAsia"/>
                      <w:color w:val="auto"/>
                    </w:rPr>
                  </w:pPr>
                  <w:r>
                    <w:rPr>
                      <w:rFonts w:hint="eastAsia"/>
                      <w:color w:val="auto"/>
                    </w:rPr>
                    <w:t>29</w:t>
                  </w:r>
                </w:p>
              </w:tc>
              <w:tc>
                <w:tcPr>
                  <w:tcW w:w="254" w:type="pct"/>
                  <w:tcBorders>
                    <w:tl2br w:val="nil"/>
                    <w:tr2bl w:val="nil"/>
                  </w:tcBorders>
                  <w:vAlign w:val="center"/>
                </w:tcPr>
                <w:p w14:paraId="5A7FCEC8">
                  <w:pPr>
                    <w:pStyle w:val="57"/>
                    <w:rPr>
                      <w:color w:val="auto"/>
                    </w:rPr>
                  </w:pPr>
                  <w:r>
                    <w:rPr>
                      <w:rFonts w:hint="eastAsia"/>
                      <w:color w:val="auto"/>
                    </w:rPr>
                    <w:t>9</w:t>
                  </w:r>
                </w:p>
              </w:tc>
              <w:tc>
                <w:tcPr>
                  <w:tcW w:w="224" w:type="pct"/>
                  <w:tcBorders>
                    <w:tl2br w:val="nil"/>
                    <w:tr2bl w:val="nil"/>
                  </w:tcBorders>
                  <w:vAlign w:val="center"/>
                </w:tcPr>
                <w:p w14:paraId="1A2C765B">
                  <w:pPr>
                    <w:pStyle w:val="57"/>
                    <w:rPr>
                      <w:rFonts w:hint="eastAsia"/>
                      <w:color w:val="auto"/>
                    </w:rPr>
                  </w:pPr>
                  <w:r>
                    <w:rPr>
                      <w:rFonts w:hint="eastAsia"/>
                      <w:color w:val="auto"/>
                    </w:rPr>
                    <w:t>1.5</w:t>
                  </w:r>
                </w:p>
              </w:tc>
              <w:tc>
                <w:tcPr>
                  <w:tcW w:w="288" w:type="pct"/>
                  <w:tcBorders>
                    <w:tl2br w:val="nil"/>
                    <w:tr2bl w:val="nil"/>
                  </w:tcBorders>
                  <w:vAlign w:val="center"/>
                </w:tcPr>
                <w:p w14:paraId="3FA3DB34">
                  <w:pPr>
                    <w:pStyle w:val="57"/>
                    <w:rPr>
                      <w:rFonts w:hint="eastAsia"/>
                      <w:color w:val="auto"/>
                    </w:rPr>
                  </w:pPr>
                  <w:r>
                    <w:rPr>
                      <w:rFonts w:hint="eastAsia"/>
                      <w:color w:val="auto"/>
                    </w:rPr>
                    <w:t>6</w:t>
                  </w:r>
                </w:p>
              </w:tc>
              <w:tc>
                <w:tcPr>
                  <w:tcW w:w="378" w:type="pct"/>
                  <w:tcBorders>
                    <w:tl2br w:val="nil"/>
                    <w:tr2bl w:val="nil"/>
                  </w:tcBorders>
                  <w:vAlign w:val="center"/>
                </w:tcPr>
                <w:p w14:paraId="3F436A96">
                  <w:pPr>
                    <w:pStyle w:val="57"/>
                    <w:rPr>
                      <w:rFonts w:hint="eastAsia"/>
                      <w:color w:val="auto"/>
                    </w:rPr>
                  </w:pPr>
                  <w:r>
                    <w:rPr>
                      <w:rFonts w:hint="eastAsia"/>
                      <w:color w:val="auto"/>
                    </w:rPr>
                    <w:t>79</w:t>
                  </w:r>
                </w:p>
              </w:tc>
              <w:tc>
                <w:tcPr>
                  <w:tcW w:w="280" w:type="pct"/>
                  <w:vMerge w:val="continue"/>
                  <w:tcBorders>
                    <w:tl2br w:val="nil"/>
                    <w:tr2bl w:val="nil"/>
                  </w:tcBorders>
                  <w:vAlign w:val="center"/>
                </w:tcPr>
                <w:p w14:paraId="252CC358">
                  <w:pPr>
                    <w:pStyle w:val="57"/>
                    <w:rPr>
                      <w:color w:val="auto"/>
                    </w:rPr>
                  </w:pPr>
                </w:p>
              </w:tc>
              <w:tc>
                <w:tcPr>
                  <w:tcW w:w="365" w:type="pct"/>
                  <w:tcBorders>
                    <w:tl2br w:val="nil"/>
                    <w:tr2bl w:val="nil"/>
                  </w:tcBorders>
                  <w:vAlign w:val="center"/>
                </w:tcPr>
                <w:p w14:paraId="085629FC">
                  <w:pPr>
                    <w:pStyle w:val="57"/>
                    <w:rPr>
                      <w:rFonts w:hint="eastAsia"/>
                      <w:color w:val="auto"/>
                    </w:rPr>
                  </w:pPr>
                  <w:r>
                    <w:rPr>
                      <w:rFonts w:hint="eastAsia"/>
                      <w:color w:val="auto"/>
                    </w:rPr>
                    <w:t>10</w:t>
                  </w:r>
                </w:p>
              </w:tc>
              <w:tc>
                <w:tcPr>
                  <w:tcW w:w="392" w:type="pct"/>
                  <w:tcBorders>
                    <w:tl2br w:val="nil"/>
                    <w:tr2bl w:val="nil"/>
                  </w:tcBorders>
                  <w:vAlign w:val="center"/>
                </w:tcPr>
                <w:p w14:paraId="7D4FA584">
                  <w:pPr>
                    <w:pStyle w:val="57"/>
                    <w:rPr>
                      <w:rFonts w:hint="eastAsia"/>
                      <w:color w:val="auto"/>
                    </w:rPr>
                  </w:pPr>
                  <w:r>
                    <w:rPr>
                      <w:rFonts w:hint="eastAsia"/>
                      <w:color w:val="auto"/>
                    </w:rPr>
                    <w:t>69</w:t>
                  </w:r>
                </w:p>
              </w:tc>
              <w:tc>
                <w:tcPr>
                  <w:tcW w:w="352" w:type="pct"/>
                  <w:tcBorders>
                    <w:tl2br w:val="nil"/>
                    <w:tr2bl w:val="nil"/>
                  </w:tcBorders>
                  <w:vAlign w:val="center"/>
                </w:tcPr>
                <w:p w14:paraId="32B027AA">
                  <w:pPr>
                    <w:pStyle w:val="57"/>
                    <w:rPr>
                      <w:color w:val="auto"/>
                    </w:rPr>
                  </w:pPr>
                  <w:r>
                    <w:rPr>
                      <w:color w:val="auto"/>
                    </w:rPr>
                    <w:t>1</w:t>
                  </w:r>
                </w:p>
              </w:tc>
            </w:tr>
            <w:tr w14:paraId="5487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4048FB22">
                  <w:pPr>
                    <w:pStyle w:val="57"/>
                    <w:rPr>
                      <w:color w:val="auto"/>
                    </w:rPr>
                  </w:pPr>
                </w:p>
              </w:tc>
              <w:tc>
                <w:tcPr>
                  <w:tcW w:w="219" w:type="pct"/>
                  <w:vMerge w:val="continue"/>
                  <w:tcBorders>
                    <w:tl2br w:val="nil"/>
                    <w:tr2bl w:val="nil"/>
                  </w:tcBorders>
                  <w:vAlign w:val="center"/>
                </w:tcPr>
                <w:p w14:paraId="291CED03">
                  <w:pPr>
                    <w:pStyle w:val="57"/>
                    <w:rPr>
                      <w:color w:val="auto"/>
                    </w:rPr>
                  </w:pPr>
                </w:p>
              </w:tc>
              <w:tc>
                <w:tcPr>
                  <w:tcW w:w="667" w:type="pct"/>
                  <w:tcBorders>
                    <w:tl2br w:val="nil"/>
                    <w:tr2bl w:val="nil"/>
                  </w:tcBorders>
                  <w:vAlign w:val="center"/>
                </w:tcPr>
                <w:p w14:paraId="6AD87D15">
                  <w:pPr>
                    <w:pStyle w:val="57"/>
                    <w:rPr>
                      <w:rFonts w:hint="eastAsia"/>
                      <w:color w:val="auto"/>
                    </w:rPr>
                  </w:pPr>
                  <w:r>
                    <w:rPr>
                      <w:rFonts w:hint="eastAsia"/>
                      <w:color w:val="auto"/>
                    </w:rPr>
                    <w:t>混色机4#</w:t>
                  </w:r>
                </w:p>
              </w:tc>
              <w:tc>
                <w:tcPr>
                  <w:tcW w:w="143" w:type="pct"/>
                  <w:tcBorders>
                    <w:tl2br w:val="nil"/>
                    <w:tr2bl w:val="nil"/>
                  </w:tcBorders>
                  <w:vAlign w:val="center"/>
                </w:tcPr>
                <w:p w14:paraId="19A3574D">
                  <w:pPr>
                    <w:pStyle w:val="57"/>
                    <w:rPr>
                      <w:color w:val="auto"/>
                    </w:rPr>
                  </w:pPr>
                  <w:r>
                    <w:rPr>
                      <w:color w:val="auto"/>
                    </w:rPr>
                    <w:t>/</w:t>
                  </w:r>
                </w:p>
              </w:tc>
              <w:tc>
                <w:tcPr>
                  <w:tcW w:w="717" w:type="pct"/>
                  <w:tcBorders>
                    <w:tl2br w:val="nil"/>
                    <w:tr2bl w:val="nil"/>
                  </w:tcBorders>
                  <w:vAlign w:val="center"/>
                </w:tcPr>
                <w:p w14:paraId="41163B0C">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26D08422">
                  <w:pPr>
                    <w:pStyle w:val="57"/>
                    <w:rPr>
                      <w:color w:val="auto"/>
                    </w:rPr>
                  </w:pPr>
                </w:p>
              </w:tc>
              <w:tc>
                <w:tcPr>
                  <w:tcW w:w="228" w:type="pct"/>
                  <w:tcBorders>
                    <w:tl2br w:val="nil"/>
                    <w:tr2bl w:val="nil"/>
                  </w:tcBorders>
                  <w:vAlign w:val="center"/>
                </w:tcPr>
                <w:p w14:paraId="38496F85">
                  <w:pPr>
                    <w:pStyle w:val="57"/>
                    <w:rPr>
                      <w:rFonts w:hint="eastAsia"/>
                      <w:color w:val="auto"/>
                    </w:rPr>
                  </w:pPr>
                  <w:r>
                    <w:rPr>
                      <w:rFonts w:hint="eastAsia"/>
                      <w:color w:val="auto"/>
                    </w:rPr>
                    <w:t>29</w:t>
                  </w:r>
                </w:p>
              </w:tc>
              <w:tc>
                <w:tcPr>
                  <w:tcW w:w="254" w:type="pct"/>
                  <w:tcBorders>
                    <w:tl2br w:val="nil"/>
                    <w:tr2bl w:val="nil"/>
                  </w:tcBorders>
                  <w:vAlign w:val="center"/>
                </w:tcPr>
                <w:p w14:paraId="39E6B394">
                  <w:pPr>
                    <w:pStyle w:val="57"/>
                    <w:rPr>
                      <w:color w:val="auto"/>
                    </w:rPr>
                  </w:pPr>
                  <w:r>
                    <w:rPr>
                      <w:rFonts w:hint="eastAsia"/>
                      <w:color w:val="auto"/>
                    </w:rPr>
                    <w:t>12</w:t>
                  </w:r>
                </w:p>
              </w:tc>
              <w:tc>
                <w:tcPr>
                  <w:tcW w:w="224" w:type="pct"/>
                  <w:tcBorders>
                    <w:tl2br w:val="nil"/>
                    <w:tr2bl w:val="nil"/>
                  </w:tcBorders>
                  <w:vAlign w:val="center"/>
                </w:tcPr>
                <w:p w14:paraId="618BD0E2">
                  <w:pPr>
                    <w:pStyle w:val="57"/>
                    <w:rPr>
                      <w:rFonts w:hint="eastAsia"/>
                      <w:color w:val="auto"/>
                    </w:rPr>
                  </w:pPr>
                  <w:r>
                    <w:rPr>
                      <w:rFonts w:hint="eastAsia"/>
                      <w:color w:val="auto"/>
                    </w:rPr>
                    <w:t>1.5</w:t>
                  </w:r>
                </w:p>
              </w:tc>
              <w:tc>
                <w:tcPr>
                  <w:tcW w:w="288" w:type="pct"/>
                  <w:tcBorders>
                    <w:tl2br w:val="nil"/>
                    <w:tr2bl w:val="nil"/>
                  </w:tcBorders>
                  <w:vAlign w:val="center"/>
                </w:tcPr>
                <w:p w14:paraId="0B5B351A">
                  <w:pPr>
                    <w:pStyle w:val="57"/>
                    <w:rPr>
                      <w:rFonts w:hint="eastAsia"/>
                      <w:color w:val="auto"/>
                    </w:rPr>
                  </w:pPr>
                  <w:r>
                    <w:rPr>
                      <w:rFonts w:hint="eastAsia"/>
                      <w:color w:val="auto"/>
                    </w:rPr>
                    <w:t>6</w:t>
                  </w:r>
                </w:p>
              </w:tc>
              <w:tc>
                <w:tcPr>
                  <w:tcW w:w="378" w:type="pct"/>
                  <w:tcBorders>
                    <w:tl2br w:val="nil"/>
                    <w:tr2bl w:val="nil"/>
                  </w:tcBorders>
                  <w:vAlign w:val="center"/>
                </w:tcPr>
                <w:p w14:paraId="60E03CE6">
                  <w:pPr>
                    <w:pStyle w:val="57"/>
                    <w:rPr>
                      <w:rFonts w:hint="eastAsia"/>
                      <w:color w:val="auto"/>
                    </w:rPr>
                  </w:pPr>
                  <w:r>
                    <w:rPr>
                      <w:rFonts w:hint="eastAsia"/>
                      <w:color w:val="auto"/>
                    </w:rPr>
                    <w:t>79</w:t>
                  </w:r>
                </w:p>
              </w:tc>
              <w:tc>
                <w:tcPr>
                  <w:tcW w:w="280" w:type="pct"/>
                  <w:vMerge w:val="continue"/>
                  <w:tcBorders>
                    <w:tl2br w:val="nil"/>
                    <w:tr2bl w:val="nil"/>
                  </w:tcBorders>
                  <w:vAlign w:val="center"/>
                </w:tcPr>
                <w:p w14:paraId="469832DB">
                  <w:pPr>
                    <w:pStyle w:val="57"/>
                    <w:rPr>
                      <w:color w:val="auto"/>
                    </w:rPr>
                  </w:pPr>
                </w:p>
              </w:tc>
              <w:tc>
                <w:tcPr>
                  <w:tcW w:w="365" w:type="pct"/>
                  <w:tcBorders>
                    <w:tl2br w:val="nil"/>
                    <w:tr2bl w:val="nil"/>
                  </w:tcBorders>
                  <w:vAlign w:val="center"/>
                </w:tcPr>
                <w:p w14:paraId="6709E2FA">
                  <w:pPr>
                    <w:pStyle w:val="57"/>
                    <w:rPr>
                      <w:rFonts w:hint="eastAsia"/>
                      <w:color w:val="auto"/>
                    </w:rPr>
                  </w:pPr>
                  <w:r>
                    <w:rPr>
                      <w:rFonts w:hint="eastAsia"/>
                      <w:color w:val="auto"/>
                    </w:rPr>
                    <w:t>10</w:t>
                  </w:r>
                </w:p>
              </w:tc>
              <w:tc>
                <w:tcPr>
                  <w:tcW w:w="392" w:type="pct"/>
                  <w:tcBorders>
                    <w:tl2br w:val="nil"/>
                    <w:tr2bl w:val="nil"/>
                  </w:tcBorders>
                  <w:vAlign w:val="center"/>
                </w:tcPr>
                <w:p w14:paraId="35363F21">
                  <w:pPr>
                    <w:pStyle w:val="57"/>
                    <w:rPr>
                      <w:rFonts w:hint="eastAsia"/>
                      <w:color w:val="auto"/>
                    </w:rPr>
                  </w:pPr>
                  <w:r>
                    <w:rPr>
                      <w:rFonts w:hint="eastAsia"/>
                      <w:color w:val="auto"/>
                    </w:rPr>
                    <w:t>69</w:t>
                  </w:r>
                </w:p>
              </w:tc>
              <w:tc>
                <w:tcPr>
                  <w:tcW w:w="352" w:type="pct"/>
                  <w:tcBorders>
                    <w:tl2br w:val="nil"/>
                    <w:tr2bl w:val="nil"/>
                  </w:tcBorders>
                  <w:vAlign w:val="center"/>
                </w:tcPr>
                <w:p w14:paraId="37F9C198">
                  <w:pPr>
                    <w:pStyle w:val="57"/>
                    <w:rPr>
                      <w:color w:val="auto"/>
                    </w:rPr>
                  </w:pPr>
                  <w:r>
                    <w:rPr>
                      <w:color w:val="auto"/>
                    </w:rPr>
                    <w:t>1</w:t>
                  </w:r>
                </w:p>
              </w:tc>
            </w:tr>
            <w:tr w14:paraId="15B1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445ED5F8">
                  <w:pPr>
                    <w:pStyle w:val="57"/>
                    <w:rPr>
                      <w:color w:val="auto"/>
                    </w:rPr>
                  </w:pPr>
                </w:p>
              </w:tc>
              <w:tc>
                <w:tcPr>
                  <w:tcW w:w="219" w:type="pct"/>
                  <w:vMerge w:val="continue"/>
                  <w:tcBorders>
                    <w:tl2br w:val="nil"/>
                    <w:tr2bl w:val="nil"/>
                  </w:tcBorders>
                  <w:vAlign w:val="center"/>
                </w:tcPr>
                <w:p w14:paraId="30E3743A">
                  <w:pPr>
                    <w:pStyle w:val="57"/>
                    <w:rPr>
                      <w:color w:val="auto"/>
                    </w:rPr>
                  </w:pPr>
                </w:p>
              </w:tc>
              <w:tc>
                <w:tcPr>
                  <w:tcW w:w="667" w:type="pct"/>
                  <w:tcBorders>
                    <w:tl2br w:val="nil"/>
                    <w:tr2bl w:val="nil"/>
                  </w:tcBorders>
                  <w:vAlign w:val="center"/>
                </w:tcPr>
                <w:p w14:paraId="22B4C3EE">
                  <w:pPr>
                    <w:pStyle w:val="57"/>
                    <w:rPr>
                      <w:rFonts w:hint="eastAsia"/>
                      <w:color w:val="auto"/>
                    </w:rPr>
                  </w:pPr>
                  <w:r>
                    <w:rPr>
                      <w:rFonts w:hint="eastAsia"/>
                      <w:color w:val="auto"/>
                    </w:rPr>
                    <w:t>混色机5#</w:t>
                  </w:r>
                </w:p>
              </w:tc>
              <w:tc>
                <w:tcPr>
                  <w:tcW w:w="143" w:type="pct"/>
                  <w:tcBorders>
                    <w:tl2br w:val="nil"/>
                    <w:tr2bl w:val="nil"/>
                  </w:tcBorders>
                  <w:vAlign w:val="center"/>
                </w:tcPr>
                <w:p w14:paraId="670DA076">
                  <w:pPr>
                    <w:pStyle w:val="57"/>
                    <w:rPr>
                      <w:color w:val="auto"/>
                    </w:rPr>
                  </w:pPr>
                  <w:r>
                    <w:rPr>
                      <w:color w:val="auto"/>
                    </w:rPr>
                    <w:t>/</w:t>
                  </w:r>
                </w:p>
              </w:tc>
              <w:tc>
                <w:tcPr>
                  <w:tcW w:w="717" w:type="pct"/>
                  <w:tcBorders>
                    <w:tl2br w:val="nil"/>
                    <w:tr2bl w:val="nil"/>
                  </w:tcBorders>
                  <w:vAlign w:val="center"/>
                </w:tcPr>
                <w:p w14:paraId="44CC8CB2">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234C7CC0">
                  <w:pPr>
                    <w:pStyle w:val="57"/>
                    <w:rPr>
                      <w:color w:val="auto"/>
                    </w:rPr>
                  </w:pPr>
                </w:p>
              </w:tc>
              <w:tc>
                <w:tcPr>
                  <w:tcW w:w="228" w:type="pct"/>
                  <w:tcBorders>
                    <w:tl2br w:val="nil"/>
                    <w:tr2bl w:val="nil"/>
                  </w:tcBorders>
                  <w:vAlign w:val="center"/>
                </w:tcPr>
                <w:p w14:paraId="18A400C2">
                  <w:pPr>
                    <w:pStyle w:val="57"/>
                    <w:rPr>
                      <w:color w:val="auto"/>
                    </w:rPr>
                  </w:pPr>
                  <w:r>
                    <w:rPr>
                      <w:rFonts w:hint="eastAsia"/>
                      <w:color w:val="auto"/>
                    </w:rPr>
                    <w:t>23</w:t>
                  </w:r>
                </w:p>
              </w:tc>
              <w:tc>
                <w:tcPr>
                  <w:tcW w:w="254" w:type="pct"/>
                  <w:tcBorders>
                    <w:tl2br w:val="nil"/>
                    <w:tr2bl w:val="nil"/>
                  </w:tcBorders>
                  <w:vAlign w:val="center"/>
                </w:tcPr>
                <w:p w14:paraId="0C69B89A">
                  <w:pPr>
                    <w:pStyle w:val="57"/>
                    <w:rPr>
                      <w:color w:val="auto"/>
                    </w:rPr>
                  </w:pPr>
                  <w:r>
                    <w:rPr>
                      <w:rFonts w:hint="eastAsia"/>
                      <w:color w:val="auto"/>
                    </w:rPr>
                    <w:t>3</w:t>
                  </w:r>
                </w:p>
              </w:tc>
              <w:tc>
                <w:tcPr>
                  <w:tcW w:w="224" w:type="pct"/>
                  <w:tcBorders>
                    <w:tl2br w:val="nil"/>
                    <w:tr2bl w:val="nil"/>
                  </w:tcBorders>
                  <w:vAlign w:val="center"/>
                </w:tcPr>
                <w:p w14:paraId="334BB5D0">
                  <w:pPr>
                    <w:pStyle w:val="57"/>
                    <w:rPr>
                      <w:rFonts w:hint="eastAsia"/>
                      <w:color w:val="auto"/>
                    </w:rPr>
                  </w:pPr>
                  <w:r>
                    <w:rPr>
                      <w:rFonts w:hint="eastAsia"/>
                      <w:color w:val="auto"/>
                    </w:rPr>
                    <w:t>1.5</w:t>
                  </w:r>
                </w:p>
              </w:tc>
              <w:tc>
                <w:tcPr>
                  <w:tcW w:w="288" w:type="pct"/>
                  <w:tcBorders>
                    <w:tl2br w:val="nil"/>
                    <w:tr2bl w:val="nil"/>
                  </w:tcBorders>
                  <w:vAlign w:val="center"/>
                </w:tcPr>
                <w:p w14:paraId="6CFFBD34">
                  <w:pPr>
                    <w:pStyle w:val="57"/>
                    <w:rPr>
                      <w:color w:val="auto"/>
                    </w:rPr>
                  </w:pPr>
                  <w:r>
                    <w:rPr>
                      <w:rFonts w:hint="eastAsia"/>
                      <w:color w:val="auto"/>
                    </w:rPr>
                    <w:t>12</w:t>
                  </w:r>
                </w:p>
              </w:tc>
              <w:tc>
                <w:tcPr>
                  <w:tcW w:w="378" w:type="pct"/>
                  <w:tcBorders>
                    <w:tl2br w:val="nil"/>
                    <w:tr2bl w:val="nil"/>
                  </w:tcBorders>
                  <w:vAlign w:val="center"/>
                </w:tcPr>
                <w:p w14:paraId="3E487E34">
                  <w:pPr>
                    <w:pStyle w:val="57"/>
                    <w:rPr>
                      <w:color w:val="auto"/>
                    </w:rPr>
                  </w:pPr>
                  <w:r>
                    <w:rPr>
                      <w:rFonts w:hint="eastAsia"/>
                      <w:color w:val="auto"/>
                    </w:rPr>
                    <w:t>75</w:t>
                  </w:r>
                </w:p>
              </w:tc>
              <w:tc>
                <w:tcPr>
                  <w:tcW w:w="280" w:type="pct"/>
                  <w:vMerge w:val="continue"/>
                  <w:tcBorders>
                    <w:tl2br w:val="nil"/>
                    <w:tr2bl w:val="nil"/>
                  </w:tcBorders>
                  <w:vAlign w:val="center"/>
                </w:tcPr>
                <w:p w14:paraId="1C0840A9">
                  <w:pPr>
                    <w:pStyle w:val="57"/>
                    <w:rPr>
                      <w:color w:val="auto"/>
                    </w:rPr>
                  </w:pPr>
                </w:p>
              </w:tc>
              <w:tc>
                <w:tcPr>
                  <w:tcW w:w="365" w:type="pct"/>
                  <w:tcBorders>
                    <w:tl2br w:val="nil"/>
                    <w:tr2bl w:val="nil"/>
                  </w:tcBorders>
                  <w:vAlign w:val="center"/>
                </w:tcPr>
                <w:p w14:paraId="6D961DE1">
                  <w:pPr>
                    <w:pStyle w:val="57"/>
                    <w:rPr>
                      <w:rFonts w:hint="eastAsia"/>
                      <w:color w:val="auto"/>
                    </w:rPr>
                  </w:pPr>
                  <w:r>
                    <w:rPr>
                      <w:rFonts w:hint="eastAsia"/>
                      <w:color w:val="auto"/>
                    </w:rPr>
                    <w:t>10</w:t>
                  </w:r>
                </w:p>
              </w:tc>
              <w:tc>
                <w:tcPr>
                  <w:tcW w:w="392" w:type="pct"/>
                  <w:tcBorders>
                    <w:tl2br w:val="nil"/>
                    <w:tr2bl w:val="nil"/>
                  </w:tcBorders>
                  <w:vAlign w:val="center"/>
                </w:tcPr>
                <w:p w14:paraId="3A292123">
                  <w:pPr>
                    <w:pStyle w:val="57"/>
                    <w:rPr>
                      <w:color w:val="auto"/>
                    </w:rPr>
                  </w:pPr>
                  <w:r>
                    <w:rPr>
                      <w:rFonts w:hint="eastAsia"/>
                      <w:color w:val="auto"/>
                    </w:rPr>
                    <w:t>65</w:t>
                  </w:r>
                </w:p>
              </w:tc>
              <w:tc>
                <w:tcPr>
                  <w:tcW w:w="352" w:type="pct"/>
                  <w:tcBorders>
                    <w:tl2br w:val="nil"/>
                    <w:tr2bl w:val="nil"/>
                  </w:tcBorders>
                  <w:vAlign w:val="center"/>
                </w:tcPr>
                <w:p w14:paraId="3C13C4AB">
                  <w:pPr>
                    <w:pStyle w:val="57"/>
                    <w:rPr>
                      <w:color w:val="auto"/>
                    </w:rPr>
                  </w:pPr>
                  <w:r>
                    <w:rPr>
                      <w:color w:val="auto"/>
                    </w:rPr>
                    <w:t>1</w:t>
                  </w:r>
                </w:p>
              </w:tc>
            </w:tr>
            <w:tr w14:paraId="0284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62983E93">
                  <w:pPr>
                    <w:pStyle w:val="57"/>
                    <w:rPr>
                      <w:color w:val="auto"/>
                    </w:rPr>
                  </w:pPr>
                </w:p>
              </w:tc>
              <w:tc>
                <w:tcPr>
                  <w:tcW w:w="219" w:type="pct"/>
                  <w:vMerge w:val="continue"/>
                  <w:tcBorders>
                    <w:tl2br w:val="nil"/>
                    <w:tr2bl w:val="nil"/>
                  </w:tcBorders>
                  <w:vAlign w:val="center"/>
                </w:tcPr>
                <w:p w14:paraId="453B131B">
                  <w:pPr>
                    <w:pStyle w:val="57"/>
                    <w:rPr>
                      <w:color w:val="auto"/>
                    </w:rPr>
                  </w:pPr>
                </w:p>
              </w:tc>
              <w:tc>
                <w:tcPr>
                  <w:tcW w:w="667" w:type="pct"/>
                  <w:tcBorders>
                    <w:tl2br w:val="nil"/>
                    <w:tr2bl w:val="nil"/>
                  </w:tcBorders>
                  <w:vAlign w:val="center"/>
                </w:tcPr>
                <w:p w14:paraId="0EAA6883">
                  <w:pPr>
                    <w:pStyle w:val="57"/>
                    <w:rPr>
                      <w:rFonts w:hint="eastAsia"/>
                      <w:color w:val="auto"/>
                    </w:rPr>
                  </w:pPr>
                  <w:r>
                    <w:rPr>
                      <w:rFonts w:hint="eastAsia"/>
                      <w:color w:val="auto"/>
                    </w:rPr>
                    <w:t>混色机6#</w:t>
                  </w:r>
                </w:p>
              </w:tc>
              <w:tc>
                <w:tcPr>
                  <w:tcW w:w="143" w:type="pct"/>
                  <w:tcBorders>
                    <w:tl2br w:val="nil"/>
                    <w:tr2bl w:val="nil"/>
                  </w:tcBorders>
                  <w:vAlign w:val="center"/>
                </w:tcPr>
                <w:p w14:paraId="4BB88A02">
                  <w:pPr>
                    <w:pStyle w:val="57"/>
                    <w:rPr>
                      <w:color w:val="auto"/>
                    </w:rPr>
                  </w:pPr>
                  <w:r>
                    <w:rPr>
                      <w:color w:val="auto"/>
                    </w:rPr>
                    <w:t>/</w:t>
                  </w:r>
                </w:p>
              </w:tc>
              <w:tc>
                <w:tcPr>
                  <w:tcW w:w="717" w:type="pct"/>
                  <w:tcBorders>
                    <w:tl2br w:val="nil"/>
                    <w:tr2bl w:val="nil"/>
                  </w:tcBorders>
                  <w:vAlign w:val="center"/>
                </w:tcPr>
                <w:p w14:paraId="359B98D2">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515FAC75">
                  <w:pPr>
                    <w:pStyle w:val="57"/>
                    <w:rPr>
                      <w:color w:val="auto"/>
                    </w:rPr>
                  </w:pPr>
                </w:p>
              </w:tc>
              <w:tc>
                <w:tcPr>
                  <w:tcW w:w="228" w:type="pct"/>
                  <w:tcBorders>
                    <w:tl2br w:val="nil"/>
                    <w:tr2bl w:val="nil"/>
                  </w:tcBorders>
                  <w:vAlign w:val="center"/>
                </w:tcPr>
                <w:p w14:paraId="5AB6DFE0">
                  <w:pPr>
                    <w:pStyle w:val="57"/>
                    <w:rPr>
                      <w:color w:val="auto"/>
                    </w:rPr>
                  </w:pPr>
                  <w:r>
                    <w:rPr>
                      <w:rFonts w:hint="eastAsia"/>
                      <w:color w:val="auto"/>
                    </w:rPr>
                    <w:t>23</w:t>
                  </w:r>
                </w:p>
              </w:tc>
              <w:tc>
                <w:tcPr>
                  <w:tcW w:w="254" w:type="pct"/>
                  <w:tcBorders>
                    <w:tl2br w:val="nil"/>
                    <w:tr2bl w:val="nil"/>
                  </w:tcBorders>
                  <w:vAlign w:val="center"/>
                </w:tcPr>
                <w:p w14:paraId="21F9BF59">
                  <w:pPr>
                    <w:pStyle w:val="57"/>
                    <w:rPr>
                      <w:rFonts w:hint="eastAsia"/>
                      <w:color w:val="auto"/>
                    </w:rPr>
                  </w:pPr>
                  <w:r>
                    <w:rPr>
                      <w:rFonts w:hint="eastAsia"/>
                      <w:color w:val="auto"/>
                    </w:rPr>
                    <w:t>6</w:t>
                  </w:r>
                </w:p>
              </w:tc>
              <w:tc>
                <w:tcPr>
                  <w:tcW w:w="224" w:type="pct"/>
                  <w:tcBorders>
                    <w:tl2br w:val="nil"/>
                    <w:tr2bl w:val="nil"/>
                  </w:tcBorders>
                  <w:vAlign w:val="center"/>
                </w:tcPr>
                <w:p w14:paraId="6AAF3BE3">
                  <w:pPr>
                    <w:pStyle w:val="57"/>
                    <w:rPr>
                      <w:rFonts w:hint="eastAsia"/>
                      <w:color w:val="auto"/>
                    </w:rPr>
                  </w:pPr>
                  <w:r>
                    <w:rPr>
                      <w:rFonts w:hint="eastAsia"/>
                      <w:color w:val="auto"/>
                    </w:rPr>
                    <w:t>1.5</w:t>
                  </w:r>
                </w:p>
              </w:tc>
              <w:tc>
                <w:tcPr>
                  <w:tcW w:w="288" w:type="pct"/>
                  <w:tcBorders>
                    <w:tl2br w:val="nil"/>
                    <w:tr2bl w:val="nil"/>
                  </w:tcBorders>
                  <w:vAlign w:val="center"/>
                </w:tcPr>
                <w:p w14:paraId="3D5B5CC4">
                  <w:pPr>
                    <w:pStyle w:val="57"/>
                    <w:rPr>
                      <w:color w:val="auto"/>
                    </w:rPr>
                  </w:pPr>
                  <w:r>
                    <w:rPr>
                      <w:rFonts w:hint="eastAsia"/>
                      <w:color w:val="auto"/>
                    </w:rPr>
                    <w:t>12</w:t>
                  </w:r>
                </w:p>
              </w:tc>
              <w:tc>
                <w:tcPr>
                  <w:tcW w:w="378" w:type="pct"/>
                  <w:tcBorders>
                    <w:tl2br w:val="nil"/>
                    <w:tr2bl w:val="nil"/>
                  </w:tcBorders>
                  <w:vAlign w:val="center"/>
                </w:tcPr>
                <w:p w14:paraId="523B31F8">
                  <w:pPr>
                    <w:pStyle w:val="57"/>
                    <w:rPr>
                      <w:color w:val="auto"/>
                    </w:rPr>
                  </w:pPr>
                  <w:r>
                    <w:rPr>
                      <w:rFonts w:hint="eastAsia"/>
                      <w:color w:val="auto"/>
                    </w:rPr>
                    <w:t>75</w:t>
                  </w:r>
                </w:p>
              </w:tc>
              <w:tc>
                <w:tcPr>
                  <w:tcW w:w="280" w:type="pct"/>
                  <w:vMerge w:val="continue"/>
                  <w:tcBorders>
                    <w:tl2br w:val="nil"/>
                    <w:tr2bl w:val="nil"/>
                  </w:tcBorders>
                  <w:vAlign w:val="center"/>
                </w:tcPr>
                <w:p w14:paraId="4844982C">
                  <w:pPr>
                    <w:pStyle w:val="57"/>
                    <w:rPr>
                      <w:color w:val="auto"/>
                    </w:rPr>
                  </w:pPr>
                </w:p>
              </w:tc>
              <w:tc>
                <w:tcPr>
                  <w:tcW w:w="365" w:type="pct"/>
                  <w:tcBorders>
                    <w:tl2br w:val="nil"/>
                    <w:tr2bl w:val="nil"/>
                  </w:tcBorders>
                  <w:vAlign w:val="center"/>
                </w:tcPr>
                <w:p w14:paraId="2DDF7913">
                  <w:pPr>
                    <w:pStyle w:val="57"/>
                    <w:rPr>
                      <w:rFonts w:hint="eastAsia"/>
                      <w:color w:val="auto"/>
                    </w:rPr>
                  </w:pPr>
                  <w:r>
                    <w:rPr>
                      <w:rFonts w:hint="eastAsia"/>
                      <w:color w:val="auto"/>
                    </w:rPr>
                    <w:t>10</w:t>
                  </w:r>
                </w:p>
              </w:tc>
              <w:tc>
                <w:tcPr>
                  <w:tcW w:w="392" w:type="pct"/>
                  <w:tcBorders>
                    <w:tl2br w:val="nil"/>
                    <w:tr2bl w:val="nil"/>
                  </w:tcBorders>
                  <w:vAlign w:val="center"/>
                </w:tcPr>
                <w:p w14:paraId="75BFFD7C">
                  <w:pPr>
                    <w:pStyle w:val="57"/>
                    <w:rPr>
                      <w:color w:val="auto"/>
                    </w:rPr>
                  </w:pPr>
                  <w:r>
                    <w:rPr>
                      <w:rFonts w:hint="eastAsia"/>
                      <w:color w:val="auto"/>
                    </w:rPr>
                    <w:t>65</w:t>
                  </w:r>
                </w:p>
              </w:tc>
              <w:tc>
                <w:tcPr>
                  <w:tcW w:w="352" w:type="pct"/>
                  <w:tcBorders>
                    <w:tl2br w:val="nil"/>
                    <w:tr2bl w:val="nil"/>
                  </w:tcBorders>
                  <w:vAlign w:val="center"/>
                </w:tcPr>
                <w:p w14:paraId="4EF04514">
                  <w:pPr>
                    <w:pStyle w:val="57"/>
                    <w:rPr>
                      <w:color w:val="auto"/>
                    </w:rPr>
                  </w:pPr>
                  <w:r>
                    <w:rPr>
                      <w:rFonts w:hint="eastAsia"/>
                      <w:color w:val="auto"/>
                    </w:rPr>
                    <w:t>1</w:t>
                  </w:r>
                </w:p>
              </w:tc>
            </w:tr>
            <w:tr w14:paraId="4E3D0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046DAC85">
                  <w:pPr>
                    <w:pStyle w:val="57"/>
                    <w:rPr>
                      <w:color w:val="auto"/>
                    </w:rPr>
                  </w:pPr>
                </w:p>
              </w:tc>
              <w:tc>
                <w:tcPr>
                  <w:tcW w:w="219" w:type="pct"/>
                  <w:vMerge w:val="continue"/>
                  <w:tcBorders>
                    <w:tl2br w:val="nil"/>
                    <w:tr2bl w:val="nil"/>
                  </w:tcBorders>
                  <w:vAlign w:val="center"/>
                </w:tcPr>
                <w:p w14:paraId="6CBCA0DE">
                  <w:pPr>
                    <w:pStyle w:val="57"/>
                    <w:rPr>
                      <w:color w:val="auto"/>
                    </w:rPr>
                  </w:pPr>
                </w:p>
              </w:tc>
              <w:tc>
                <w:tcPr>
                  <w:tcW w:w="667" w:type="pct"/>
                  <w:tcBorders>
                    <w:tl2br w:val="nil"/>
                    <w:tr2bl w:val="nil"/>
                  </w:tcBorders>
                  <w:vAlign w:val="center"/>
                </w:tcPr>
                <w:p w14:paraId="154E240E">
                  <w:pPr>
                    <w:pStyle w:val="57"/>
                    <w:rPr>
                      <w:rFonts w:hint="eastAsia"/>
                      <w:color w:val="auto"/>
                    </w:rPr>
                  </w:pPr>
                  <w:r>
                    <w:rPr>
                      <w:rFonts w:hint="eastAsia"/>
                      <w:color w:val="auto"/>
                    </w:rPr>
                    <w:t>混色机7#</w:t>
                  </w:r>
                </w:p>
              </w:tc>
              <w:tc>
                <w:tcPr>
                  <w:tcW w:w="143" w:type="pct"/>
                  <w:tcBorders>
                    <w:tl2br w:val="nil"/>
                    <w:tr2bl w:val="nil"/>
                  </w:tcBorders>
                  <w:vAlign w:val="center"/>
                </w:tcPr>
                <w:p w14:paraId="1E392B48">
                  <w:pPr>
                    <w:pStyle w:val="57"/>
                    <w:rPr>
                      <w:color w:val="auto"/>
                    </w:rPr>
                  </w:pPr>
                  <w:r>
                    <w:rPr>
                      <w:color w:val="auto"/>
                    </w:rPr>
                    <w:t>/</w:t>
                  </w:r>
                </w:p>
              </w:tc>
              <w:tc>
                <w:tcPr>
                  <w:tcW w:w="717" w:type="pct"/>
                  <w:tcBorders>
                    <w:tl2br w:val="nil"/>
                    <w:tr2bl w:val="nil"/>
                  </w:tcBorders>
                  <w:vAlign w:val="center"/>
                </w:tcPr>
                <w:p w14:paraId="365555AE">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621BE456">
                  <w:pPr>
                    <w:pStyle w:val="57"/>
                    <w:rPr>
                      <w:color w:val="auto"/>
                    </w:rPr>
                  </w:pPr>
                </w:p>
              </w:tc>
              <w:tc>
                <w:tcPr>
                  <w:tcW w:w="228" w:type="pct"/>
                  <w:tcBorders>
                    <w:tl2br w:val="nil"/>
                    <w:tr2bl w:val="nil"/>
                  </w:tcBorders>
                  <w:vAlign w:val="center"/>
                </w:tcPr>
                <w:p w14:paraId="6CE671CD">
                  <w:pPr>
                    <w:pStyle w:val="57"/>
                    <w:rPr>
                      <w:rFonts w:hint="eastAsia"/>
                      <w:color w:val="auto"/>
                    </w:rPr>
                  </w:pPr>
                  <w:r>
                    <w:rPr>
                      <w:rFonts w:hint="eastAsia"/>
                      <w:color w:val="auto"/>
                    </w:rPr>
                    <w:t>23</w:t>
                  </w:r>
                </w:p>
              </w:tc>
              <w:tc>
                <w:tcPr>
                  <w:tcW w:w="254" w:type="pct"/>
                  <w:tcBorders>
                    <w:tl2br w:val="nil"/>
                    <w:tr2bl w:val="nil"/>
                  </w:tcBorders>
                  <w:vAlign w:val="center"/>
                </w:tcPr>
                <w:p w14:paraId="3B3F854F">
                  <w:pPr>
                    <w:pStyle w:val="57"/>
                    <w:rPr>
                      <w:rFonts w:hint="eastAsia"/>
                      <w:color w:val="auto"/>
                    </w:rPr>
                  </w:pPr>
                  <w:r>
                    <w:rPr>
                      <w:rFonts w:hint="eastAsia"/>
                      <w:color w:val="auto"/>
                    </w:rPr>
                    <w:t>9</w:t>
                  </w:r>
                </w:p>
              </w:tc>
              <w:tc>
                <w:tcPr>
                  <w:tcW w:w="224" w:type="pct"/>
                  <w:tcBorders>
                    <w:tl2br w:val="nil"/>
                    <w:tr2bl w:val="nil"/>
                  </w:tcBorders>
                  <w:vAlign w:val="center"/>
                </w:tcPr>
                <w:p w14:paraId="2BC2C1BD">
                  <w:pPr>
                    <w:pStyle w:val="57"/>
                    <w:rPr>
                      <w:rFonts w:hint="eastAsia"/>
                      <w:color w:val="auto"/>
                    </w:rPr>
                  </w:pPr>
                  <w:r>
                    <w:rPr>
                      <w:rFonts w:hint="eastAsia"/>
                      <w:color w:val="auto"/>
                    </w:rPr>
                    <w:t>1.5</w:t>
                  </w:r>
                </w:p>
              </w:tc>
              <w:tc>
                <w:tcPr>
                  <w:tcW w:w="288" w:type="pct"/>
                  <w:tcBorders>
                    <w:tl2br w:val="nil"/>
                    <w:tr2bl w:val="nil"/>
                  </w:tcBorders>
                  <w:vAlign w:val="center"/>
                </w:tcPr>
                <w:p w14:paraId="03ADC4ED">
                  <w:pPr>
                    <w:pStyle w:val="57"/>
                    <w:rPr>
                      <w:rFonts w:hint="eastAsia"/>
                      <w:color w:val="auto"/>
                    </w:rPr>
                  </w:pPr>
                  <w:r>
                    <w:rPr>
                      <w:rFonts w:hint="eastAsia"/>
                      <w:color w:val="auto"/>
                    </w:rPr>
                    <w:t>12</w:t>
                  </w:r>
                </w:p>
              </w:tc>
              <w:tc>
                <w:tcPr>
                  <w:tcW w:w="378" w:type="pct"/>
                  <w:tcBorders>
                    <w:tl2br w:val="nil"/>
                    <w:tr2bl w:val="nil"/>
                  </w:tcBorders>
                  <w:vAlign w:val="center"/>
                </w:tcPr>
                <w:p w14:paraId="2E193D99">
                  <w:pPr>
                    <w:pStyle w:val="57"/>
                    <w:rPr>
                      <w:rFonts w:hint="eastAsia"/>
                      <w:color w:val="auto"/>
                    </w:rPr>
                  </w:pPr>
                  <w:r>
                    <w:rPr>
                      <w:rFonts w:hint="eastAsia"/>
                      <w:color w:val="auto"/>
                    </w:rPr>
                    <w:t>75</w:t>
                  </w:r>
                </w:p>
              </w:tc>
              <w:tc>
                <w:tcPr>
                  <w:tcW w:w="280" w:type="pct"/>
                  <w:vMerge w:val="continue"/>
                  <w:tcBorders>
                    <w:tl2br w:val="nil"/>
                    <w:tr2bl w:val="nil"/>
                  </w:tcBorders>
                  <w:vAlign w:val="center"/>
                </w:tcPr>
                <w:p w14:paraId="6B5501EF">
                  <w:pPr>
                    <w:pStyle w:val="57"/>
                    <w:rPr>
                      <w:color w:val="auto"/>
                    </w:rPr>
                  </w:pPr>
                </w:p>
              </w:tc>
              <w:tc>
                <w:tcPr>
                  <w:tcW w:w="365" w:type="pct"/>
                  <w:tcBorders>
                    <w:tl2br w:val="nil"/>
                    <w:tr2bl w:val="nil"/>
                  </w:tcBorders>
                  <w:vAlign w:val="center"/>
                </w:tcPr>
                <w:p w14:paraId="4313E416">
                  <w:pPr>
                    <w:pStyle w:val="57"/>
                    <w:rPr>
                      <w:rFonts w:hint="eastAsia"/>
                      <w:color w:val="auto"/>
                    </w:rPr>
                  </w:pPr>
                  <w:r>
                    <w:rPr>
                      <w:rFonts w:hint="eastAsia"/>
                      <w:color w:val="auto"/>
                    </w:rPr>
                    <w:t>10</w:t>
                  </w:r>
                </w:p>
              </w:tc>
              <w:tc>
                <w:tcPr>
                  <w:tcW w:w="392" w:type="pct"/>
                  <w:tcBorders>
                    <w:tl2br w:val="nil"/>
                    <w:tr2bl w:val="nil"/>
                  </w:tcBorders>
                  <w:vAlign w:val="center"/>
                </w:tcPr>
                <w:p w14:paraId="7ECA2B50">
                  <w:pPr>
                    <w:pStyle w:val="57"/>
                    <w:rPr>
                      <w:color w:val="auto"/>
                    </w:rPr>
                  </w:pPr>
                  <w:r>
                    <w:rPr>
                      <w:rFonts w:hint="eastAsia"/>
                      <w:color w:val="auto"/>
                    </w:rPr>
                    <w:t>65</w:t>
                  </w:r>
                </w:p>
              </w:tc>
              <w:tc>
                <w:tcPr>
                  <w:tcW w:w="352" w:type="pct"/>
                  <w:tcBorders>
                    <w:tl2br w:val="nil"/>
                    <w:tr2bl w:val="nil"/>
                  </w:tcBorders>
                  <w:vAlign w:val="center"/>
                </w:tcPr>
                <w:p w14:paraId="622E8A7E">
                  <w:pPr>
                    <w:pStyle w:val="57"/>
                    <w:rPr>
                      <w:color w:val="auto"/>
                    </w:rPr>
                  </w:pPr>
                  <w:r>
                    <w:rPr>
                      <w:rFonts w:hint="eastAsia"/>
                      <w:color w:val="auto"/>
                    </w:rPr>
                    <w:t>1</w:t>
                  </w:r>
                </w:p>
              </w:tc>
            </w:tr>
            <w:tr w14:paraId="5A3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5CDC0535">
                  <w:pPr>
                    <w:pStyle w:val="57"/>
                    <w:rPr>
                      <w:color w:val="auto"/>
                    </w:rPr>
                  </w:pPr>
                </w:p>
              </w:tc>
              <w:tc>
                <w:tcPr>
                  <w:tcW w:w="219" w:type="pct"/>
                  <w:vMerge w:val="continue"/>
                  <w:tcBorders>
                    <w:tl2br w:val="nil"/>
                    <w:tr2bl w:val="nil"/>
                  </w:tcBorders>
                  <w:vAlign w:val="center"/>
                </w:tcPr>
                <w:p w14:paraId="0F9E8CB7">
                  <w:pPr>
                    <w:pStyle w:val="57"/>
                    <w:rPr>
                      <w:color w:val="auto"/>
                    </w:rPr>
                  </w:pPr>
                </w:p>
              </w:tc>
              <w:tc>
                <w:tcPr>
                  <w:tcW w:w="667" w:type="pct"/>
                  <w:tcBorders>
                    <w:tl2br w:val="nil"/>
                    <w:tr2bl w:val="nil"/>
                  </w:tcBorders>
                  <w:vAlign w:val="center"/>
                </w:tcPr>
                <w:p w14:paraId="1B970016">
                  <w:pPr>
                    <w:pStyle w:val="57"/>
                    <w:rPr>
                      <w:rFonts w:hint="eastAsia"/>
                      <w:color w:val="auto"/>
                    </w:rPr>
                  </w:pPr>
                  <w:r>
                    <w:rPr>
                      <w:rFonts w:hint="eastAsia"/>
                      <w:color w:val="auto"/>
                    </w:rPr>
                    <w:t>混色机8#</w:t>
                  </w:r>
                </w:p>
              </w:tc>
              <w:tc>
                <w:tcPr>
                  <w:tcW w:w="143" w:type="pct"/>
                  <w:tcBorders>
                    <w:tl2br w:val="nil"/>
                    <w:tr2bl w:val="nil"/>
                  </w:tcBorders>
                  <w:vAlign w:val="center"/>
                </w:tcPr>
                <w:p w14:paraId="419F109A">
                  <w:pPr>
                    <w:pStyle w:val="57"/>
                    <w:rPr>
                      <w:color w:val="auto"/>
                    </w:rPr>
                  </w:pPr>
                  <w:r>
                    <w:rPr>
                      <w:color w:val="auto"/>
                    </w:rPr>
                    <w:t>/</w:t>
                  </w:r>
                </w:p>
              </w:tc>
              <w:tc>
                <w:tcPr>
                  <w:tcW w:w="717" w:type="pct"/>
                  <w:tcBorders>
                    <w:tl2br w:val="nil"/>
                    <w:tr2bl w:val="nil"/>
                  </w:tcBorders>
                  <w:vAlign w:val="center"/>
                </w:tcPr>
                <w:p w14:paraId="2F481AD9">
                  <w:pPr>
                    <w:pStyle w:val="57"/>
                    <w:rPr>
                      <w:rFonts w:hint="eastAsia"/>
                      <w:color w:val="auto"/>
                    </w:rPr>
                  </w:pPr>
                  <w:r>
                    <w:rPr>
                      <w:rFonts w:hint="eastAsia"/>
                      <w:color w:val="auto"/>
                    </w:rPr>
                    <w:t>8</w:t>
                  </w:r>
                  <w:r>
                    <w:rPr>
                      <w:color w:val="auto"/>
                    </w:rPr>
                    <w:t>5/1</w:t>
                  </w:r>
                </w:p>
              </w:tc>
              <w:tc>
                <w:tcPr>
                  <w:tcW w:w="346" w:type="pct"/>
                  <w:vMerge w:val="continue"/>
                  <w:tcBorders>
                    <w:tl2br w:val="nil"/>
                    <w:tr2bl w:val="nil"/>
                  </w:tcBorders>
                  <w:vAlign w:val="center"/>
                </w:tcPr>
                <w:p w14:paraId="11655E20">
                  <w:pPr>
                    <w:pStyle w:val="57"/>
                    <w:rPr>
                      <w:color w:val="auto"/>
                    </w:rPr>
                  </w:pPr>
                </w:p>
              </w:tc>
              <w:tc>
                <w:tcPr>
                  <w:tcW w:w="228" w:type="pct"/>
                  <w:tcBorders>
                    <w:tl2br w:val="nil"/>
                    <w:tr2bl w:val="nil"/>
                  </w:tcBorders>
                  <w:vAlign w:val="center"/>
                </w:tcPr>
                <w:p w14:paraId="3B2D4CD0">
                  <w:pPr>
                    <w:pStyle w:val="57"/>
                    <w:rPr>
                      <w:rFonts w:hint="eastAsia"/>
                      <w:color w:val="auto"/>
                    </w:rPr>
                  </w:pPr>
                  <w:r>
                    <w:rPr>
                      <w:rFonts w:hint="eastAsia"/>
                      <w:color w:val="auto"/>
                    </w:rPr>
                    <w:t>23</w:t>
                  </w:r>
                </w:p>
              </w:tc>
              <w:tc>
                <w:tcPr>
                  <w:tcW w:w="254" w:type="pct"/>
                  <w:tcBorders>
                    <w:tl2br w:val="nil"/>
                    <w:tr2bl w:val="nil"/>
                  </w:tcBorders>
                  <w:vAlign w:val="center"/>
                </w:tcPr>
                <w:p w14:paraId="522040BA">
                  <w:pPr>
                    <w:pStyle w:val="57"/>
                    <w:rPr>
                      <w:rFonts w:hint="eastAsia"/>
                      <w:color w:val="auto"/>
                    </w:rPr>
                  </w:pPr>
                  <w:r>
                    <w:rPr>
                      <w:rFonts w:hint="eastAsia"/>
                      <w:color w:val="auto"/>
                    </w:rPr>
                    <w:t>12</w:t>
                  </w:r>
                </w:p>
              </w:tc>
              <w:tc>
                <w:tcPr>
                  <w:tcW w:w="224" w:type="pct"/>
                  <w:tcBorders>
                    <w:tl2br w:val="nil"/>
                    <w:tr2bl w:val="nil"/>
                  </w:tcBorders>
                  <w:vAlign w:val="center"/>
                </w:tcPr>
                <w:p w14:paraId="323B48CE">
                  <w:pPr>
                    <w:pStyle w:val="57"/>
                    <w:rPr>
                      <w:rFonts w:hint="eastAsia"/>
                      <w:color w:val="auto"/>
                    </w:rPr>
                  </w:pPr>
                  <w:r>
                    <w:rPr>
                      <w:rFonts w:hint="eastAsia"/>
                      <w:color w:val="auto"/>
                    </w:rPr>
                    <w:t>1.5</w:t>
                  </w:r>
                </w:p>
              </w:tc>
              <w:tc>
                <w:tcPr>
                  <w:tcW w:w="288" w:type="pct"/>
                  <w:tcBorders>
                    <w:tl2br w:val="nil"/>
                    <w:tr2bl w:val="nil"/>
                  </w:tcBorders>
                  <w:vAlign w:val="center"/>
                </w:tcPr>
                <w:p w14:paraId="5AA7887E">
                  <w:pPr>
                    <w:pStyle w:val="57"/>
                    <w:rPr>
                      <w:rFonts w:hint="eastAsia"/>
                      <w:color w:val="auto"/>
                    </w:rPr>
                  </w:pPr>
                  <w:r>
                    <w:rPr>
                      <w:rFonts w:hint="eastAsia"/>
                      <w:color w:val="auto"/>
                    </w:rPr>
                    <w:t>12</w:t>
                  </w:r>
                </w:p>
              </w:tc>
              <w:tc>
                <w:tcPr>
                  <w:tcW w:w="378" w:type="pct"/>
                  <w:tcBorders>
                    <w:tl2br w:val="nil"/>
                    <w:tr2bl w:val="nil"/>
                  </w:tcBorders>
                  <w:vAlign w:val="center"/>
                </w:tcPr>
                <w:p w14:paraId="52E0B180">
                  <w:pPr>
                    <w:pStyle w:val="57"/>
                    <w:rPr>
                      <w:rFonts w:hint="eastAsia"/>
                      <w:color w:val="auto"/>
                    </w:rPr>
                  </w:pPr>
                  <w:r>
                    <w:rPr>
                      <w:rFonts w:hint="eastAsia"/>
                      <w:color w:val="auto"/>
                    </w:rPr>
                    <w:t>75</w:t>
                  </w:r>
                </w:p>
              </w:tc>
              <w:tc>
                <w:tcPr>
                  <w:tcW w:w="280" w:type="pct"/>
                  <w:vMerge w:val="continue"/>
                  <w:tcBorders>
                    <w:tl2br w:val="nil"/>
                    <w:tr2bl w:val="nil"/>
                  </w:tcBorders>
                  <w:vAlign w:val="center"/>
                </w:tcPr>
                <w:p w14:paraId="2056B9C3">
                  <w:pPr>
                    <w:pStyle w:val="57"/>
                    <w:rPr>
                      <w:color w:val="auto"/>
                    </w:rPr>
                  </w:pPr>
                </w:p>
              </w:tc>
              <w:tc>
                <w:tcPr>
                  <w:tcW w:w="365" w:type="pct"/>
                  <w:tcBorders>
                    <w:tl2br w:val="nil"/>
                    <w:tr2bl w:val="nil"/>
                  </w:tcBorders>
                  <w:vAlign w:val="center"/>
                </w:tcPr>
                <w:p w14:paraId="4FBF655E">
                  <w:pPr>
                    <w:pStyle w:val="57"/>
                    <w:rPr>
                      <w:rFonts w:hint="eastAsia"/>
                      <w:color w:val="auto"/>
                    </w:rPr>
                  </w:pPr>
                  <w:r>
                    <w:rPr>
                      <w:rFonts w:hint="eastAsia"/>
                      <w:color w:val="auto"/>
                    </w:rPr>
                    <w:t>10</w:t>
                  </w:r>
                </w:p>
              </w:tc>
              <w:tc>
                <w:tcPr>
                  <w:tcW w:w="392" w:type="pct"/>
                  <w:tcBorders>
                    <w:tl2br w:val="nil"/>
                    <w:tr2bl w:val="nil"/>
                  </w:tcBorders>
                  <w:vAlign w:val="center"/>
                </w:tcPr>
                <w:p w14:paraId="593D7109">
                  <w:pPr>
                    <w:pStyle w:val="57"/>
                    <w:rPr>
                      <w:color w:val="auto"/>
                    </w:rPr>
                  </w:pPr>
                  <w:r>
                    <w:rPr>
                      <w:rFonts w:hint="eastAsia"/>
                      <w:color w:val="auto"/>
                    </w:rPr>
                    <w:t>65</w:t>
                  </w:r>
                </w:p>
              </w:tc>
              <w:tc>
                <w:tcPr>
                  <w:tcW w:w="352" w:type="pct"/>
                  <w:tcBorders>
                    <w:tl2br w:val="nil"/>
                    <w:tr2bl w:val="nil"/>
                  </w:tcBorders>
                  <w:vAlign w:val="center"/>
                </w:tcPr>
                <w:p w14:paraId="6F05A328">
                  <w:pPr>
                    <w:pStyle w:val="57"/>
                    <w:rPr>
                      <w:color w:val="auto"/>
                    </w:rPr>
                  </w:pPr>
                  <w:r>
                    <w:rPr>
                      <w:rFonts w:hint="eastAsia"/>
                      <w:color w:val="auto"/>
                    </w:rPr>
                    <w:t>1</w:t>
                  </w:r>
                </w:p>
              </w:tc>
            </w:tr>
            <w:tr w14:paraId="2157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4222268B">
                  <w:pPr>
                    <w:pStyle w:val="57"/>
                    <w:rPr>
                      <w:color w:val="auto"/>
                    </w:rPr>
                  </w:pPr>
                </w:p>
              </w:tc>
              <w:tc>
                <w:tcPr>
                  <w:tcW w:w="219" w:type="pct"/>
                  <w:vMerge w:val="continue"/>
                  <w:tcBorders>
                    <w:tl2br w:val="nil"/>
                    <w:tr2bl w:val="nil"/>
                  </w:tcBorders>
                  <w:vAlign w:val="center"/>
                </w:tcPr>
                <w:p w14:paraId="32F7ADEF">
                  <w:pPr>
                    <w:pStyle w:val="57"/>
                    <w:rPr>
                      <w:color w:val="auto"/>
                    </w:rPr>
                  </w:pPr>
                </w:p>
              </w:tc>
              <w:tc>
                <w:tcPr>
                  <w:tcW w:w="667" w:type="pct"/>
                  <w:tcBorders>
                    <w:tl2br w:val="nil"/>
                    <w:tr2bl w:val="nil"/>
                  </w:tcBorders>
                  <w:vAlign w:val="center"/>
                </w:tcPr>
                <w:p w14:paraId="5888319B">
                  <w:pPr>
                    <w:pStyle w:val="57"/>
                    <w:rPr>
                      <w:rFonts w:hint="eastAsia"/>
                      <w:color w:val="auto"/>
                    </w:rPr>
                  </w:pPr>
                  <w:r>
                    <w:rPr>
                      <w:rFonts w:hint="eastAsia"/>
                      <w:color w:val="auto"/>
                    </w:rPr>
                    <w:t>丝网印刷机1#</w:t>
                  </w:r>
                </w:p>
              </w:tc>
              <w:tc>
                <w:tcPr>
                  <w:tcW w:w="143" w:type="pct"/>
                  <w:tcBorders>
                    <w:tl2br w:val="nil"/>
                    <w:tr2bl w:val="nil"/>
                  </w:tcBorders>
                  <w:vAlign w:val="center"/>
                </w:tcPr>
                <w:p w14:paraId="3ADA76AF">
                  <w:pPr>
                    <w:pStyle w:val="57"/>
                    <w:rPr>
                      <w:color w:val="auto"/>
                    </w:rPr>
                  </w:pPr>
                  <w:r>
                    <w:rPr>
                      <w:color w:val="auto"/>
                    </w:rPr>
                    <w:t>/</w:t>
                  </w:r>
                </w:p>
              </w:tc>
              <w:tc>
                <w:tcPr>
                  <w:tcW w:w="717" w:type="pct"/>
                  <w:tcBorders>
                    <w:tl2br w:val="nil"/>
                    <w:tr2bl w:val="nil"/>
                  </w:tcBorders>
                  <w:vAlign w:val="center"/>
                </w:tcPr>
                <w:p w14:paraId="33AC7142">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06CA1DDC">
                  <w:pPr>
                    <w:pStyle w:val="57"/>
                    <w:rPr>
                      <w:color w:val="auto"/>
                    </w:rPr>
                  </w:pPr>
                </w:p>
              </w:tc>
              <w:tc>
                <w:tcPr>
                  <w:tcW w:w="228" w:type="pct"/>
                  <w:tcBorders>
                    <w:tl2br w:val="nil"/>
                    <w:tr2bl w:val="nil"/>
                  </w:tcBorders>
                  <w:vAlign w:val="center"/>
                </w:tcPr>
                <w:p w14:paraId="2191A79B">
                  <w:pPr>
                    <w:pStyle w:val="57"/>
                    <w:rPr>
                      <w:color w:val="auto"/>
                    </w:rPr>
                  </w:pPr>
                  <w:r>
                    <w:rPr>
                      <w:rFonts w:hint="eastAsia"/>
                      <w:color w:val="auto"/>
                    </w:rPr>
                    <w:t>25</w:t>
                  </w:r>
                </w:p>
              </w:tc>
              <w:tc>
                <w:tcPr>
                  <w:tcW w:w="422" w:type="dxa"/>
                  <w:tcBorders>
                    <w:tl2br w:val="nil"/>
                    <w:tr2bl w:val="nil"/>
                  </w:tcBorders>
                  <w:vAlign w:val="center"/>
                </w:tcPr>
                <w:p w14:paraId="7BA237D9">
                  <w:pPr>
                    <w:pStyle w:val="57"/>
                    <w:rPr>
                      <w:rFonts w:hint="eastAsia"/>
                      <w:color w:val="auto"/>
                    </w:rPr>
                  </w:pPr>
                  <w:r>
                    <w:rPr>
                      <w:rFonts w:hint="eastAsia"/>
                      <w:color w:val="auto"/>
                    </w:rPr>
                    <w:t>15</w:t>
                  </w:r>
                </w:p>
              </w:tc>
              <w:tc>
                <w:tcPr>
                  <w:tcW w:w="224" w:type="pct"/>
                  <w:tcBorders>
                    <w:tl2br w:val="nil"/>
                    <w:tr2bl w:val="nil"/>
                  </w:tcBorders>
                  <w:vAlign w:val="center"/>
                </w:tcPr>
                <w:p w14:paraId="4856F5F3">
                  <w:pPr>
                    <w:pStyle w:val="57"/>
                    <w:rPr>
                      <w:rFonts w:hint="eastAsia"/>
                      <w:color w:val="auto"/>
                    </w:rPr>
                  </w:pPr>
                  <w:r>
                    <w:rPr>
                      <w:rFonts w:hint="eastAsia"/>
                      <w:color w:val="auto"/>
                    </w:rPr>
                    <w:t>1.5</w:t>
                  </w:r>
                </w:p>
              </w:tc>
              <w:tc>
                <w:tcPr>
                  <w:tcW w:w="479" w:type="dxa"/>
                  <w:tcBorders>
                    <w:tl2br w:val="nil"/>
                    <w:tr2bl w:val="nil"/>
                  </w:tcBorders>
                  <w:vAlign w:val="center"/>
                </w:tcPr>
                <w:p w14:paraId="521788C0">
                  <w:pPr>
                    <w:pStyle w:val="57"/>
                    <w:rPr>
                      <w:color w:val="auto"/>
                    </w:rPr>
                  </w:pPr>
                  <w:r>
                    <w:rPr>
                      <w:rFonts w:hint="eastAsia"/>
                      <w:color w:val="auto"/>
                    </w:rPr>
                    <w:t>5</w:t>
                  </w:r>
                </w:p>
              </w:tc>
              <w:tc>
                <w:tcPr>
                  <w:tcW w:w="628" w:type="dxa"/>
                  <w:tcBorders>
                    <w:tl2br w:val="nil"/>
                    <w:tr2bl w:val="nil"/>
                  </w:tcBorders>
                  <w:vAlign w:val="center"/>
                </w:tcPr>
                <w:p w14:paraId="1E55EE73">
                  <w:pPr>
                    <w:pStyle w:val="57"/>
                    <w:rPr>
                      <w:color w:val="auto"/>
                    </w:rPr>
                  </w:pPr>
                  <w:r>
                    <w:rPr>
                      <w:rFonts w:hint="eastAsia"/>
                      <w:color w:val="auto"/>
                    </w:rPr>
                    <w:t>65</w:t>
                  </w:r>
                </w:p>
              </w:tc>
              <w:tc>
                <w:tcPr>
                  <w:tcW w:w="280" w:type="pct"/>
                  <w:vMerge w:val="continue"/>
                  <w:tcBorders>
                    <w:tl2br w:val="nil"/>
                    <w:tr2bl w:val="nil"/>
                  </w:tcBorders>
                  <w:vAlign w:val="center"/>
                </w:tcPr>
                <w:p w14:paraId="1D67D59B">
                  <w:pPr>
                    <w:pStyle w:val="57"/>
                    <w:rPr>
                      <w:color w:val="auto"/>
                    </w:rPr>
                  </w:pPr>
                </w:p>
              </w:tc>
              <w:tc>
                <w:tcPr>
                  <w:tcW w:w="607" w:type="dxa"/>
                  <w:tcBorders>
                    <w:tl2br w:val="nil"/>
                    <w:tr2bl w:val="nil"/>
                  </w:tcBorders>
                  <w:vAlign w:val="center"/>
                </w:tcPr>
                <w:p w14:paraId="04E94A45">
                  <w:pPr>
                    <w:pStyle w:val="57"/>
                    <w:rPr>
                      <w:rFonts w:hint="eastAsia"/>
                      <w:color w:val="auto"/>
                    </w:rPr>
                  </w:pPr>
                  <w:r>
                    <w:rPr>
                      <w:rFonts w:hint="eastAsia"/>
                      <w:color w:val="auto"/>
                    </w:rPr>
                    <w:t>10</w:t>
                  </w:r>
                </w:p>
              </w:tc>
              <w:tc>
                <w:tcPr>
                  <w:tcW w:w="651" w:type="dxa"/>
                  <w:tcBorders>
                    <w:tl2br w:val="nil"/>
                    <w:tr2bl w:val="nil"/>
                  </w:tcBorders>
                  <w:vAlign w:val="center"/>
                </w:tcPr>
                <w:p w14:paraId="1EF4AB2D">
                  <w:pPr>
                    <w:pStyle w:val="57"/>
                    <w:rPr>
                      <w:color w:val="auto"/>
                    </w:rPr>
                  </w:pPr>
                  <w:r>
                    <w:rPr>
                      <w:rFonts w:hint="eastAsia"/>
                      <w:color w:val="auto"/>
                    </w:rPr>
                    <w:t>55</w:t>
                  </w:r>
                </w:p>
              </w:tc>
              <w:tc>
                <w:tcPr>
                  <w:tcW w:w="586" w:type="dxa"/>
                  <w:tcBorders>
                    <w:tl2br w:val="nil"/>
                    <w:tr2bl w:val="nil"/>
                  </w:tcBorders>
                  <w:vAlign w:val="center"/>
                </w:tcPr>
                <w:p w14:paraId="0229B43F">
                  <w:pPr>
                    <w:pStyle w:val="57"/>
                    <w:rPr>
                      <w:color w:val="auto"/>
                    </w:rPr>
                  </w:pPr>
                  <w:r>
                    <w:rPr>
                      <w:color w:val="auto"/>
                    </w:rPr>
                    <w:t>1</w:t>
                  </w:r>
                </w:p>
              </w:tc>
            </w:tr>
            <w:tr w14:paraId="1E280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64A1D399">
                  <w:pPr>
                    <w:pStyle w:val="57"/>
                    <w:rPr>
                      <w:color w:val="auto"/>
                    </w:rPr>
                  </w:pPr>
                </w:p>
              </w:tc>
              <w:tc>
                <w:tcPr>
                  <w:tcW w:w="219" w:type="pct"/>
                  <w:vMerge w:val="continue"/>
                  <w:tcBorders>
                    <w:tl2br w:val="nil"/>
                    <w:tr2bl w:val="nil"/>
                  </w:tcBorders>
                  <w:vAlign w:val="center"/>
                </w:tcPr>
                <w:p w14:paraId="3EBDBDB5">
                  <w:pPr>
                    <w:pStyle w:val="57"/>
                    <w:rPr>
                      <w:color w:val="auto"/>
                    </w:rPr>
                  </w:pPr>
                </w:p>
              </w:tc>
              <w:tc>
                <w:tcPr>
                  <w:tcW w:w="667" w:type="pct"/>
                  <w:tcBorders>
                    <w:tl2br w:val="nil"/>
                    <w:tr2bl w:val="nil"/>
                  </w:tcBorders>
                  <w:vAlign w:val="center"/>
                </w:tcPr>
                <w:p w14:paraId="05A95B2E">
                  <w:pPr>
                    <w:pStyle w:val="57"/>
                    <w:rPr>
                      <w:rFonts w:hint="eastAsia"/>
                      <w:color w:val="auto"/>
                    </w:rPr>
                  </w:pPr>
                  <w:r>
                    <w:rPr>
                      <w:rFonts w:hint="eastAsia"/>
                      <w:color w:val="auto"/>
                    </w:rPr>
                    <w:t>丝网印刷机2#</w:t>
                  </w:r>
                </w:p>
              </w:tc>
              <w:tc>
                <w:tcPr>
                  <w:tcW w:w="143" w:type="pct"/>
                  <w:tcBorders>
                    <w:tl2br w:val="nil"/>
                    <w:tr2bl w:val="nil"/>
                  </w:tcBorders>
                  <w:vAlign w:val="center"/>
                </w:tcPr>
                <w:p w14:paraId="51EAAE1B">
                  <w:pPr>
                    <w:pStyle w:val="57"/>
                    <w:rPr>
                      <w:color w:val="auto"/>
                    </w:rPr>
                  </w:pPr>
                  <w:r>
                    <w:rPr>
                      <w:color w:val="auto"/>
                    </w:rPr>
                    <w:t>/</w:t>
                  </w:r>
                </w:p>
              </w:tc>
              <w:tc>
                <w:tcPr>
                  <w:tcW w:w="717" w:type="pct"/>
                  <w:tcBorders>
                    <w:tl2br w:val="nil"/>
                    <w:tr2bl w:val="nil"/>
                  </w:tcBorders>
                  <w:vAlign w:val="center"/>
                </w:tcPr>
                <w:p w14:paraId="38C2F463">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12713DB4">
                  <w:pPr>
                    <w:pStyle w:val="57"/>
                    <w:rPr>
                      <w:color w:val="auto"/>
                    </w:rPr>
                  </w:pPr>
                </w:p>
              </w:tc>
              <w:tc>
                <w:tcPr>
                  <w:tcW w:w="228" w:type="pct"/>
                  <w:tcBorders>
                    <w:tl2br w:val="nil"/>
                    <w:tr2bl w:val="nil"/>
                  </w:tcBorders>
                  <w:vAlign w:val="center"/>
                </w:tcPr>
                <w:p w14:paraId="7B7073A3">
                  <w:pPr>
                    <w:pStyle w:val="57"/>
                    <w:rPr>
                      <w:color w:val="auto"/>
                    </w:rPr>
                  </w:pPr>
                  <w:r>
                    <w:rPr>
                      <w:rFonts w:hint="eastAsia"/>
                      <w:color w:val="auto"/>
                    </w:rPr>
                    <w:t>25</w:t>
                  </w:r>
                </w:p>
              </w:tc>
              <w:tc>
                <w:tcPr>
                  <w:tcW w:w="422" w:type="dxa"/>
                  <w:tcBorders>
                    <w:tl2br w:val="nil"/>
                    <w:tr2bl w:val="nil"/>
                  </w:tcBorders>
                  <w:vAlign w:val="center"/>
                </w:tcPr>
                <w:p w14:paraId="6DAA59D4">
                  <w:pPr>
                    <w:pStyle w:val="57"/>
                    <w:rPr>
                      <w:rFonts w:hint="eastAsia"/>
                      <w:color w:val="auto"/>
                    </w:rPr>
                  </w:pPr>
                  <w:r>
                    <w:rPr>
                      <w:rFonts w:hint="eastAsia"/>
                      <w:color w:val="auto"/>
                    </w:rPr>
                    <w:t>18</w:t>
                  </w:r>
                </w:p>
              </w:tc>
              <w:tc>
                <w:tcPr>
                  <w:tcW w:w="224" w:type="pct"/>
                  <w:tcBorders>
                    <w:tl2br w:val="nil"/>
                    <w:tr2bl w:val="nil"/>
                  </w:tcBorders>
                  <w:vAlign w:val="center"/>
                </w:tcPr>
                <w:p w14:paraId="67FD1AD9">
                  <w:pPr>
                    <w:pStyle w:val="57"/>
                    <w:rPr>
                      <w:rFonts w:hint="eastAsia"/>
                      <w:color w:val="auto"/>
                    </w:rPr>
                  </w:pPr>
                  <w:r>
                    <w:rPr>
                      <w:rFonts w:hint="eastAsia"/>
                      <w:color w:val="auto"/>
                    </w:rPr>
                    <w:t>1.5</w:t>
                  </w:r>
                </w:p>
              </w:tc>
              <w:tc>
                <w:tcPr>
                  <w:tcW w:w="479" w:type="dxa"/>
                  <w:tcBorders>
                    <w:tl2br w:val="nil"/>
                    <w:tr2bl w:val="nil"/>
                  </w:tcBorders>
                  <w:vAlign w:val="center"/>
                </w:tcPr>
                <w:p w14:paraId="756B4938">
                  <w:pPr>
                    <w:pStyle w:val="57"/>
                    <w:rPr>
                      <w:rFonts w:hint="eastAsia"/>
                      <w:color w:val="auto"/>
                    </w:rPr>
                  </w:pPr>
                  <w:r>
                    <w:rPr>
                      <w:rFonts w:hint="eastAsia"/>
                      <w:color w:val="auto"/>
                    </w:rPr>
                    <w:t>5</w:t>
                  </w:r>
                </w:p>
              </w:tc>
              <w:tc>
                <w:tcPr>
                  <w:tcW w:w="628" w:type="dxa"/>
                  <w:tcBorders>
                    <w:tl2br w:val="nil"/>
                    <w:tr2bl w:val="nil"/>
                  </w:tcBorders>
                  <w:vAlign w:val="center"/>
                </w:tcPr>
                <w:p w14:paraId="73D324E9">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37FB8FEE">
                  <w:pPr>
                    <w:pStyle w:val="57"/>
                    <w:rPr>
                      <w:color w:val="auto"/>
                    </w:rPr>
                  </w:pPr>
                </w:p>
              </w:tc>
              <w:tc>
                <w:tcPr>
                  <w:tcW w:w="607" w:type="dxa"/>
                  <w:tcBorders>
                    <w:tl2br w:val="nil"/>
                    <w:tr2bl w:val="nil"/>
                  </w:tcBorders>
                  <w:vAlign w:val="center"/>
                </w:tcPr>
                <w:p w14:paraId="7757604D">
                  <w:pPr>
                    <w:pStyle w:val="57"/>
                    <w:rPr>
                      <w:rFonts w:hint="eastAsia"/>
                      <w:color w:val="auto"/>
                    </w:rPr>
                  </w:pPr>
                  <w:r>
                    <w:rPr>
                      <w:rFonts w:hint="eastAsia"/>
                      <w:color w:val="auto"/>
                    </w:rPr>
                    <w:t>10</w:t>
                  </w:r>
                </w:p>
              </w:tc>
              <w:tc>
                <w:tcPr>
                  <w:tcW w:w="651" w:type="dxa"/>
                  <w:tcBorders>
                    <w:tl2br w:val="nil"/>
                    <w:tr2bl w:val="nil"/>
                  </w:tcBorders>
                  <w:vAlign w:val="center"/>
                </w:tcPr>
                <w:p w14:paraId="17FEA4FB">
                  <w:pPr>
                    <w:pStyle w:val="57"/>
                    <w:rPr>
                      <w:rFonts w:hint="eastAsia"/>
                      <w:color w:val="auto"/>
                    </w:rPr>
                  </w:pPr>
                  <w:r>
                    <w:rPr>
                      <w:rFonts w:hint="eastAsia"/>
                      <w:color w:val="auto"/>
                    </w:rPr>
                    <w:t>55</w:t>
                  </w:r>
                </w:p>
              </w:tc>
              <w:tc>
                <w:tcPr>
                  <w:tcW w:w="586" w:type="dxa"/>
                  <w:tcBorders>
                    <w:tl2br w:val="nil"/>
                    <w:tr2bl w:val="nil"/>
                  </w:tcBorders>
                  <w:vAlign w:val="center"/>
                </w:tcPr>
                <w:p w14:paraId="7039E1A6">
                  <w:pPr>
                    <w:pStyle w:val="57"/>
                    <w:rPr>
                      <w:color w:val="auto"/>
                    </w:rPr>
                  </w:pPr>
                  <w:r>
                    <w:rPr>
                      <w:color w:val="auto"/>
                    </w:rPr>
                    <w:t>1</w:t>
                  </w:r>
                </w:p>
              </w:tc>
            </w:tr>
            <w:tr w14:paraId="0CF9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18526E44">
                  <w:pPr>
                    <w:pStyle w:val="57"/>
                    <w:rPr>
                      <w:color w:val="auto"/>
                    </w:rPr>
                  </w:pPr>
                </w:p>
              </w:tc>
              <w:tc>
                <w:tcPr>
                  <w:tcW w:w="219" w:type="pct"/>
                  <w:vMerge w:val="continue"/>
                  <w:tcBorders>
                    <w:tl2br w:val="nil"/>
                    <w:tr2bl w:val="nil"/>
                  </w:tcBorders>
                  <w:vAlign w:val="center"/>
                </w:tcPr>
                <w:p w14:paraId="66CA96C1">
                  <w:pPr>
                    <w:pStyle w:val="57"/>
                    <w:rPr>
                      <w:color w:val="auto"/>
                    </w:rPr>
                  </w:pPr>
                </w:p>
              </w:tc>
              <w:tc>
                <w:tcPr>
                  <w:tcW w:w="667" w:type="pct"/>
                  <w:tcBorders>
                    <w:tl2br w:val="nil"/>
                    <w:tr2bl w:val="nil"/>
                  </w:tcBorders>
                  <w:vAlign w:val="center"/>
                </w:tcPr>
                <w:p w14:paraId="571B3621">
                  <w:pPr>
                    <w:pStyle w:val="57"/>
                    <w:rPr>
                      <w:rFonts w:hint="eastAsia"/>
                      <w:color w:val="auto"/>
                    </w:rPr>
                  </w:pPr>
                  <w:r>
                    <w:rPr>
                      <w:rFonts w:hint="eastAsia"/>
                      <w:color w:val="auto"/>
                    </w:rPr>
                    <w:t>丝网印刷机3#</w:t>
                  </w:r>
                </w:p>
              </w:tc>
              <w:tc>
                <w:tcPr>
                  <w:tcW w:w="143" w:type="pct"/>
                  <w:tcBorders>
                    <w:tl2br w:val="nil"/>
                    <w:tr2bl w:val="nil"/>
                  </w:tcBorders>
                  <w:vAlign w:val="center"/>
                </w:tcPr>
                <w:p w14:paraId="019A5FA3">
                  <w:pPr>
                    <w:pStyle w:val="57"/>
                    <w:rPr>
                      <w:color w:val="auto"/>
                    </w:rPr>
                  </w:pPr>
                  <w:r>
                    <w:rPr>
                      <w:color w:val="auto"/>
                    </w:rPr>
                    <w:t>/</w:t>
                  </w:r>
                </w:p>
              </w:tc>
              <w:tc>
                <w:tcPr>
                  <w:tcW w:w="717" w:type="pct"/>
                  <w:tcBorders>
                    <w:tl2br w:val="nil"/>
                    <w:tr2bl w:val="nil"/>
                  </w:tcBorders>
                  <w:vAlign w:val="center"/>
                </w:tcPr>
                <w:p w14:paraId="276A64B1">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176DEE70">
                  <w:pPr>
                    <w:pStyle w:val="57"/>
                    <w:rPr>
                      <w:color w:val="auto"/>
                    </w:rPr>
                  </w:pPr>
                </w:p>
              </w:tc>
              <w:tc>
                <w:tcPr>
                  <w:tcW w:w="228" w:type="pct"/>
                  <w:tcBorders>
                    <w:tl2br w:val="nil"/>
                    <w:tr2bl w:val="nil"/>
                  </w:tcBorders>
                  <w:vAlign w:val="center"/>
                </w:tcPr>
                <w:p w14:paraId="15841F0E">
                  <w:pPr>
                    <w:pStyle w:val="57"/>
                    <w:rPr>
                      <w:color w:val="auto"/>
                    </w:rPr>
                  </w:pPr>
                  <w:r>
                    <w:rPr>
                      <w:rFonts w:hint="eastAsia"/>
                      <w:color w:val="auto"/>
                    </w:rPr>
                    <w:t>25</w:t>
                  </w:r>
                </w:p>
              </w:tc>
              <w:tc>
                <w:tcPr>
                  <w:tcW w:w="422" w:type="dxa"/>
                  <w:tcBorders>
                    <w:tl2br w:val="nil"/>
                    <w:tr2bl w:val="nil"/>
                  </w:tcBorders>
                  <w:vAlign w:val="center"/>
                </w:tcPr>
                <w:p w14:paraId="65D842D0">
                  <w:pPr>
                    <w:pStyle w:val="57"/>
                    <w:rPr>
                      <w:rFonts w:hint="eastAsia"/>
                      <w:color w:val="auto"/>
                    </w:rPr>
                  </w:pPr>
                  <w:r>
                    <w:rPr>
                      <w:rFonts w:hint="eastAsia"/>
                      <w:color w:val="auto"/>
                    </w:rPr>
                    <w:t>21</w:t>
                  </w:r>
                </w:p>
              </w:tc>
              <w:tc>
                <w:tcPr>
                  <w:tcW w:w="224" w:type="pct"/>
                  <w:tcBorders>
                    <w:tl2br w:val="nil"/>
                    <w:tr2bl w:val="nil"/>
                  </w:tcBorders>
                  <w:vAlign w:val="center"/>
                </w:tcPr>
                <w:p w14:paraId="2D21268E">
                  <w:pPr>
                    <w:pStyle w:val="57"/>
                    <w:rPr>
                      <w:rFonts w:hint="eastAsia"/>
                      <w:color w:val="auto"/>
                    </w:rPr>
                  </w:pPr>
                  <w:r>
                    <w:rPr>
                      <w:rFonts w:hint="eastAsia"/>
                      <w:color w:val="auto"/>
                    </w:rPr>
                    <w:t>1.5</w:t>
                  </w:r>
                </w:p>
              </w:tc>
              <w:tc>
                <w:tcPr>
                  <w:tcW w:w="479" w:type="dxa"/>
                  <w:tcBorders>
                    <w:tl2br w:val="nil"/>
                    <w:tr2bl w:val="nil"/>
                  </w:tcBorders>
                  <w:vAlign w:val="center"/>
                </w:tcPr>
                <w:p w14:paraId="1B4315FD">
                  <w:pPr>
                    <w:pStyle w:val="57"/>
                    <w:rPr>
                      <w:rFonts w:hint="eastAsia"/>
                      <w:color w:val="auto"/>
                    </w:rPr>
                  </w:pPr>
                  <w:r>
                    <w:rPr>
                      <w:rFonts w:hint="eastAsia"/>
                      <w:color w:val="auto"/>
                    </w:rPr>
                    <w:t>5</w:t>
                  </w:r>
                </w:p>
              </w:tc>
              <w:tc>
                <w:tcPr>
                  <w:tcW w:w="628" w:type="dxa"/>
                  <w:tcBorders>
                    <w:tl2br w:val="nil"/>
                    <w:tr2bl w:val="nil"/>
                  </w:tcBorders>
                  <w:vAlign w:val="center"/>
                </w:tcPr>
                <w:p w14:paraId="24169B10">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3DBC47DE">
                  <w:pPr>
                    <w:pStyle w:val="57"/>
                    <w:rPr>
                      <w:color w:val="auto"/>
                    </w:rPr>
                  </w:pPr>
                </w:p>
              </w:tc>
              <w:tc>
                <w:tcPr>
                  <w:tcW w:w="607" w:type="dxa"/>
                  <w:tcBorders>
                    <w:tl2br w:val="nil"/>
                    <w:tr2bl w:val="nil"/>
                  </w:tcBorders>
                  <w:vAlign w:val="center"/>
                </w:tcPr>
                <w:p w14:paraId="36C0892B">
                  <w:pPr>
                    <w:pStyle w:val="57"/>
                    <w:rPr>
                      <w:rFonts w:hint="eastAsia"/>
                      <w:color w:val="auto"/>
                    </w:rPr>
                  </w:pPr>
                  <w:r>
                    <w:rPr>
                      <w:rFonts w:hint="eastAsia"/>
                      <w:color w:val="auto"/>
                    </w:rPr>
                    <w:t>10</w:t>
                  </w:r>
                </w:p>
              </w:tc>
              <w:tc>
                <w:tcPr>
                  <w:tcW w:w="651" w:type="dxa"/>
                  <w:tcBorders>
                    <w:tl2br w:val="nil"/>
                    <w:tr2bl w:val="nil"/>
                  </w:tcBorders>
                  <w:vAlign w:val="center"/>
                </w:tcPr>
                <w:p w14:paraId="68C435DF">
                  <w:pPr>
                    <w:pStyle w:val="57"/>
                    <w:rPr>
                      <w:rFonts w:hint="eastAsia"/>
                      <w:color w:val="auto"/>
                    </w:rPr>
                  </w:pPr>
                  <w:r>
                    <w:rPr>
                      <w:rFonts w:hint="eastAsia"/>
                      <w:color w:val="auto"/>
                    </w:rPr>
                    <w:t>55</w:t>
                  </w:r>
                </w:p>
              </w:tc>
              <w:tc>
                <w:tcPr>
                  <w:tcW w:w="586" w:type="dxa"/>
                  <w:tcBorders>
                    <w:tl2br w:val="nil"/>
                    <w:tr2bl w:val="nil"/>
                  </w:tcBorders>
                  <w:vAlign w:val="center"/>
                </w:tcPr>
                <w:p w14:paraId="4477FA92">
                  <w:pPr>
                    <w:pStyle w:val="57"/>
                    <w:rPr>
                      <w:color w:val="auto"/>
                    </w:rPr>
                  </w:pPr>
                  <w:r>
                    <w:rPr>
                      <w:color w:val="auto"/>
                    </w:rPr>
                    <w:t>1</w:t>
                  </w:r>
                </w:p>
              </w:tc>
            </w:tr>
            <w:tr w14:paraId="7CA3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383924F9">
                  <w:pPr>
                    <w:pStyle w:val="57"/>
                    <w:rPr>
                      <w:color w:val="auto"/>
                    </w:rPr>
                  </w:pPr>
                </w:p>
              </w:tc>
              <w:tc>
                <w:tcPr>
                  <w:tcW w:w="219" w:type="pct"/>
                  <w:vMerge w:val="continue"/>
                  <w:tcBorders>
                    <w:tl2br w:val="nil"/>
                    <w:tr2bl w:val="nil"/>
                  </w:tcBorders>
                  <w:vAlign w:val="center"/>
                </w:tcPr>
                <w:p w14:paraId="5C9FF4CA">
                  <w:pPr>
                    <w:pStyle w:val="57"/>
                    <w:rPr>
                      <w:color w:val="auto"/>
                    </w:rPr>
                  </w:pPr>
                </w:p>
              </w:tc>
              <w:tc>
                <w:tcPr>
                  <w:tcW w:w="667" w:type="pct"/>
                  <w:tcBorders>
                    <w:tl2br w:val="nil"/>
                    <w:tr2bl w:val="nil"/>
                  </w:tcBorders>
                  <w:vAlign w:val="center"/>
                </w:tcPr>
                <w:p w14:paraId="5DEE35FD">
                  <w:pPr>
                    <w:pStyle w:val="57"/>
                    <w:rPr>
                      <w:rFonts w:hint="eastAsia"/>
                      <w:color w:val="auto"/>
                    </w:rPr>
                  </w:pPr>
                  <w:r>
                    <w:rPr>
                      <w:rFonts w:hint="eastAsia"/>
                      <w:color w:val="auto"/>
                    </w:rPr>
                    <w:t>丝网印刷机4#</w:t>
                  </w:r>
                </w:p>
              </w:tc>
              <w:tc>
                <w:tcPr>
                  <w:tcW w:w="143" w:type="pct"/>
                  <w:tcBorders>
                    <w:tl2br w:val="nil"/>
                    <w:tr2bl w:val="nil"/>
                  </w:tcBorders>
                  <w:vAlign w:val="center"/>
                </w:tcPr>
                <w:p w14:paraId="7144C183">
                  <w:pPr>
                    <w:pStyle w:val="57"/>
                    <w:rPr>
                      <w:color w:val="auto"/>
                    </w:rPr>
                  </w:pPr>
                  <w:r>
                    <w:rPr>
                      <w:color w:val="auto"/>
                    </w:rPr>
                    <w:t>/</w:t>
                  </w:r>
                </w:p>
              </w:tc>
              <w:tc>
                <w:tcPr>
                  <w:tcW w:w="717" w:type="pct"/>
                  <w:tcBorders>
                    <w:tl2br w:val="nil"/>
                    <w:tr2bl w:val="nil"/>
                  </w:tcBorders>
                  <w:vAlign w:val="center"/>
                </w:tcPr>
                <w:p w14:paraId="7810AB1B">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0EF047E3">
                  <w:pPr>
                    <w:pStyle w:val="57"/>
                    <w:rPr>
                      <w:color w:val="auto"/>
                    </w:rPr>
                  </w:pPr>
                </w:p>
              </w:tc>
              <w:tc>
                <w:tcPr>
                  <w:tcW w:w="228" w:type="pct"/>
                  <w:tcBorders>
                    <w:tl2br w:val="nil"/>
                    <w:tr2bl w:val="nil"/>
                  </w:tcBorders>
                  <w:vAlign w:val="center"/>
                </w:tcPr>
                <w:p w14:paraId="5B6FA014">
                  <w:pPr>
                    <w:pStyle w:val="57"/>
                    <w:rPr>
                      <w:color w:val="auto"/>
                    </w:rPr>
                  </w:pPr>
                  <w:r>
                    <w:rPr>
                      <w:rFonts w:hint="eastAsia"/>
                      <w:color w:val="auto"/>
                    </w:rPr>
                    <w:t>25</w:t>
                  </w:r>
                </w:p>
              </w:tc>
              <w:tc>
                <w:tcPr>
                  <w:tcW w:w="422" w:type="dxa"/>
                  <w:tcBorders>
                    <w:tl2br w:val="nil"/>
                    <w:tr2bl w:val="nil"/>
                  </w:tcBorders>
                  <w:vAlign w:val="center"/>
                </w:tcPr>
                <w:p w14:paraId="7D092D9F">
                  <w:pPr>
                    <w:pStyle w:val="57"/>
                    <w:rPr>
                      <w:rFonts w:hint="eastAsia"/>
                      <w:color w:val="auto"/>
                    </w:rPr>
                  </w:pPr>
                  <w:r>
                    <w:rPr>
                      <w:rFonts w:hint="eastAsia"/>
                      <w:color w:val="auto"/>
                    </w:rPr>
                    <w:t>24</w:t>
                  </w:r>
                </w:p>
              </w:tc>
              <w:tc>
                <w:tcPr>
                  <w:tcW w:w="224" w:type="pct"/>
                  <w:tcBorders>
                    <w:tl2br w:val="nil"/>
                    <w:tr2bl w:val="nil"/>
                  </w:tcBorders>
                  <w:vAlign w:val="center"/>
                </w:tcPr>
                <w:p w14:paraId="0C2DE9E1">
                  <w:pPr>
                    <w:pStyle w:val="57"/>
                    <w:rPr>
                      <w:rFonts w:hint="eastAsia"/>
                      <w:color w:val="auto"/>
                    </w:rPr>
                  </w:pPr>
                  <w:r>
                    <w:rPr>
                      <w:rFonts w:hint="eastAsia"/>
                      <w:color w:val="auto"/>
                    </w:rPr>
                    <w:t>1.5</w:t>
                  </w:r>
                </w:p>
              </w:tc>
              <w:tc>
                <w:tcPr>
                  <w:tcW w:w="479" w:type="dxa"/>
                  <w:tcBorders>
                    <w:tl2br w:val="nil"/>
                    <w:tr2bl w:val="nil"/>
                  </w:tcBorders>
                  <w:vAlign w:val="center"/>
                </w:tcPr>
                <w:p w14:paraId="27084953">
                  <w:pPr>
                    <w:pStyle w:val="57"/>
                    <w:rPr>
                      <w:rFonts w:hint="eastAsia"/>
                      <w:color w:val="auto"/>
                    </w:rPr>
                  </w:pPr>
                  <w:r>
                    <w:rPr>
                      <w:rFonts w:hint="eastAsia"/>
                      <w:color w:val="auto"/>
                    </w:rPr>
                    <w:t>5</w:t>
                  </w:r>
                </w:p>
              </w:tc>
              <w:tc>
                <w:tcPr>
                  <w:tcW w:w="628" w:type="dxa"/>
                  <w:tcBorders>
                    <w:tl2br w:val="nil"/>
                    <w:tr2bl w:val="nil"/>
                  </w:tcBorders>
                  <w:vAlign w:val="center"/>
                </w:tcPr>
                <w:p w14:paraId="297A79AD">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72FE37A6">
                  <w:pPr>
                    <w:pStyle w:val="57"/>
                    <w:rPr>
                      <w:color w:val="auto"/>
                    </w:rPr>
                  </w:pPr>
                </w:p>
              </w:tc>
              <w:tc>
                <w:tcPr>
                  <w:tcW w:w="607" w:type="dxa"/>
                  <w:tcBorders>
                    <w:tl2br w:val="nil"/>
                    <w:tr2bl w:val="nil"/>
                  </w:tcBorders>
                  <w:vAlign w:val="center"/>
                </w:tcPr>
                <w:p w14:paraId="72F2186E">
                  <w:pPr>
                    <w:pStyle w:val="57"/>
                    <w:rPr>
                      <w:rFonts w:hint="eastAsia"/>
                      <w:color w:val="auto"/>
                    </w:rPr>
                  </w:pPr>
                  <w:r>
                    <w:rPr>
                      <w:rFonts w:hint="eastAsia"/>
                      <w:color w:val="auto"/>
                    </w:rPr>
                    <w:t>10</w:t>
                  </w:r>
                </w:p>
              </w:tc>
              <w:tc>
                <w:tcPr>
                  <w:tcW w:w="651" w:type="dxa"/>
                  <w:tcBorders>
                    <w:tl2br w:val="nil"/>
                    <w:tr2bl w:val="nil"/>
                  </w:tcBorders>
                  <w:vAlign w:val="center"/>
                </w:tcPr>
                <w:p w14:paraId="1BB038C7">
                  <w:pPr>
                    <w:pStyle w:val="57"/>
                    <w:rPr>
                      <w:rFonts w:hint="eastAsia"/>
                      <w:color w:val="auto"/>
                    </w:rPr>
                  </w:pPr>
                  <w:r>
                    <w:rPr>
                      <w:rFonts w:hint="eastAsia"/>
                      <w:color w:val="auto"/>
                    </w:rPr>
                    <w:t>55</w:t>
                  </w:r>
                </w:p>
              </w:tc>
              <w:tc>
                <w:tcPr>
                  <w:tcW w:w="586" w:type="dxa"/>
                  <w:tcBorders>
                    <w:tl2br w:val="nil"/>
                    <w:tr2bl w:val="nil"/>
                  </w:tcBorders>
                  <w:vAlign w:val="center"/>
                </w:tcPr>
                <w:p w14:paraId="31DA7925">
                  <w:pPr>
                    <w:pStyle w:val="57"/>
                    <w:rPr>
                      <w:color w:val="auto"/>
                    </w:rPr>
                  </w:pPr>
                  <w:r>
                    <w:rPr>
                      <w:color w:val="auto"/>
                    </w:rPr>
                    <w:t>1</w:t>
                  </w:r>
                </w:p>
              </w:tc>
            </w:tr>
            <w:tr w14:paraId="49F6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129A2759">
                  <w:pPr>
                    <w:pStyle w:val="57"/>
                    <w:rPr>
                      <w:color w:val="auto"/>
                    </w:rPr>
                  </w:pPr>
                </w:p>
              </w:tc>
              <w:tc>
                <w:tcPr>
                  <w:tcW w:w="219" w:type="pct"/>
                  <w:vMerge w:val="continue"/>
                  <w:tcBorders>
                    <w:tl2br w:val="nil"/>
                    <w:tr2bl w:val="nil"/>
                  </w:tcBorders>
                  <w:vAlign w:val="center"/>
                </w:tcPr>
                <w:p w14:paraId="3F8C179F">
                  <w:pPr>
                    <w:pStyle w:val="57"/>
                    <w:rPr>
                      <w:color w:val="auto"/>
                    </w:rPr>
                  </w:pPr>
                </w:p>
              </w:tc>
              <w:tc>
                <w:tcPr>
                  <w:tcW w:w="667" w:type="pct"/>
                  <w:tcBorders>
                    <w:tl2br w:val="nil"/>
                    <w:tr2bl w:val="nil"/>
                  </w:tcBorders>
                  <w:vAlign w:val="center"/>
                </w:tcPr>
                <w:p w14:paraId="1C4628AF">
                  <w:pPr>
                    <w:pStyle w:val="57"/>
                    <w:rPr>
                      <w:rFonts w:hint="eastAsia"/>
                      <w:color w:val="auto"/>
                    </w:rPr>
                  </w:pPr>
                  <w:r>
                    <w:rPr>
                      <w:rFonts w:hint="eastAsia"/>
                      <w:color w:val="auto"/>
                    </w:rPr>
                    <w:t>热转印机1#</w:t>
                  </w:r>
                </w:p>
              </w:tc>
              <w:tc>
                <w:tcPr>
                  <w:tcW w:w="143" w:type="pct"/>
                  <w:tcBorders>
                    <w:tl2br w:val="nil"/>
                    <w:tr2bl w:val="nil"/>
                  </w:tcBorders>
                  <w:vAlign w:val="center"/>
                </w:tcPr>
                <w:p w14:paraId="2E791368">
                  <w:pPr>
                    <w:pStyle w:val="57"/>
                    <w:rPr>
                      <w:color w:val="auto"/>
                    </w:rPr>
                  </w:pPr>
                  <w:r>
                    <w:rPr>
                      <w:color w:val="auto"/>
                    </w:rPr>
                    <w:t>/</w:t>
                  </w:r>
                </w:p>
              </w:tc>
              <w:tc>
                <w:tcPr>
                  <w:tcW w:w="717" w:type="pct"/>
                  <w:tcBorders>
                    <w:tl2br w:val="nil"/>
                    <w:tr2bl w:val="nil"/>
                  </w:tcBorders>
                  <w:vAlign w:val="center"/>
                </w:tcPr>
                <w:p w14:paraId="5EBE719D">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4810D6CC">
                  <w:pPr>
                    <w:pStyle w:val="57"/>
                    <w:rPr>
                      <w:color w:val="auto"/>
                    </w:rPr>
                  </w:pPr>
                </w:p>
              </w:tc>
              <w:tc>
                <w:tcPr>
                  <w:tcW w:w="228" w:type="pct"/>
                  <w:tcBorders>
                    <w:tl2br w:val="nil"/>
                    <w:tr2bl w:val="nil"/>
                  </w:tcBorders>
                  <w:vAlign w:val="center"/>
                </w:tcPr>
                <w:p w14:paraId="62A26D92">
                  <w:pPr>
                    <w:pStyle w:val="57"/>
                    <w:rPr>
                      <w:rFonts w:hint="eastAsia"/>
                      <w:color w:val="auto"/>
                    </w:rPr>
                  </w:pPr>
                  <w:r>
                    <w:rPr>
                      <w:rFonts w:hint="eastAsia"/>
                      <w:color w:val="auto"/>
                    </w:rPr>
                    <w:t>25</w:t>
                  </w:r>
                </w:p>
              </w:tc>
              <w:tc>
                <w:tcPr>
                  <w:tcW w:w="422" w:type="dxa"/>
                  <w:tcBorders>
                    <w:tl2br w:val="nil"/>
                    <w:tr2bl w:val="nil"/>
                  </w:tcBorders>
                  <w:vAlign w:val="center"/>
                </w:tcPr>
                <w:p w14:paraId="72982AB9">
                  <w:pPr>
                    <w:pStyle w:val="57"/>
                    <w:rPr>
                      <w:rFonts w:hint="eastAsia"/>
                      <w:color w:val="auto"/>
                    </w:rPr>
                  </w:pPr>
                  <w:r>
                    <w:rPr>
                      <w:rFonts w:hint="eastAsia"/>
                      <w:color w:val="auto"/>
                    </w:rPr>
                    <w:t>27</w:t>
                  </w:r>
                </w:p>
              </w:tc>
              <w:tc>
                <w:tcPr>
                  <w:tcW w:w="372" w:type="dxa"/>
                  <w:tcBorders>
                    <w:tl2br w:val="nil"/>
                    <w:tr2bl w:val="nil"/>
                  </w:tcBorders>
                  <w:vAlign w:val="center"/>
                </w:tcPr>
                <w:p w14:paraId="4AE36747">
                  <w:pPr>
                    <w:pStyle w:val="57"/>
                    <w:rPr>
                      <w:rFonts w:hint="eastAsia"/>
                      <w:color w:val="auto"/>
                    </w:rPr>
                  </w:pPr>
                  <w:r>
                    <w:rPr>
                      <w:rFonts w:hint="eastAsia"/>
                      <w:color w:val="auto"/>
                    </w:rPr>
                    <w:t>1.5</w:t>
                  </w:r>
                </w:p>
              </w:tc>
              <w:tc>
                <w:tcPr>
                  <w:tcW w:w="479" w:type="dxa"/>
                  <w:tcBorders>
                    <w:tl2br w:val="nil"/>
                    <w:tr2bl w:val="nil"/>
                  </w:tcBorders>
                  <w:vAlign w:val="center"/>
                </w:tcPr>
                <w:p w14:paraId="3CB563A3">
                  <w:pPr>
                    <w:pStyle w:val="57"/>
                    <w:rPr>
                      <w:rFonts w:hint="eastAsia"/>
                      <w:color w:val="auto"/>
                    </w:rPr>
                  </w:pPr>
                  <w:r>
                    <w:rPr>
                      <w:rFonts w:hint="eastAsia"/>
                      <w:color w:val="auto"/>
                    </w:rPr>
                    <w:t>5</w:t>
                  </w:r>
                </w:p>
              </w:tc>
              <w:tc>
                <w:tcPr>
                  <w:tcW w:w="628" w:type="dxa"/>
                  <w:tcBorders>
                    <w:tl2br w:val="nil"/>
                    <w:tr2bl w:val="nil"/>
                  </w:tcBorders>
                  <w:vAlign w:val="center"/>
                </w:tcPr>
                <w:p w14:paraId="4BDB14C9">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7A55E199">
                  <w:pPr>
                    <w:pStyle w:val="57"/>
                    <w:rPr>
                      <w:color w:val="auto"/>
                    </w:rPr>
                  </w:pPr>
                </w:p>
              </w:tc>
              <w:tc>
                <w:tcPr>
                  <w:tcW w:w="607" w:type="dxa"/>
                  <w:tcBorders>
                    <w:tl2br w:val="nil"/>
                    <w:tr2bl w:val="nil"/>
                  </w:tcBorders>
                  <w:vAlign w:val="center"/>
                </w:tcPr>
                <w:p w14:paraId="6D51FEE1">
                  <w:pPr>
                    <w:pStyle w:val="57"/>
                    <w:rPr>
                      <w:rFonts w:hint="eastAsia"/>
                      <w:color w:val="auto"/>
                    </w:rPr>
                  </w:pPr>
                  <w:r>
                    <w:rPr>
                      <w:rFonts w:hint="eastAsia"/>
                      <w:color w:val="auto"/>
                    </w:rPr>
                    <w:t>10</w:t>
                  </w:r>
                </w:p>
              </w:tc>
              <w:tc>
                <w:tcPr>
                  <w:tcW w:w="651" w:type="dxa"/>
                  <w:tcBorders>
                    <w:tl2br w:val="nil"/>
                    <w:tr2bl w:val="nil"/>
                  </w:tcBorders>
                  <w:vAlign w:val="center"/>
                </w:tcPr>
                <w:p w14:paraId="059A6117">
                  <w:pPr>
                    <w:pStyle w:val="57"/>
                    <w:rPr>
                      <w:color w:val="auto"/>
                    </w:rPr>
                  </w:pPr>
                  <w:r>
                    <w:rPr>
                      <w:rFonts w:hint="eastAsia"/>
                      <w:color w:val="auto"/>
                    </w:rPr>
                    <w:t>55</w:t>
                  </w:r>
                </w:p>
              </w:tc>
              <w:tc>
                <w:tcPr>
                  <w:tcW w:w="586" w:type="dxa"/>
                  <w:tcBorders>
                    <w:tl2br w:val="nil"/>
                    <w:tr2bl w:val="nil"/>
                  </w:tcBorders>
                  <w:vAlign w:val="center"/>
                </w:tcPr>
                <w:p w14:paraId="2576F24D">
                  <w:pPr>
                    <w:pStyle w:val="57"/>
                    <w:rPr>
                      <w:color w:val="auto"/>
                    </w:rPr>
                  </w:pPr>
                  <w:r>
                    <w:rPr>
                      <w:color w:val="auto"/>
                    </w:rPr>
                    <w:t>1</w:t>
                  </w:r>
                </w:p>
              </w:tc>
            </w:tr>
            <w:tr w14:paraId="4F80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37ADC852">
                  <w:pPr>
                    <w:pStyle w:val="57"/>
                    <w:rPr>
                      <w:color w:val="auto"/>
                    </w:rPr>
                  </w:pPr>
                </w:p>
              </w:tc>
              <w:tc>
                <w:tcPr>
                  <w:tcW w:w="219" w:type="pct"/>
                  <w:vMerge w:val="continue"/>
                  <w:tcBorders>
                    <w:tl2br w:val="nil"/>
                    <w:tr2bl w:val="nil"/>
                  </w:tcBorders>
                  <w:vAlign w:val="center"/>
                </w:tcPr>
                <w:p w14:paraId="293D9618">
                  <w:pPr>
                    <w:pStyle w:val="57"/>
                    <w:rPr>
                      <w:color w:val="auto"/>
                    </w:rPr>
                  </w:pPr>
                </w:p>
              </w:tc>
              <w:tc>
                <w:tcPr>
                  <w:tcW w:w="667" w:type="pct"/>
                  <w:tcBorders>
                    <w:tl2br w:val="nil"/>
                    <w:tr2bl w:val="nil"/>
                  </w:tcBorders>
                  <w:vAlign w:val="center"/>
                </w:tcPr>
                <w:p w14:paraId="7056BBD7">
                  <w:pPr>
                    <w:pStyle w:val="57"/>
                    <w:rPr>
                      <w:rFonts w:hint="eastAsia"/>
                      <w:color w:val="auto"/>
                    </w:rPr>
                  </w:pPr>
                  <w:r>
                    <w:rPr>
                      <w:rFonts w:hint="eastAsia"/>
                      <w:color w:val="auto"/>
                    </w:rPr>
                    <w:t>热转印机2#</w:t>
                  </w:r>
                </w:p>
              </w:tc>
              <w:tc>
                <w:tcPr>
                  <w:tcW w:w="143" w:type="pct"/>
                  <w:tcBorders>
                    <w:tl2br w:val="nil"/>
                    <w:tr2bl w:val="nil"/>
                  </w:tcBorders>
                  <w:vAlign w:val="center"/>
                </w:tcPr>
                <w:p w14:paraId="44E51D31">
                  <w:pPr>
                    <w:pStyle w:val="57"/>
                    <w:rPr>
                      <w:color w:val="auto"/>
                    </w:rPr>
                  </w:pPr>
                  <w:r>
                    <w:rPr>
                      <w:color w:val="auto"/>
                    </w:rPr>
                    <w:t>/</w:t>
                  </w:r>
                </w:p>
              </w:tc>
              <w:tc>
                <w:tcPr>
                  <w:tcW w:w="717" w:type="pct"/>
                  <w:tcBorders>
                    <w:tl2br w:val="nil"/>
                    <w:tr2bl w:val="nil"/>
                  </w:tcBorders>
                  <w:vAlign w:val="center"/>
                </w:tcPr>
                <w:p w14:paraId="2603294D">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33F75373">
                  <w:pPr>
                    <w:pStyle w:val="57"/>
                    <w:rPr>
                      <w:color w:val="auto"/>
                    </w:rPr>
                  </w:pPr>
                </w:p>
              </w:tc>
              <w:tc>
                <w:tcPr>
                  <w:tcW w:w="228" w:type="pct"/>
                  <w:tcBorders>
                    <w:tl2br w:val="nil"/>
                    <w:tr2bl w:val="nil"/>
                  </w:tcBorders>
                  <w:vAlign w:val="center"/>
                </w:tcPr>
                <w:p w14:paraId="61F3060E">
                  <w:pPr>
                    <w:pStyle w:val="57"/>
                    <w:rPr>
                      <w:color w:val="auto"/>
                    </w:rPr>
                  </w:pPr>
                  <w:r>
                    <w:rPr>
                      <w:rFonts w:hint="eastAsia"/>
                      <w:color w:val="auto"/>
                    </w:rPr>
                    <w:t>25</w:t>
                  </w:r>
                </w:p>
              </w:tc>
              <w:tc>
                <w:tcPr>
                  <w:tcW w:w="422" w:type="dxa"/>
                  <w:tcBorders>
                    <w:tl2br w:val="nil"/>
                    <w:tr2bl w:val="nil"/>
                  </w:tcBorders>
                  <w:vAlign w:val="center"/>
                </w:tcPr>
                <w:p w14:paraId="648A4CEF">
                  <w:pPr>
                    <w:pStyle w:val="57"/>
                    <w:rPr>
                      <w:color w:val="auto"/>
                    </w:rPr>
                  </w:pPr>
                  <w:r>
                    <w:rPr>
                      <w:rFonts w:hint="eastAsia"/>
                      <w:color w:val="auto"/>
                    </w:rPr>
                    <w:t>30</w:t>
                  </w:r>
                </w:p>
              </w:tc>
              <w:tc>
                <w:tcPr>
                  <w:tcW w:w="372" w:type="dxa"/>
                  <w:tcBorders>
                    <w:tl2br w:val="nil"/>
                    <w:tr2bl w:val="nil"/>
                  </w:tcBorders>
                  <w:vAlign w:val="center"/>
                </w:tcPr>
                <w:p w14:paraId="74B2BCF7">
                  <w:pPr>
                    <w:pStyle w:val="57"/>
                    <w:rPr>
                      <w:rFonts w:hint="eastAsia"/>
                      <w:color w:val="auto"/>
                    </w:rPr>
                  </w:pPr>
                  <w:r>
                    <w:rPr>
                      <w:rFonts w:hint="eastAsia"/>
                      <w:color w:val="auto"/>
                    </w:rPr>
                    <w:t>1.5</w:t>
                  </w:r>
                </w:p>
              </w:tc>
              <w:tc>
                <w:tcPr>
                  <w:tcW w:w="479" w:type="dxa"/>
                  <w:tcBorders>
                    <w:tl2br w:val="nil"/>
                    <w:tr2bl w:val="nil"/>
                  </w:tcBorders>
                  <w:vAlign w:val="center"/>
                </w:tcPr>
                <w:p w14:paraId="4F661ADD">
                  <w:pPr>
                    <w:pStyle w:val="57"/>
                    <w:rPr>
                      <w:rFonts w:hint="eastAsia"/>
                      <w:color w:val="auto"/>
                    </w:rPr>
                  </w:pPr>
                  <w:r>
                    <w:rPr>
                      <w:rFonts w:hint="eastAsia"/>
                      <w:color w:val="auto"/>
                    </w:rPr>
                    <w:t>5</w:t>
                  </w:r>
                </w:p>
              </w:tc>
              <w:tc>
                <w:tcPr>
                  <w:tcW w:w="628" w:type="dxa"/>
                  <w:tcBorders>
                    <w:tl2br w:val="nil"/>
                    <w:tr2bl w:val="nil"/>
                  </w:tcBorders>
                  <w:vAlign w:val="center"/>
                </w:tcPr>
                <w:p w14:paraId="74958CAC">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5D2D6C31">
                  <w:pPr>
                    <w:pStyle w:val="57"/>
                    <w:rPr>
                      <w:color w:val="auto"/>
                    </w:rPr>
                  </w:pPr>
                </w:p>
              </w:tc>
              <w:tc>
                <w:tcPr>
                  <w:tcW w:w="607" w:type="dxa"/>
                  <w:tcBorders>
                    <w:tl2br w:val="nil"/>
                    <w:tr2bl w:val="nil"/>
                  </w:tcBorders>
                  <w:vAlign w:val="center"/>
                </w:tcPr>
                <w:p w14:paraId="5E6CD5B9">
                  <w:pPr>
                    <w:pStyle w:val="57"/>
                    <w:rPr>
                      <w:rFonts w:hint="eastAsia"/>
                      <w:color w:val="auto"/>
                    </w:rPr>
                  </w:pPr>
                  <w:r>
                    <w:rPr>
                      <w:rFonts w:hint="eastAsia"/>
                      <w:color w:val="auto"/>
                    </w:rPr>
                    <w:t>10</w:t>
                  </w:r>
                </w:p>
              </w:tc>
              <w:tc>
                <w:tcPr>
                  <w:tcW w:w="651" w:type="dxa"/>
                  <w:tcBorders>
                    <w:tl2br w:val="nil"/>
                    <w:tr2bl w:val="nil"/>
                  </w:tcBorders>
                  <w:vAlign w:val="center"/>
                </w:tcPr>
                <w:p w14:paraId="22D400B2">
                  <w:pPr>
                    <w:pStyle w:val="57"/>
                    <w:rPr>
                      <w:rFonts w:hint="eastAsia"/>
                      <w:color w:val="auto"/>
                    </w:rPr>
                  </w:pPr>
                  <w:r>
                    <w:rPr>
                      <w:rFonts w:hint="eastAsia"/>
                      <w:color w:val="auto"/>
                    </w:rPr>
                    <w:t>55</w:t>
                  </w:r>
                </w:p>
              </w:tc>
              <w:tc>
                <w:tcPr>
                  <w:tcW w:w="586" w:type="dxa"/>
                  <w:tcBorders>
                    <w:tl2br w:val="nil"/>
                    <w:tr2bl w:val="nil"/>
                  </w:tcBorders>
                  <w:vAlign w:val="center"/>
                </w:tcPr>
                <w:p w14:paraId="62D7D25D">
                  <w:pPr>
                    <w:pStyle w:val="57"/>
                    <w:rPr>
                      <w:color w:val="auto"/>
                    </w:rPr>
                  </w:pPr>
                  <w:r>
                    <w:rPr>
                      <w:color w:val="auto"/>
                    </w:rPr>
                    <w:t>1</w:t>
                  </w:r>
                </w:p>
              </w:tc>
            </w:tr>
            <w:tr w14:paraId="74F49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7D810CD4">
                  <w:pPr>
                    <w:pStyle w:val="57"/>
                    <w:rPr>
                      <w:color w:val="auto"/>
                    </w:rPr>
                  </w:pPr>
                </w:p>
              </w:tc>
              <w:tc>
                <w:tcPr>
                  <w:tcW w:w="219" w:type="pct"/>
                  <w:vMerge w:val="continue"/>
                  <w:tcBorders>
                    <w:tl2br w:val="nil"/>
                    <w:tr2bl w:val="nil"/>
                  </w:tcBorders>
                  <w:vAlign w:val="center"/>
                </w:tcPr>
                <w:p w14:paraId="24487CDE">
                  <w:pPr>
                    <w:pStyle w:val="57"/>
                    <w:rPr>
                      <w:color w:val="auto"/>
                    </w:rPr>
                  </w:pPr>
                </w:p>
              </w:tc>
              <w:tc>
                <w:tcPr>
                  <w:tcW w:w="667" w:type="pct"/>
                  <w:tcBorders>
                    <w:tl2br w:val="nil"/>
                    <w:tr2bl w:val="nil"/>
                  </w:tcBorders>
                  <w:vAlign w:val="center"/>
                </w:tcPr>
                <w:p w14:paraId="7F00EED5">
                  <w:pPr>
                    <w:pStyle w:val="57"/>
                    <w:rPr>
                      <w:rFonts w:hint="eastAsia"/>
                      <w:color w:val="auto"/>
                    </w:rPr>
                  </w:pPr>
                  <w:r>
                    <w:rPr>
                      <w:rFonts w:hint="eastAsia"/>
                      <w:color w:val="auto"/>
                    </w:rPr>
                    <w:t>热转印机3#</w:t>
                  </w:r>
                </w:p>
              </w:tc>
              <w:tc>
                <w:tcPr>
                  <w:tcW w:w="143" w:type="pct"/>
                  <w:tcBorders>
                    <w:tl2br w:val="nil"/>
                    <w:tr2bl w:val="nil"/>
                  </w:tcBorders>
                  <w:vAlign w:val="center"/>
                </w:tcPr>
                <w:p w14:paraId="1DE13B0E">
                  <w:pPr>
                    <w:pStyle w:val="57"/>
                    <w:rPr>
                      <w:color w:val="auto"/>
                    </w:rPr>
                  </w:pPr>
                  <w:r>
                    <w:rPr>
                      <w:color w:val="auto"/>
                    </w:rPr>
                    <w:t>/</w:t>
                  </w:r>
                </w:p>
              </w:tc>
              <w:tc>
                <w:tcPr>
                  <w:tcW w:w="717" w:type="pct"/>
                  <w:tcBorders>
                    <w:tl2br w:val="nil"/>
                    <w:tr2bl w:val="nil"/>
                  </w:tcBorders>
                  <w:vAlign w:val="center"/>
                </w:tcPr>
                <w:p w14:paraId="530D67C3">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69AF41A1">
                  <w:pPr>
                    <w:pStyle w:val="57"/>
                    <w:rPr>
                      <w:color w:val="auto"/>
                    </w:rPr>
                  </w:pPr>
                </w:p>
              </w:tc>
              <w:tc>
                <w:tcPr>
                  <w:tcW w:w="228" w:type="pct"/>
                  <w:tcBorders>
                    <w:tl2br w:val="nil"/>
                    <w:tr2bl w:val="nil"/>
                  </w:tcBorders>
                  <w:vAlign w:val="center"/>
                </w:tcPr>
                <w:p w14:paraId="169D00DB">
                  <w:pPr>
                    <w:pStyle w:val="57"/>
                    <w:rPr>
                      <w:color w:val="auto"/>
                    </w:rPr>
                  </w:pPr>
                  <w:r>
                    <w:rPr>
                      <w:rFonts w:hint="eastAsia"/>
                      <w:color w:val="auto"/>
                    </w:rPr>
                    <w:t>25</w:t>
                  </w:r>
                </w:p>
              </w:tc>
              <w:tc>
                <w:tcPr>
                  <w:tcW w:w="422" w:type="dxa"/>
                  <w:tcBorders>
                    <w:tl2br w:val="nil"/>
                    <w:tr2bl w:val="nil"/>
                  </w:tcBorders>
                  <w:vAlign w:val="center"/>
                </w:tcPr>
                <w:p w14:paraId="291F95AB">
                  <w:pPr>
                    <w:pStyle w:val="57"/>
                    <w:rPr>
                      <w:color w:val="auto"/>
                    </w:rPr>
                  </w:pPr>
                  <w:r>
                    <w:rPr>
                      <w:rFonts w:hint="eastAsia"/>
                      <w:color w:val="auto"/>
                    </w:rPr>
                    <w:t>33</w:t>
                  </w:r>
                </w:p>
              </w:tc>
              <w:tc>
                <w:tcPr>
                  <w:tcW w:w="372" w:type="dxa"/>
                  <w:tcBorders>
                    <w:tl2br w:val="nil"/>
                    <w:tr2bl w:val="nil"/>
                  </w:tcBorders>
                  <w:vAlign w:val="center"/>
                </w:tcPr>
                <w:p w14:paraId="0698D158">
                  <w:pPr>
                    <w:pStyle w:val="57"/>
                    <w:rPr>
                      <w:rFonts w:hint="eastAsia"/>
                      <w:color w:val="auto"/>
                    </w:rPr>
                  </w:pPr>
                  <w:r>
                    <w:rPr>
                      <w:rFonts w:hint="eastAsia"/>
                      <w:color w:val="auto"/>
                    </w:rPr>
                    <w:t>1.5</w:t>
                  </w:r>
                </w:p>
              </w:tc>
              <w:tc>
                <w:tcPr>
                  <w:tcW w:w="479" w:type="dxa"/>
                  <w:tcBorders>
                    <w:tl2br w:val="nil"/>
                    <w:tr2bl w:val="nil"/>
                  </w:tcBorders>
                  <w:vAlign w:val="center"/>
                </w:tcPr>
                <w:p w14:paraId="250351E1">
                  <w:pPr>
                    <w:pStyle w:val="57"/>
                    <w:rPr>
                      <w:rFonts w:hint="eastAsia"/>
                      <w:color w:val="auto"/>
                    </w:rPr>
                  </w:pPr>
                  <w:r>
                    <w:rPr>
                      <w:rFonts w:hint="eastAsia"/>
                      <w:color w:val="auto"/>
                    </w:rPr>
                    <w:t>5</w:t>
                  </w:r>
                </w:p>
              </w:tc>
              <w:tc>
                <w:tcPr>
                  <w:tcW w:w="628" w:type="dxa"/>
                  <w:tcBorders>
                    <w:tl2br w:val="nil"/>
                    <w:tr2bl w:val="nil"/>
                  </w:tcBorders>
                  <w:vAlign w:val="center"/>
                </w:tcPr>
                <w:p w14:paraId="50A4C47B">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12F480A4">
                  <w:pPr>
                    <w:pStyle w:val="57"/>
                    <w:rPr>
                      <w:color w:val="auto"/>
                    </w:rPr>
                  </w:pPr>
                </w:p>
              </w:tc>
              <w:tc>
                <w:tcPr>
                  <w:tcW w:w="607" w:type="dxa"/>
                  <w:tcBorders>
                    <w:tl2br w:val="nil"/>
                    <w:tr2bl w:val="nil"/>
                  </w:tcBorders>
                  <w:vAlign w:val="center"/>
                </w:tcPr>
                <w:p w14:paraId="18265DA5">
                  <w:pPr>
                    <w:pStyle w:val="57"/>
                    <w:rPr>
                      <w:rFonts w:hint="eastAsia"/>
                      <w:color w:val="auto"/>
                    </w:rPr>
                  </w:pPr>
                  <w:r>
                    <w:rPr>
                      <w:rFonts w:hint="eastAsia"/>
                      <w:color w:val="auto"/>
                    </w:rPr>
                    <w:t>10</w:t>
                  </w:r>
                </w:p>
              </w:tc>
              <w:tc>
                <w:tcPr>
                  <w:tcW w:w="651" w:type="dxa"/>
                  <w:tcBorders>
                    <w:tl2br w:val="nil"/>
                    <w:tr2bl w:val="nil"/>
                  </w:tcBorders>
                  <w:vAlign w:val="center"/>
                </w:tcPr>
                <w:p w14:paraId="2F2FEDD6">
                  <w:pPr>
                    <w:pStyle w:val="57"/>
                    <w:rPr>
                      <w:rFonts w:hint="eastAsia"/>
                      <w:color w:val="auto"/>
                    </w:rPr>
                  </w:pPr>
                  <w:r>
                    <w:rPr>
                      <w:rFonts w:hint="eastAsia"/>
                      <w:color w:val="auto"/>
                    </w:rPr>
                    <w:t>55</w:t>
                  </w:r>
                </w:p>
              </w:tc>
              <w:tc>
                <w:tcPr>
                  <w:tcW w:w="586" w:type="dxa"/>
                  <w:tcBorders>
                    <w:tl2br w:val="nil"/>
                    <w:tr2bl w:val="nil"/>
                  </w:tcBorders>
                  <w:vAlign w:val="center"/>
                </w:tcPr>
                <w:p w14:paraId="25294AA4">
                  <w:pPr>
                    <w:pStyle w:val="57"/>
                    <w:rPr>
                      <w:color w:val="auto"/>
                    </w:rPr>
                  </w:pPr>
                  <w:r>
                    <w:rPr>
                      <w:color w:val="auto"/>
                    </w:rPr>
                    <w:t>1</w:t>
                  </w:r>
                </w:p>
              </w:tc>
            </w:tr>
            <w:tr w14:paraId="22DC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7CDB469D">
                  <w:pPr>
                    <w:pStyle w:val="57"/>
                    <w:rPr>
                      <w:color w:val="auto"/>
                    </w:rPr>
                  </w:pPr>
                </w:p>
              </w:tc>
              <w:tc>
                <w:tcPr>
                  <w:tcW w:w="219" w:type="pct"/>
                  <w:vMerge w:val="continue"/>
                  <w:tcBorders>
                    <w:tl2br w:val="nil"/>
                    <w:tr2bl w:val="nil"/>
                  </w:tcBorders>
                  <w:vAlign w:val="center"/>
                </w:tcPr>
                <w:p w14:paraId="0F48A55F">
                  <w:pPr>
                    <w:pStyle w:val="57"/>
                    <w:rPr>
                      <w:color w:val="auto"/>
                    </w:rPr>
                  </w:pPr>
                </w:p>
              </w:tc>
              <w:tc>
                <w:tcPr>
                  <w:tcW w:w="667" w:type="pct"/>
                  <w:tcBorders>
                    <w:tl2br w:val="nil"/>
                    <w:tr2bl w:val="nil"/>
                  </w:tcBorders>
                  <w:vAlign w:val="center"/>
                </w:tcPr>
                <w:p w14:paraId="355E403E">
                  <w:pPr>
                    <w:pStyle w:val="57"/>
                    <w:rPr>
                      <w:rFonts w:hint="eastAsia"/>
                      <w:color w:val="auto"/>
                    </w:rPr>
                  </w:pPr>
                  <w:r>
                    <w:rPr>
                      <w:rFonts w:hint="eastAsia"/>
                      <w:color w:val="auto"/>
                    </w:rPr>
                    <w:t>热转印机4#</w:t>
                  </w:r>
                </w:p>
              </w:tc>
              <w:tc>
                <w:tcPr>
                  <w:tcW w:w="143" w:type="pct"/>
                  <w:tcBorders>
                    <w:tl2br w:val="nil"/>
                    <w:tr2bl w:val="nil"/>
                  </w:tcBorders>
                  <w:vAlign w:val="center"/>
                </w:tcPr>
                <w:p w14:paraId="0114FE85">
                  <w:pPr>
                    <w:pStyle w:val="57"/>
                    <w:rPr>
                      <w:color w:val="auto"/>
                    </w:rPr>
                  </w:pPr>
                  <w:r>
                    <w:rPr>
                      <w:color w:val="auto"/>
                    </w:rPr>
                    <w:t>/</w:t>
                  </w:r>
                </w:p>
              </w:tc>
              <w:tc>
                <w:tcPr>
                  <w:tcW w:w="717" w:type="pct"/>
                  <w:tcBorders>
                    <w:tl2br w:val="nil"/>
                    <w:tr2bl w:val="nil"/>
                  </w:tcBorders>
                  <w:vAlign w:val="center"/>
                </w:tcPr>
                <w:p w14:paraId="1692F268">
                  <w:pPr>
                    <w:pStyle w:val="57"/>
                    <w:rPr>
                      <w:rFonts w:hint="eastAsia"/>
                      <w:color w:val="auto"/>
                    </w:rPr>
                  </w:pPr>
                  <w:r>
                    <w:rPr>
                      <w:rFonts w:hint="eastAsia"/>
                      <w:color w:val="auto"/>
                    </w:rPr>
                    <w:t>75</w:t>
                  </w:r>
                  <w:r>
                    <w:rPr>
                      <w:color w:val="auto"/>
                    </w:rPr>
                    <w:t>/1</w:t>
                  </w:r>
                </w:p>
              </w:tc>
              <w:tc>
                <w:tcPr>
                  <w:tcW w:w="346" w:type="pct"/>
                  <w:vMerge w:val="continue"/>
                  <w:tcBorders>
                    <w:tl2br w:val="nil"/>
                    <w:tr2bl w:val="nil"/>
                  </w:tcBorders>
                  <w:vAlign w:val="center"/>
                </w:tcPr>
                <w:p w14:paraId="400CB7A6">
                  <w:pPr>
                    <w:pStyle w:val="57"/>
                    <w:rPr>
                      <w:color w:val="auto"/>
                    </w:rPr>
                  </w:pPr>
                </w:p>
              </w:tc>
              <w:tc>
                <w:tcPr>
                  <w:tcW w:w="228" w:type="pct"/>
                  <w:tcBorders>
                    <w:tl2br w:val="nil"/>
                    <w:tr2bl w:val="nil"/>
                  </w:tcBorders>
                  <w:vAlign w:val="center"/>
                </w:tcPr>
                <w:p w14:paraId="1208E019">
                  <w:pPr>
                    <w:pStyle w:val="57"/>
                    <w:rPr>
                      <w:color w:val="auto"/>
                    </w:rPr>
                  </w:pPr>
                  <w:r>
                    <w:rPr>
                      <w:rFonts w:hint="eastAsia"/>
                      <w:color w:val="auto"/>
                    </w:rPr>
                    <w:t>25</w:t>
                  </w:r>
                </w:p>
              </w:tc>
              <w:tc>
                <w:tcPr>
                  <w:tcW w:w="422" w:type="dxa"/>
                  <w:tcBorders>
                    <w:tl2br w:val="nil"/>
                    <w:tr2bl w:val="nil"/>
                  </w:tcBorders>
                  <w:vAlign w:val="center"/>
                </w:tcPr>
                <w:p w14:paraId="625F24E3">
                  <w:pPr>
                    <w:pStyle w:val="57"/>
                    <w:rPr>
                      <w:color w:val="auto"/>
                    </w:rPr>
                  </w:pPr>
                  <w:r>
                    <w:rPr>
                      <w:rFonts w:hint="eastAsia"/>
                      <w:color w:val="auto"/>
                    </w:rPr>
                    <w:t>36</w:t>
                  </w:r>
                </w:p>
              </w:tc>
              <w:tc>
                <w:tcPr>
                  <w:tcW w:w="372" w:type="dxa"/>
                  <w:tcBorders>
                    <w:tl2br w:val="nil"/>
                    <w:tr2bl w:val="nil"/>
                  </w:tcBorders>
                  <w:vAlign w:val="center"/>
                </w:tcPr>
                <w:p w14:paraId="78A1D037">
                  <w:pPr>
                    <w:pStyle w:val="57"/>
                    <w:rPr>
                      <w:rFonts w:hint="eastAsia"/>
                      <w:color w:val="auto"/>
                    </w:rPr>
                  </w:pPr>
                  <w:r>
                    <w:rPr>
                      <w:rFonts w:hint="eastAsia"/>
                      <w:color w:val="auto"/>
                    </w:rPr>
                    <w:t>1.5</w:t>
                  </w:r>
                </w:p>
              </w:tc>
              <w:tc>
                <w:tcPr>
                  <w:tcW w:w="479" w:type="dxa"/>
                  <w:tcBorders>
                    <w:tl2br w:val="nil"/>
                    <w:tr2bl w:val="nil"/>
                  </w:tcBorders>
                  <w:vAlign w:val="center"/>
                </w:tcPr>
                <w:p w14:paraId="08D4431C">
                  <w:pPr>
                    <w:pStyle w:val="57"/>
                    <w:rPr>
                      <w:rFonts w:hint="eastAsia"/>
                      <w:color w:val="auto"/>
                    </w:rPr>
                  </w:pPr>
                  <w:r>
                    <w:rPr>
                      <w:rFonts w:hint="eastAsia"/>
                      <w:color w:val="auto"/>
                    </w:rPr>
                    <w:t>5</w:t>
                  </w:r>
                </w:p>
              </w:tc>
              <w:tc>
                <w:tcPr>
                  <w:tcW w:w="628" w:type="dxa"/>
                  <w:tcBorders>
                    <w:tl2br w:val="nil"/>
                    <w:tr2bl w:val="nil"/>
                  </w:tcBorders>
                  <w:vAlign w:val="center"/>
                </w:tcPr>
                <w:p w14:paraId="70E6FF98">
                  <w:pPr>
                    <w:pStyle w:val="57"/>
                    <w:rPr>
                      <w:rFonts w:hint="eastAsia"/>
                      <w:color w:val="auto"/>
                    </w:rPr>
                  </w:pPr>
                  <w:r>
                    <w:rPr>
                      <w:rFonts w:hint="eastAsia"/>
                      <w:color w:val="auto"/>
                    </w:rPr>
                    <w:t>65</w:t>
                  </w:r>
                </w:p>
              </w:tc>
              <w:tc>
                <w:tcPr>
                  <w:tcW w:w="280" w:type="pct"/>
                  <w:vMerge w:val="continue"/>
                  <w:tcBorders>
                    <w:tl2br w:val="nil"/>
                    <w:tr2bl w:val="nil"/>
                  </w:tcBorders>
                  <w:vAlign w:val="center"/>
                </w:tcPr>
                <w:p w14:paraId="60EA4A5E">
                  <w:pPr>
                    <w:pStyle w:val="57"/>
                    <w:rPr>
                      <w:color w:val="auto"/>
                    </w:rPr>
                  </w:pPr>
                </w:p>
              </w:tc>
              <w:tc>
                <w:tcPr>
                  <w:tcW w:w="607" w:type="dxa"/>
                  <w:tcBorders>
                    <w:tl2br w:val="nil"/>
                    <w:tr2bl w:val="nil"/>
                  </w:tcBorders>
                  <w:vAlign w:val="center"/>
                </w:tcPr>
                <w:p w14:paraId="5837CF74">
                  <w:pPr>
                    <w:pStyle w:val="57"/>
                    <w:rPr>
                      <w:rFonts w:hint="eastAsia"/>
                      <w:color w:val="auto"/>
                    </w:rPr>
                  </w:pPr>
                  <w:r>
                    <w:rPr>
                      <w:rFonts w:hint="eastAsia"/>
                      <w:color w:val="auto"/>
                    </w:rPr>
                    <w:t>10</w:t>
                  </w:r>
                </w:p>
              </w:tc>
              <w:tc>
                <w:tcPr>
                  <w:tcW w:w="651" w:type="dxa"/>
                  <w:tcBorders>
                    <w:tl2br w:val="nil"/>
                    <w:tr2bl w:val="nil"/>
                  </w:tcBorders>
                  <w:vAlign w:val="center"/>
                </w:tcPr>
                <w:p w14:paraId="27FBD1C6">
                  <w:pPr>
                    <w:pStyle w:val="57"/>
                    <w:rPr>
                      <w:rFonts w:hint="eastAsia"/>
                      <w:color w:val="auto"/>
                    </w:rPr>
                  </w:pPr>
                  <w:r>
                    <w:rPr>
                      <w:rFonts w:hint="eastAsia"/>
                      <w:color w:val="auto"/>
                    </w:rPr>
                    <w:t>55</w:t>
                  </w:r>
                </w:p>
              </w:tc>
              <w:tc>
                <w:tcPr>
                  <w:tcW w:w="586" w:type="dxa"/>
                  <w:tcBorders>
                    <w:tl2br w:val="nil"/>
                    <w:tr2bl w:val="nil"/>
                  </w:tcBorders>
                  <w:vAlign w:val="center"/>
                </w:tcPr>
                <w:p w14:paraId="76AA6EBB">
                  <w:pPr>
                    <w:pStyle w:val="57"/>
                    <w:rPr>
                      <w:color w:val="auto"/>
                    </w:rPr>
                  </w:pPr>
                  <w:r>
                    <w:rPr>
                      <w:color w:val="auto"/>
                    </w:rPr>
                    <w:t>1</w:t>
                  </w:r>
                </w:p>
              </w:tc>
            </w:tr>
            <w:tr w14:paraId="4C28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40" w:type="pct"/>
                  <w:vMerge w:val="continue"/>
                  <w:tcBorders>
                    <w:tl2br w:val="nil"/>
                    <w:tr2bl w:val="nil"/>
                  </w:tcBorders>
                  <w:vAlign w:val="center"/>
                </w:tcPr>
                <w:p w14:paraId="5675DD94">
                  <w:pPr>
                    <w:pStyle w:val="57"/>
                    <w:rPr>
                      <w:color w:val="auto"/>
                    </w:rPr>
                  </w:pPr>
                </w:p>
              </w:tc>
              <w:tc>
                <w:tcPr>
                  <w:tcW w:w="219" w:type="pct"/>
                  <w:vMerge w:val="continue"/>
                  <w:tcBorders>
                    <w:tl2br w:val="nil"/>
                    <w:tr2bl w:val="nil"/>
                  </w:tcBorders>
                  <w:vAlign w:val="center"/>
                </w:tcPr>
                <w:p w14:paraId="26C74D29">
                  <w:pPr>
                    <w:pStyle w:val="57"/>
                    <w:rPr>
                      <w:color w:val="auto"/>
                    </w:rPr>
                  </w:pPr>
                </w:p>
              </w:tc>
              <w:tc>
                <w:tcPr>
                  <w:tcW w:w="667" w:type="pct"/>
                  <w:tcBorders>
                    <w:tl2br w:val="nil"/>
                    <w:tr2bl w:val="nil"/>
                  </w:tcBorders>
                  <w:vAlign w:val="center"/>
                </w:tcPr>
                <w:p w14:paraId="3BDDD000">
                  <w:pPr>
                    <w:pStyle w:val="57"/>
                    <w:rPr>
                      <w:color w:val="auto"/>
                    </w:rPr>
                  </w:pPr>
                  <w:r>
                    <w:rPr>
                      <w:rFonts w:hint="eastAsia"/>
                      <w:color w:val="auto"/>
                    </w:rPr>
                    <w:t>破碎机</w:t>
                  </w:r>
                </w:p>
              </w:tc>
              <w:tc>
                <w:tcPr>
                  <w:tcW w:w="143" w:type="pct"/>
                  <w:tcBorders>
                    <w:tl2br w:val="nil"/>
                    <w:tr2bl w:val="nil"/>
                  </w:tcBorders>
                  <w:vAlign w:val="center"/>
                </w:tcPr>
                <w:p w14:paraId="173881F4">
                  <w:pPr>
                    <w:pStyle w:val="57"/>
                    <w:rPr>
                      <w:color w:val="auto"/>
                    </w:rPr>
                  </w:pPr>
                  <w:r>
                    <w:rPr>
                      <w:color w:val="auto"/>
                    </w:rPr>
                    <w:t>/</w:t>
                  </w:r>
                </w:p>
              </w:tc>
              <w:tc>
                <w:tcPr>
                  <w:tcW w:w="717" w:type="pct"/>
                  <w:tcBorders>
                    <w:tl2br w:val="nil"/>
                    <w:tr2bl w:val="nil"/>
                  </w:tcBorders>
                  <w:vAlign w:val="center"/>
                </w:tcPr>
                <w:p w14:paraId="44E62C7B">
                  <w:pPr>
                    <w:pStyle w:val="57"/>
                    <w:rPr>
                      <w:rFonts w:hint="eastAsia"/>
                      <w:color w:val="auto"/>
                    </w:rPr>
                  </w:pPr>
                  <w:r>
                    <w:rPr>
                      <w:rFonts w:hint="eastAsia"/>
                      <w:color w:val="auto"/>
                    </w:rPr>
                    <w:t>90</w:t>
                  </w:r>
                  <w:r>
                    <w:rPr>
                      <w:color w:val="auto"/>
                    </w:rPr>
                    <w:t>/1</w:t>
                  </w:r>
                </w:p>
              </w:tc>
              <w:tc>
                <w:tcPr>
                  <w:tcW w:w="346" w:type="pct"/>
                  <w:vMerge w:val="continue"/>
                  <w:tcBorders>
                    <w:tl2br w:val="nil"/>
                    <w:tr2bl w:val="nil"/>
                  </w:tcBorders>
                  <w:vAlign w:val="center"/>
                </w:tcPr>
                <w:p w14:paraId="43A60AEB">
                  <w:pPr>
                    <w:pStyle w:val="57"/>
                    <w:rPr>
                      <w:color w:val="auto"/>
                    </w:rPr>
                  </w:pPr>
                </w:p>
              </w:tc>
              <w:tc>
                <w:tcPr>
                  <w:tcW w:w="228" w:type="pct"/>
                  <w:tcBorders>
                    <w:tl2br w:val="nil"/>
                    <w:tr2bl w:val="nil"/>
                  </w:tcBorders>
                  <w:vAlign w:val="center"/>
                </w:tcPr>
                <w:p w14:paraId="400FF108">
                  <w:pPr>
                    <w:pStyle w:val="57"/>
                    <w:rPr>
                      <w:color w:val="auto"/>
                    </w:rPr>
                  </w:pPr>
                  <w:r>
                    <w:rPr>
                      <w:rFonts w:hint="eastAsia"/>
                      <w:color w:val="auto"/>
                    </w:rPr>
                    <w:t>23</w:t>
                  </w:r>
                </w:p>
              </w:tc>
              <w:tc>
                <w:tcPr>
                  <w:tcW w:w="254" w:type="pct"/>
                  <w:tcBorders>
                    <w:tl2br w:val="nil"/>
                    <w:tr2bl w:val="nil"/>
                  </w:tcBorders>
                  <w:vAlign w:val="center"/>
                </w:tcPr>
                <w:p w14:paraId="71988ED8">
                  <w:pPr>
                    <w:pStyle w:val="57"/>
                    <w:rPr>
                      <w:color w:val="auto"/>
                    </w:rPr>
                  </w:pPr>
                  <w:r>
                    <w:rPr>
                      <w:rFonts w:hint="eastAsia"/>
                      <w:color w:val="auto"/>
                    </w:rPr>
                    <w:t>30</w:t>
                  </w:r>
                </w:p>
              </w:tc>
              <w:tc>
                <w:tcPr>
                  <w:tcW w:w="224" w:type="pct"/>
                  <w:tcBorders>
                    <w:tl2br w:val="nil"/>
                    <w:tr2bl w:val="nil"/>
                  </w:tcBorders>
                  <w:vAlign w:val="center"/>
                </w:tcPr>
                <w:p w14:paraId="73E87C68">
                  <w:pPr>
                    <w:pStyle w:val="57"/>
                    <w:rPr>
                      <w:color w:val="auto"/>
                    </w:rPr>
                  </w:pPr>
                  <w:r>
                    <w:rPr>
                      <w:rFonts w:hint="eastAsia"/>
                      <w:color w:val="auto"/>
                    </w:rPr>
                    <w:t>1.2</w:t>
                  </w:r>
                </w:p>
              </w:tc>
              <w:tc>
                <w:tcPr>
                  <w:tcW w:w="288" w:type="pct"/>
                  <w:tcBorders>
                    <w:tl2br w:val="nil"/>
                    <w:tr2bl w:val="nil"/>
                  </w:tcBorders>
                  <w:vAlign w:val="center"/>
                </w:tcPr>
                <w:p w14:paraId="41097F43">
                  <w:pPr>
                    <w:pStyle w:val="57"/>
                    <w:rPr>
                      <w:color w:val="auto"/>
                    </w:rPr>
                  </w:pPr>
                  <w:r>
                    <w:rPr>
                      <w:rFonts w:hint="eastAsia"/>
                      <w:color w:val="auto"/>
                    </w:rPr>
                    <w:t>12</w:t>
                  </w:r>
                </w:p>
              </w:tc>
              <w:tc>
                <w:tcPr>
                  <w:tcW w:w="378" w:type="pct"/>
                  <w:tcBorders>
                    <w:tl2br w:val="nil"/>
                    <w:tr2bl w:val="nil"/>
                  </w:tcBorders>
                  <w:vAlign w:val="center"/>
                </w:tcPr>
                <w:p w14:paraId="221F95A4">
                  <w:pPr>
                    <w:pStyle w:val="57"/>
                    <w:rPr>
                      <w:color w:val="auto"/>
                    </w:rPr>
                  </w:pPr>
                  <w:r>
                    <w:rPr>
                      <w:rFonts w:hint="eastAsia"/>
                      <w:color w:val="auto"/>
                    </w:rPr>
                    <w:t>80</w:t>
                  </w:r>
                </w:p>
              </w:tc>
              <w:tc>
                <w:tcPr>
                  <w:tcW w:w="280" w:type="pct"/>
                  <w:vMerge w:val="continue"/>
                  <w:tcBorders>
                    <w:tl2br w:val="nil"/>
                    <w:tr2bl w:val="nil"/>
                  </w:tcBorders>
                  <w:vAlign w:val="center"/>
                </w:tcPr>
                <w:p w14:paraId="598C286C">
                  <w:pPr>
                    <w:pStyle w:val="57"/>
                    <w:rPr>
                      <w:color w:val="auto"/>
                    </w:rPr>
                  </w:pPr>
                </w:p>
              </w:tc>
              <w:tc>
                <w:tcPr>
                  <w:tcW w:w="365" w:type="pct"/>
                  <w:tcBorders>
                    <w:tl2br w:val="nil"/>
                    <w:tr2bl w:val="nil"/>
                  </w:tcBorders>
                  <w:vAlign w:val="center"/>
                </w:tcPr>
                <w:p w14:paraId="436F8CA3">
                  <w:pPr>
                    <w:pStyle w:val="57"/>
                    <w:rPr>
                      <w:rFonts w:hint="eastAsia"/>
                      <w:color w:val="auto"/>
                    </w:rPr>
                  </w:pPr>
                  <w:r>
                    <w:rPr>
                      <w:rFonts w:hint="eastAsia"/>
                      <w:color w:val="auto"/>
                    </w:rPr>
                    <w:t>10</w:t>
                  </w:r>
                </w:p>
              </w:tc>
              <w:tc>
                <w:tcPr>
                  <w:tcW w:w="392" w:type="pct"/>
                  <w:tcBorders>
                    <w:tl2br w:val="nil"/>
                    <w:tr2bl w:val="nil"/>
                  </w:tcBorders>
                  <w:vAlign w:val="center"/>
                </w:tcPr>
                <w:p w14:paraId="0271C616">
                  <w:pPr>
                    <w:pStyle w:val="57"/>
                    <w:rPr>
                      <w:color w:val="auto"/>
                    </w:rPr>
                  </w:pPr>
                  <w:r>
                    <w:rPr>
                      <w:rFonts w:hint="eastAsia"/>
                      <w:color w:val="auto"/>
                    </w:rPr>
                    <w:t>70</w:t>
                  </w:r>
                </w:p>
              </w:tc>
              <w:tc>
                <w:tcPr>
                  <w:tcW w:w="352" w:type="pct"/>
                  <w:tcBorders>
                    <w:tl2br w:val="nil"/>
                    <w:tr2bl w:val="nil"/>
                  </w:tcBorders>
                  <w:vAlign w:val="center"/>
                </w:tcPr>
                <w:p w14:paraId="1F6F6F10">
                  <w:pPr>
                    <w:pStyle w:val="57"/>
                    <w:rPr>
                      <w:color w:val="auto"/>
                    </w:rPr>
                  </w:pPr>
                  <w:r>
                    <w:rPr>
                      <w:color w:val="auto"/>
                    </w:rPr>
                    <w:t>1</w:t>
                  </w:r>
                </w:p>
              </w:tc>
            </w:tr>
          </w:tbl>
          <w:p w14:paraId="14CD8374">
            <w:pPr>
              <w:widowControl/>
              <w:ind w:firstLine="0" w:firstLineChars="0"/>
              <w:jc w:val="left"/>
              <w:rPr>
                <w:b/>
                <w:bCs/>
                <w:color w:val="auto"/>
              </w:rPr>
            </w:pPr>
            <w:r>
              <w:rPr>
                <w:rFonts w:hint="eastAsia" w:ascii="宋体" w:hAnsi="宋体" w:cs="宋体"/>
                <w:b/>
                <w:bCs/>
                <w:color w:val="auto"/>
                <w:kern w:val="0"/>
                <w:sz w:val="18"/>
                <w:szCs w:val="18"/>
              </w:rPr>
              <w:t>注：以厂区西南角为坐标原点（</w:t>
            </w:r>
            <w:r>
              <w:rPr>
                <w:b/>
                <w:bCs/>
                <w:color w:val="auto"/>
                <w:kern w:val="0"/>
                <w:sz w:val="18"/>
                <w:szCs w:val="18"/>
              </w:rPr>
              <w:t>0</w:t>
            </w:r>
            <w:r>
              <w:rPr>
                <w:rFonts w:hint="eastAsia" w:ascii="宋体" w:hAnsi="宋体" w:cs="宋体"/>
                <w:b/>
                <w:bCs/>
                <w:color w:val="auto"/>
                <w:kern w:val="0"/>
                <w:sz w:val="18"/>
                <w:szCs w:val="18"/>
              </w:rPr>
              <w:t>，</w:t>
            </w:r>
            <w:r>
              <w:rPr>
                <w:b/>
                <w:bCs/>
                <w:color w:val="auto"/>
                <w:kern w:val="0"/>
                <w:sz w:val="18"/>
                <w:szCs w:val="18"/>
              </w:rPr>
              <w:t>0</w:t>
            </w:r>
            <w:r>
              <w:rPr>
                <w:rFonts w:hint="eastAsia" w:ascii="宋体" w:hAnsi="宋体" w:cs="宋体"/>
                <w:b/>
                <w:bCs/>
                <w:color w:val="auto"/>
                <w:kern w:val="0"/>
                <w:sz w:val="18"/>
                <w:szCs w:val="18"/>
              </w:rPr>
              <w:t>），</w:t>
            </w:r>
            <w:r>
              <w:rPr>
                <w:b/>
                <w:bCs/>
                <w:color w:val="auto"/>
                <w:kern w:val="0"/>
                <w:sz w:val="18"/>
                <w:szCs w:val="18"/>
              </w:rPr>
              <w:t>x</w:t>
            </w:r>
            <w:r>
              <w:rPr>
                <w:rFonts w:hint="eastAsia" w:ascii="宋体" w:hAnsi="宋体" w:cs="宋体"/>
                <w:b/>
                <w:bCs/>
                <w:color w:val="auto"/>
                <w:kern w:val="0"/>
                <w:sz w:val="18"/>
                <w:szCs w:val="18"/>
              </w:rPr>
              <w:t>轴正方向为南厂界延长线方向，</w:t>
            </w:r>
            <w:r>
              <w:rPr>
                <w:b/>
                <w:bCs/>
                <w:color w:val="auto"/>
                <w:kern w:val="0"/>
                <w:sz w:val="18"/>
                <w:szCs w:val="18"/>
              </w:rPr>
              <w:t>y</w:t>
            </w:r>
            <w:r>
              <w:rPr>
                <w:rFonts w:hint="eastAsia" w:ascii="宋体" w:hAnsi="宋体" w:cs="宋体"/>
                <w:b/>
                <w:bCs/>
                <w:color w:val="auto"/>
                <w:kern w:val="0"/>
                <w:sz w:val="18"/>
                <w:szCs w:val="18"/>
              </w:rPr>
              <w:t>轴正方向为西厂界延长线方向。</w:t>
            </w:r>
          </w:p>
          <w:p w14:paraId="4D476272">
            <w:pPr>
              <w:pStyle w:val="58"/>
              <w:ind w:firstLine="422"/>
              <w:rPr>
                <w:color w:val="auto"/>
              </w:rPr>
            </w:pPr>
            <w:r>
              <w:rPr>
                <w:color w:val="auto"/>
              </w:rPr>
              <w:t>表</w:t>
            </w:r>
            <w:r>
              <w:rPr>
                <w:rFonts w:hint="eastAsia"/>
                <w:color w:val="auto"/>
              </w:rPr>
              <w:t>4-1</w:t>
            </w:r>
            <w:r>
              <w:rPr>
                <w:rFonts w:hint="eastAsia"/>
                <w:color w:val="auto"/>
                <w:lang w:val="en-US" w:eastAsia="zh-CN"/>
              </w:rPr>
              <w:t>4</w:t>
            </w:r>
            <w:r>
              <w:rPr>
                <w:color w:val="auto"/>
              </w:rPr>
              <w:t>工业企业噪声源强调查清单（室外声源）</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65"/>
              <w:gridCol w:w="622"/>
              <w:gridCol w:w="582"/>
              <w:gridCol w:w="528"/>
              <w:gridCol w:w="697"/>
              <w:gridCol w:w="1812"/>
              <w:gridCol w:w="1420"/>
              <w:gridCol w:w="1088"/>
            </w:tblGrid>
            <w:tr w14:paraId="73CC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90" w:type="pct"/>
                  <w:vMerge w:val="restart"/>
                  <w:tcBorders>
                    <w:tl2br w:val="nil"/>
                    <w:tr2bl w:val="nil"/>
                  </w:tcBorders>
                  <w:vAlign w:val="center"/>
                </w:tcPr>
                <w:p w14:paraId="09D57A8B">
                  <w:pPr>
                    <w:pStyle w:val="57"/>
                    <w:rPr>
                      <w:b/>
                      <w:bCs w:val="0"/>
                      <w:color w:val="auto"/>
                    </w:rPr>
                  </w:pPr>
                  <w:bookmarkStart w:id="4" w:name="PT_5"/>
                  <w:r>
                    <w:rPr>
                      <w:b/>
                      <w:bCs w:val="0"/>
                      <w:color w:val="auto"/>
                    </w:rPr>
                    <w:t>序号</w:t>
                  </w:r>
                </w:p>
              </w:tc>
              <w:tc>
                <w:tcPr>
                  <w:tcW w:w="641" w:type="pct"/>
                  <w:vMerge w:val="restart"/>
                  <w:tcBorders>
                    <w:tl2br w:val="nil"/>
                    <w:tr2bl w:val="nil"/>
                  </w:tcBorders>
                  <w:vAlign w:val="center"/>
                </w:tcPr>
                <w:p w14:paraId="77B55519">
                  <w:pPr>
                    <w:pStyle w:val="57"/>
                    <w:rPr>
                      <w:b/>
                      <w:bCs w:val="0"/>
                      <w:color w:val="auto"/>
                    </w:rPr>
                  </w:pPr>
                  <w:r>
                    <w:rPr>
                      <w:b/>
                      <w:bCs w:val="0"/>
                      <w:color w:val="auto"/>
                    </w:rPr>
                    <w:t>声源名称</w:t>
                  </w:r>
                </w:p>
              </w:tc>
              <w:tc>
                <w:tcPr>
                  <w:tcW w:w="375" w:type="pct"/>
                  <w:vMerge w:val="restart"/>
                  <w:tcBorders>
                    <w:tl2br w:val="nil"/>
                    <w:tr2bl w:val="nil"/>
                  </w:tcBorders>
                  <w:vAlign w:val="center"/>
                </w:tcPr>
                <w:p w14:paraId="7F95369B">
                  <w:pPr>
                    <w:pStyle w:val="57"/>
                    <w:rPr>
                      <w:b/>
                      <w:bCs w:val="0"/>
                      <w:color w:val="auto"/>
                    </w:rPr>
                  </w:pPr>
                  <w:r>
                    <w:rPr>
                      <w:b/>
                      <w:bCs w:val="0"/>
                      <w:color w:val="auto"/>
                    </w:rPr>
                    <w:t>型号</w:t>
                  </w:r>
                </w:p>
              </w:tc>
              <w:tc>
                <w:tcPr>
                  <w:tcW w:w="1089" w:type="pct"/>
                  <w:gridSpan w:val="3"/>
                  <w:tcBorders>
                    <w:tl2br w:val="nil"/>
                    <w:tr2bl w:val="nil"/>
                  </w:tcBorders>
                  <w:vAlign w:val="center"/>
                </w:tcPr>
                <w:p w14:paraId="1258D333">
                  <w:pPr>
                    <w:pStyle w:val="57"/>
                    <w:rPr>
                      <w:b/>
                      <w:bCs w:val="0"/>
                      <w:color w:val="auto"/>
                    </w:rPr>
                  </w:pPr>
                  <w:r>
                    <w:rPr>
                      <w:b/>
                      <w:bCs w:val="0"/>
                      <w:color w:val="auto"/>
                    </w:rPr>
                    <w:t>空间相对位置/m</w:t>
                  </w:r>
                </w:p>
              </w:tc>
              <w:tc>
                <w:tcPr>
                  <w:tcW w:w="1091" w:type="pct"/>
                  <w:tcBorders>
                    <w:tl2br w:val="nil"/>
                    <w:tr2bl w:val="nil"/>
                  </w:tcBorders>
                  <w:vAlign w:val="center"/>
                </w:tcPr>
                <w:p w14:paraId="404F3499">
                  <w:pPr>
                    <w:pStyle w:val="57"/>
                    <w:rPr>
                      <w:b/>
                      <w:bCs w:val="0"/>
                      <w:color w:val="auto"/>
                    </w:rPr>
                  </w:pPr>
                  <w:r>
                    <w:rPr>
                      <w:b/>
                      <w:bCs w:val="0"/>
                      <w:color w:val="auto"/>
                    </w:rPr>
                    <w:t>声源源强</w:t>
                  </w:r>
                </w:p>
              </w:tc>
              <w:tc>
                <w:tcPr>
                  <w:tcW w:w="855" w:type="pct"/>
                  <w:vMerge w:val="restart"/>
                  <w:tcBorders>
                    <w:tl2br w:val="nil"/>
                    <w:tr2bl w:val="nil"/>
                  </w:tcBorders>
                  <w:vAlign w:val="center"/>
                </w:tcPr>
                <w:p w14:paraId="5249985E">
                  <w:pPr>
                    <w:pStyle w:val="57"/>
                    <w:rPr>
                      <w:b/>
                      <w:bCs w:val="0"/>
                      <w:color w:val="auto"/>
                    </w:rPr>
                  </w:pPr>
                  <w:r>
                    <w:rPr>
                      <w:b/>
                      <w:bCs w:val="0"/>
                      <w:color w:val="auto"/>
                    </w:rPr>
                    <w:t>声源控制措施</w:t>
                  </w:r>
                </w:p>
              </w:tc>
              <w:tc>
                <w:tcPr>
                  <w:tcW w:w="656" w:type="pct"/>
                  <w:vMerge w:val="restart"/>
                  <w:tcBorders>
                    <w:tl2br w:val="nil"/>
                    <w:tr2bl w:val="nil"/>
                  </w:tcBorders>
                  <w:vAlign w:val="center"/>
                </w:tcPr>
                <w:p w14:paraId="5178BFD7">
                  <w:pPr>
                    <w:pStyle w:val="57"/>
                    <w:rPr>
                      <w:b/>
                      <w:bCs w:val="0"/>
                      <w:color w:val="auto"/>
                    </w:rPr>
                  </w:pPr>
                  <w:r>
                    <w:rPr>
                      <w:b/>
                      <w:bCs w:val="0"/>
                      <w:color w:val="auto"/>
                    </w:rPr>
                    <w:t>运行时段</w:t>
                  </w:r>
                </w:p>
              </w:tc>
            </w:tr>
            <w:tr w14:paraId="297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 w:type="pct"/>
                  <w:vMerge w:val="continue"/>
                  <w:tcBorders>
                    <w:tl2br w:val="nil"/>
                    <w:tr2bl w:val="nil"/>
                  </w:tcBorders>
                  <w:shd w:val="clear" w:color="auto" w:fill="FFFFFF"/>
                  <w:vAlign w:val="center"/>
                </w:tcPr>
                <w:p w14:paraId="2FFBC67B">
                  <w:pPr>
                    <w:pStyle w:val="57"/>
                    <w:rPr>
                      <w:color w:val="auto"/>
                    </w:rPr>
                  </w:pPr>
                </w:p>
              </w:tc>
              <w:tc>
                <w:tcPr>
                  <w:tcW w:w="641" w:type="pct"/>
                  <w:vMerge w:val="continue"/>
                  <w:tcBorders>
                    <w:tl2br w:val="nil"/>
                    <w:tr2bl w:val="nil"/>
                  </w:tcBorders>
                  <w:shd w:val="clear" w:color="auto" w:fill="FFFFFF"/>
                  <w:vAlign w:val="center"/>
                </w:tcPr>
                <w:p w14:paraId="141D1DE5">
                  <w:pPr>
                    <w:pStyle w:val="57"/>
                    <w:rPr>
                      <w:color w:val="auto"/>
                    </w:rPr>
                  </w:pPr>
                </w:p>
              </w:tc>
              <w:tc>
                <w:tcPr>
                  <w:tcW w:w="375" w:type="pct"/>
                  <w:vMerge w:val="continue"/>
                  <w:tcBorders>
                    <w:tl2br w:val="nil"/>
                    <w:tr2bl w:val="nil"/>
                  </w:tcBorders>
                  <w:shd w:val="clear" w:color="auto" w:fill="FFFFFF"/>
                  <w:vAlign w:val="center"/>
                </w:tcPr>
                <w:p w14:paraId="30BC78E1">
                  <w:pPr>
                    <w:pStyle w:val="57"/>
                    <w:rPr>
                      <w:color w:val="auto"/>
                    </w:rPr>
                  </w:pPr>
                </w:p>
              </w:tc>
              <w:tc>
                <w:tcPr>
                  <w:tcW w:w="351" w:type="pct"/>
                  <w:tcBorders>
                    <w:tl2br w:val="nil"/>
                    <w:tr2bl w:val="nil"/>
                  </w:tcBorders>
                  <w:shd w:val="clear" w:color="auto" w:fill="FFFFFF"/>
                  <w:vAlign w:val="center"/>
                </w:tcPr>
                <w:p w14:paraId="1338CE12">
                  <w:pPr>
                    <w:pStyle w:val="57"/>
                    <w:rPr>
                      <w:b/>
                      <w:bCs w:val="0"/>
                      <w:color w:val="auto"/>
                    </w:rPr>
                  </w:pPr>
                  <w:r>
                    <w:rPr>
                      <w:b/>
                      <w:bCs w:val="0"/>
                      <w:color w:val="auto"/>
                    </w:rPr>
                    <w:t>X</w:t>
                  </w:r>
                </w:p>
              </w:tc>
              <w:tc>
                <w:tcPr>
                  <w:tcW w:w="318" w:type="pct"/>
                  <w:tcBorders>
                    <w:tl2br w:val="nil"/>
                    <w:tr2bl w:val="nil"/>
                  </w:tcBorders>
                  <w:shd w:val="clear" w:color="auto" w:fill="FFFFFF"/>
                  <w:vAlign w:val="center"/>
                </w:tcPr>
                <w:p w14:paraId="1121A5D9">
                  <w:pPr>
                    <w:pStyle w:val="57"/>
                    <w:rPr>
                      <w:b/>
                      <w:bCs w:val="0"/>
                      <w:color w:val="auto"/>
                    </w:rPr>
                  </w:pPr>
                  <w:r>
                    <w:rPr>
                      <w:b/>
                      <w:bCs w:val="0"/>
                      <w:color w:val="auto"/>
                    </w:rPr>
                    <w:t>Y</w:t>
                  </w:r>
                </w:p>
              </w:tc>
              <w:tc>
                <w:tcPr>
                  <w:tcW w:w="420" w:type="pct"/>
                  <w:tcBorders>
                    <w:tl2br w:val="nil"/>
                    <w:tr2bl w:val="nil"/>
                  </w:tcBorders>
                  <w:shd w:val="clear" w:color="auto" w:fill="FFFFFF"/>
                  <w:vAlign w:val="center"/>
                </w:tcPr>
                <w:p w14:paraId="4A489EC0">
                  <w:pPr>
                    <w:pStyle w:val="57"/>
                    <w:rPr>
                      <w:b/>
                      <w:bCs w:val="0"/>
                      <w:color w:val="auto"/>
                    </w:rPr>
                  </w:pPr>
                  <w:r>
                    <w:rPr>
                      <w:b/>
                      <w:bCs w:val="0"/>
                      <w:color w:val="auto"/>
                    </w:rPr>
                    <w:t>Z</w:t>
                  </w:r>
                </w:p>
              </w:tc>
              <w:tc>
                <w:tcPr>
                  <w:tcW w:w="1091" w:type="pct"/>
                  <w:tcBorders>
                    <w:tl2br w:val="nil"/>
                    <w:tr2bl w:val="nil"/>
                  </w:tcBorders>
                  <w:shd w:val="clear" w:color="auto" w:fill="FFFFFF"/>
                  <w:vAlign w:val="center"/>
                </w:tcPr>
                <w:p w14:paraId="2332BCC6">
                  <w:pPr>
                    <w:pStyle w:val="57"/>
                    <w:rPr>
                      <w:b/>
                      <w:bCs w:val="0"/>
                      <w:color w:val="auto"/>
                    </w:rPr>
                  </w:pPr>
                  <w:r>
                    <w:rPr>
                      <w:b/>
                      <w:bCs w:val="0"/>
                      <w:color w:val="auto"/>
                    </w:rPr>
                    <w:t>（声压级/距声源距离）/（dB(A)/m）</w:t>
                  </w:r>
                </w:p>
              </w:tc>
              <w:tc>
                <w:tcPr>
                  <w:tcW w:w="855" w:type="pct"/>
                  <w:vMerge w:val="continue"/>
                  <w:tcBorders>
                    <w:tl2br w:val="nil"/>
                    <w:tr2bl w:val="nil"/>
                  </w:tcBorders>
                  <w:shd w:val="clear" w:color="auto" w:fill="FFFFFF"/>
                  <w:vAlign w:val="center"/>
                </w:tcPr>
                <w:p w14:paraId="41D853B8">
                  <w:pPr>
                    <w:pStyle w:val="57"/>
                    <w:rPr>
                      <w:color w:val="auto"/>
                    </w:rPr>
                  </w:pPr>
                </w:p>
              </w:tc>
              <w:tc>
                <w:tcPr>
                  <w:tcW w:w="656" w:type="pct"/>
                  <w:vMerge w:val="continue"/>
                  <w:tcBorders>
                    <w:tl2br w:val="nil"/>
                    <w:tr2bl w:val="nil"/>
                  </w:tcBorders>
                  <w:shd w:val="clear" w:color="auto" w:fill="FFFFFF"/>
                  <w:vAlign w:val="center"/>
                </w:tcPr>
                <w:p w14:paraId="73A59871">
                  <w:pPr>
                    <w:pStyle w:val="57"/>
                    <w:rPr>
                      <w:color w:val="auto"/>
                    </w:rPr>
                  </w:pPr>
                </w:p>
              </w:tc>
            </w:tr>
            <w:tr w14:paraId="049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0" w:type="pct"/>
                  <w:tcBorders>
                    <w:tl2br w:val="nil"/>
                    <w:tr2bl w:val="nil"/>
                  </w:tcBorders>
                  <w:shd w:val="clear" w:color="auto" w:fill="FFFFFF"/>
                  <w:vAlign w:val="center"/>
                </w:tcPr>
                <w:p w14:paraId="3A67B158">
                  <w:pPr>
                    <w:pStyle w:val="57"/>
                    <w:rPr>
                      <w:color w:val="auto"/>
                    </w:rPr>
                  </w:pPr>
                  <w:r>
                    <w:rPr>
                      <w:color w:val="auto"/>
                    </w:rPr>
                    <w:t>1</w:t>
                  </w:r>
                </w:p>
              </w:tc>
              <w:tc>
                <w:tcPr>
                  <w:tcW w:w="641" w:type="pct"/>
                  <w:tcBorders>
                    <w:tl2br w:val="nil"/>
                    <w:tr2bl w:val="nil"/>
                  </w:tcBorders>
                  <w:shd w:val="clear" w:color="auto" w:fill="FFFFFF"/>
                  <w:vAlign w:val="center"/>
                </w:tcPr>
                <w:p w14:paraId="0C741D6C">
                  <w:pPr>
                    <w:pStyle w:val="57"/>
                    <w:rPr>
                      <w:color w:val="auto"/>
                    </w:rPr>
                  </w:pPr>
                  <w:r>
                    <w:rPr>
                      <w:rFonts w:hint="eastAsia"/>
                      <w:color w:val="auto"/>
                    </w:rPr>
                    <w:t>风机</w:t>
                  </w:r>
                </w:p>
              </w:tc>
              <w:tc>
                <w:tcPr>
                  <w:tcW w:w="375" w:type="pct"/>
                  <w:tcBorders>
                    <w:tl2br w:val="nil"/>
                    <w:tr2bl w:val="nil"/>
                  </w:tcBorders>
                  <w:shd w:val="clear" w:color="auto" w:fill="FFFFFF"/>
                  <w:vAlign w:val="center"/>
                </w:tcPr>
                <w:p w14:paraId="629C18E6">
                  <w:pPr>
                    <w:pStyle w:val="57"/>
                    <w:rPr>
                      <w:rFonts w:hint="eastAsia"/>
                      <w:color w:val="auto"/>
                    </w:rPr>
                  </w:pPr>
                  <w:r>
                    <w:rPr>
                      <w:rFonts w:hint="eastAsia"/>
                      <w:color w:val="auto"/>
                    </w:rPr>
                    <w:t>/</w:t>
                  </w:r>
                </w:p>
              </w:tc>
              <w:tc>
                <w:tcPr>
                  <w:tcW w:w="351" w:type="pct"/>
                  <w:tcBorders>
                    <w:tl2br w:val="nil"/>
                    <w:tr2bl w:val="nil"/>
                  </w:tcBorders>
                  <w:shd w:val="clear" w:color="auto" w:fill="FFFFFF"/>
                  <w:vAlign w:val="center"/>
                </w:tcPr>
                <w:p w14:paraId="16F6BC3A">
                  <w:pPr>
                    <w:pStyle w:val="57"/>
                    <w:rPr>
                      <w:color w:val="auto"/>
                    </w:rPr>
                  </w:pPr>
                  <w:r>
                    <w:rPr>
                      <w:rFonts w:hint="eastAsia"/>
                      <w:color w:val="auto"/>
                    </w:rPr>
                    <w:t>33</w:t>
                  </w:r>
                </w:p>
              </w:tc>
              <w:tc>
                <w:tcPr>
                  <w:tcW w:w="318" w:type="pct"/>
                  <w:tcBorders>
                    <w:tl2br w:val="nil"/>
                    <w:tr2bl w:val="nil"/>
                  </w:tcBorders>
                  <w:shd w:val="clear" w:color="auto" w:fill="FFFFFF"/>
                  <w:vAlign w:val="center"/>
                </w:tcPr>
                <w:p w14:paraId="37C1CE43">
                  <w:pPr>
                    <w:pStyle w:val="57"/>
                    <w:rPr>
                      <w:color w:val="auto"/>
                    </w:rPr>
                  </w:pPr>
                  <w:r>
                    <w:rPr>
                      <w:rFonts w:hint="eastAsia"/>
                      <w:color w:val="auto"/>
                    </w:rPr>
                    <w:t>54</w:t>
                  </w:r>
                </w:p>
              </w:tc>
              <w:tc>
                <w:tcPr>
                  <w:tcW w:w="420" w:type="pct"/>
                  <w:tcBorders>
                    <w:tl2br w:val="nil"/>
                    <w:tr2bl w:val="nil"/>
                  </w:tcBorders>
                  <w:shd w:val="clear" w:color="auto" w:fill="FFFFFF"/>
                  <w:vAlign w:val="center"/>
                </w:tcPr>
                <w:p w14:paraId="5442D1D2">
                  <w:pPr>
                    <w:pStyle w:val="57"/>
                    <w:rPr>
                      <w:color w:val="auto"/>
                    </w:rPr>
                  </w:pPr>
                  <w:r>
                    <w:rPr>
                      <w:rFonts w:hint="eastAsia"/>
                      <w:color w:val="auto"/>
                    </w:rPr>
                    <w:t>1.5</w:t>
                  </w:r>
                </w:p>
              </w:tc>
              <w:tc>
                <w:tcPr>
                  <w:tcW w:w="1091" w:type="pct"/>
                  <w:tcBorders>
                    <w:tl2br w:val="nil"/>
                    <w:tr2bl w:val="nil"/>
                  </w:tcBorders>
                  <w:shd w:val="clear" w:color="auto" w:fill="FFFFFF"/>
                  <w:vAlign w:val="center"/>
                </w:tcPr>
                <w:p w14:paraId="5BFA0DA5">
                  <w:pPr>
                    <w:pStyle w:val="57"/>
                    <w:rPr>
                      <w:color w:val="auto"/>
                    </w:rPr>
                  </w:pPr>
                  <w:r>
                    <w:rPr>
                      <w:rFonts w:hint="eastAsia"/>
                      <w:color w:val="auto"/>
                    </w:rPr>
                    <w:t>85/1</w:t>
                  </w:r>
                </w:p>
              </w:tc>
              <w:tc>
                <w:tcPr>
                  <w:tcW w:w="855" w:type="pct"/>
                  <w:tcBorders>
                    <w:tl2br w:val="nil"/>
                    <w:tr2bl w:val="nil"/>
                  </w:tcBorders>
                  <w:shd w:val="clear" w:color="auto" w:fill="FFFFFF"/>
                  <w:vAlign w:val="center"/>
                </w:tcPr>
                <w:p w14:paraId="054312E5">
                  <w:pPr>
                    <w:pStyle w:val="57"/>
                    <w:rPr>
                      <w:color w:val="auto"/>
                    </w:rPr>
                  </w:pPr>
                  <w:r>
                    <w:rPr>
                      <w:color w:val="auto"/>
                    </w:rPr>
                    <w:t>减振、局部隔声</w:t>
                  </w:r>
                </w:p>
              </w:tc>
              <w:tc>
                <w:tcPr>
                  <w:tcW w:w="656" w:type="pct"/>
                  <w:tcBorders>
                    <w:tl2br w:val="nil"/>
                    <w:tr2bl w:val="nil"/>
                  </w:tcBorders>
                  <w:shd w:val="clear" w:color="auto" w:fill="FFFFFF"/>
                  <w:vAlign w:val="center"/>
                </w:tcPr>
                <w:p w14:paraId="3BB5672A">
                  <w:pPr>
                    <w:pStyle w:val="57"/>
                    <w:rPr>
                      <w:color w:val="auto"/>
                    </w:rPr>
                  </w:pPr>
                  <w:r>
                    <w:rPr>
                      <w:rFonts w:hint="eastAsia"/>
                      <w:color w:val="auto"/>
                    </w:rPr>
                    <w:t>昼间连续运行</w:t>
                  </w:r>
                </w:p>
              </w:tc>
            </w:tr>
            <w:bookmarkEnd w:id="4"/>
          </w:tbl>
          <w:p w14:paraId="072796F7">
            <w:pPr>
              <w:pStyle w:val="58"/>
              <w:ind w:firstLine="0" w:firstLineChars="0"/>
              <w:jc w:val="both"/>
              <w:rPr>
                <w:color w:val="auto"/>
              </w:rPr>
            </w:pPr>
            <w:r>
              <w:rPr>
                <w:rFonts w:hint="eastAsia" w:ascii="宋体" w:hAnsi="宋体" w:cs="宋体"/>
                <w:color w:val="auto"/>
                <w:kern w:val="0"/>
                <w:sz w:val="18"/>
                <w:szCs w:val="18"/>
              </w:rPr>
              <w:t>注：以厂区西南角为坐标原点（</w:t>
            </w:r>
            <w:r>
              <w:rPr>
                <w:color w:val="auto"/>
                <w:kern w:val="0"/>
                <w:sz w:val="18"/>
                <w:szCs w:val="18"/>
              </w:rPr>
              <w:t>0</w:t>
            </w:r>
            <w:r>
              <w:rPr>
                <w:rFonts w:hint="eastAsia" w:ascii="宋体" w:hAnsi="宋体" w:cs="宋体"/>
                <w:color w:val="auto"/>
                <w:kern w:val="0"/>
                <w:sz w:val="18"/>
                <w:szCs w:val="18"/>
              </w:rPr>
              <w:t>，</w:t>
            </w:r>
            <w:r>
              <w:rPr>
                <w:color w:val="auto"/>
                <w:kern w:val="0"/>
                <w:sz w:val="18"/>
                <w:szCs w:val="18"/>
              </w:rPr>
              <w:t>0</w:t>
            </w:r>
            <w:r>
              <w:rPr>
                <w:rFonts w:hint="eastAsia" w:ascii="宋体" w:hAnsi="宋体" w:cs="宋体"/>
                <w:color w:val="auto"/>
                <w:kern w:val="0"/>
                <w:sz w:val="18"/>
                <w:szCs w:val="18"/>
              </w:rPr>
              <w:t>），</w:t>
            </w:r>
            <w:r>
              <w:rPr>
                <w:color w:val="auto"/>
                <w:kern w:val="0"/>
                <w:sz w:val="18"/>
                <w:szCs w:val="18"/>
              </w:rPr>
              <w:t>x</w:t>
            </w:r>
            <w:r>
              <w:rPr>
                <w:rFonts w:hint="eastAsia" w:ascii="宋体" w:hAnsi="宋体" w:cs="宋体"/>
                <w:color w:val="auto"/>
                <w:kern w:val="0"/>
                <w:sz w:val="18"/>
                <w:szCs w:val="18"/>
              </w:rPr>
              <w:t>轴正方向为南厂界延长线方向，</w:t>
            </w:r>
            <w:r>
              <w:rPr>
                <w:color w:val="auto"/>
                <w:kern w:val="0"/>
                <w:sz w:val="18"/>
                <w:szCs w:val="18"/>
              </w:rPr>
              <w:t>y</w:t>
            </w:r>
            <w:r>
              <w:rPr>
                <w:rFonts w:hint="eastAsia" w:ascii="宋体" w:hAnsi="宋体" w:cs="宋体"/>
                <w:color w:val="auto"/>
                <w:kern w:val="0"/>
                <w:sz w:val="18"/>
                <w:szCs w:val="18"/>
              </w:rPr>
              <w:t>轴正方向为西厂界延长线方向。</w:t>
            </w:r>
          </w:p>
          <w:p w14:paraId="1BC98F55">
            <w:pPr>
              <w:ind w:firstLine="482"/>
              <w:rPr>
                <w:b/>
                <w:bCs/>
                <w:color w:val="auto"/>
              </w:rPr>
            </w:pPr>
            <w:r>
              <w:rPr>
                <w:b/>
                <w:bCs/>
                <w:color w:val="auto"/>
              </w:rPr>
              <w:t>（2）声环境影响分析</w:t>
            </w:r>
          </w:p>
          <w:p w14:paraId="1488E366">
            <w:pPr>
              <w:ind w:firstLine="480"/>
              <w:rPr>
                <w:color w:val="auto"/>
              </w:rPr>
            </w:pPr>
            <w:r>
              <w:rPr>
                <w:color w:val="auto"/>
              </w:rPr>
              <w:t>根据项目声源噪声排放特点，并结合《环境影响评价技术导则声环境》(HJ2.4-2021)的要求，可选择点声源预测模式，来模拟预测这些声源排放噪声随距离的衰减变化规律。</w:t>
            </w:r>
          </w:p>
          <w:p w14:paraId="4F80C37B">
            <w:pPr>
              <w:ind w:firstLine="480"/>
              <w:rPr>
                <w:color w:val="auto"/>
              </w:rPr>
            </w:pPr>
            <w:r>
              <w:rPr>
                <w:color w:val="auto"/>
              </w:rPr>
              <w:t>①对室外噪声源主要考虑无指向性点声源几何发散衰减：</w:t>
            </w:r>
          </w:p>
          <w:p w14:paraId="6DFDDFAC">
            <w:pPr>
              <w:spacing w:before="1" w:line="230" w:lineRule="auto"/>
              <w:ind w:left="592" w:firstLine="480"/>
              <w:jc w:val="center"/>
              <w:rPr>
                <w:color w:val="auto"/>
              </w:rPr>
            </w:pPr>
            <w:r>
              <w:rPr>
                <w:color w:val="auto"/>
              </w:rPr>
              <w:drawing>
                <wp:inline distT="0" distB="0" distL="0" distR="0">
                  <wp:extent cx="1578610" cy="457200"/>
                  <wp:effectExtent l="19050" t="0" r="2540" b="0"/>
                  <wp:docPr id="18"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0"/>
                          <pic:cNvPicPr>
                            <a:picLocks noChangeAspect="1" noChangeArrowheads="1"/>
                          </pic:cNvPicPr>
                        </pic:nvPicPr>
                        <pic:blipFill>
                          <a:blip r:embed="rId24" cstate="print">
                            <a:lum contrast="12000"/>
                          </a:blip>
                          <a:srcRect/>
                          <a:stretch>
                            <a:fillRect/>
                          </a:stretch>
                        </pic:blipFill>
                        <pic:spPr>
                          <a:xfrm>
                            <a:off x="0" y="0"/>
                            <a:ext cx="1578610" cy="457200"/>
                          </a:xfrm>
                          <a:prstGeom prst="rect">
                            <a:avLst/>
                          </a:prstGeom>
                          <a:noFill/>
                          <a:ln w="9525">
                            <a:noFill/>
                            <a:miter lim="800000"/>
                            <a:headEnd/>
                            <a:tailEnd/>
                          </a:ln>
                        </pic:spPr>
                      </pic:pic>
                    </a:graphicData>
                  </a:graphic>
                </wp:inline>
              </w:drawing>
            </w:r>
          </w:p>
          <w:p w14:paraId="0D1D0973">
            <w:pPr>
              <w:ind w:firstLine="480"/>
              <w:rPr>
                <w:color w:val="auto"/>
              </w:rPr>
            </w:pPr>
            <w:r>
              <w:rPr>
                <w:color w:val="auto"/>
              </w:rPr>
              <w:t>式中：Lp(r)—预测点处声压级，dB；</w:t>
            </w:r>
          </w:p>
          <w:p w14:paraId="1879C964">
            <w:pPr>
              <w:ind w:firstLine="1200" w:firstLineChars="500"/>
              <w:rPr>
                <w:color w:val="auto"/>
              </w:rPr>
            </w:pPr>
            <w:r>
              <w:rPr>
                <w:color w:val="auto"/>
              </w:rPr>
              <w:t>Lp(r0)—参考位置r0处的声压级，dB；</w:t>
            </w:r>
          </w:p>
          <w:p w14:paraId="74A196DC">
            <w:pPr>
              <w:ind w:firstLine="1200" w:firstLineChars="500"/>
              <w:rPr>
                <w:color w:val="auto"/>
              </w:rPr>
            </w:pPr>
            <w:r>
              <w:rPr>
                <w:color w:val="auto"/>
              </w:rPr>
              <w:t>r—预测点距声源的距离；</w:t>
            </w:r>
          </w:p>
          <w:p w14:paraId="68B85C22">
            <w:pPr>
              <w:ind w:firstLine="1200" w:firstLineChars="500"/>
              <w:rPr>
                <w:color w:val="auto"/>
              </w:rPr>
            </w:pPr>
            <w:r>
              <w:rPr>
                <w:color w:val="auto"/>
              </w:rPr>
              <w:t>r0—参考点位置距声源的距离。</w:t>
            </w:r>
          </w:p>
          <w:p w14:paraId="06B7E9EA">
            <w:pPr>
              <w:ind w:firstLine="480"/>
              <w:rPr>
                <w:color w:val="auto"/>
              </w:rPr>
            </w:pPr>
            <w:r>
              <w:rPr>
                <w:color w:val="auto"/>
              </w:rPr>
              <w:t>②对室内噪声源采用室内声源等效室外声源声功率级计算方法：</w:t>
            </w:r>
          </w:p>
          <w:p w14:paraId="41EC8185">
            <w:pPr>
              <w:ind w:firstLine="480"/>
              <w:jc w:val="center"/>
              <w:rPr>
                <w:color w:val="auto"/>
              </w:rPr>
            </w:pPr>
            <w:r>
              <w:rPr>
                <w:color w:val="auto"/>
              </w:rPr>
              <w:drawing>
                <wp:inline distT="0" distB="0" distL="0" distR="0">
                  <wp:extent cx="1776730" cy="370840"/>
                  <wp:effectExtent l="19050" t="0" r="0" b="0"/>
                  <wp:docPr id="19"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1"/>
                          <pic:cNvPicPr>
                            <a:picLocks noChangeAspect="1" noChangeArrowheads="1"/>
                          </pic:cNvPicPr>
                        </pic:nvPicPr>
                        <pic:blipFill>
                          <a:blip r:embed="rId25">
                            <a:lum contrast="12000"/>
                          </a:blip>
                          <a:srcRect/>
                          <a:stretch>
                            <a:fillRect/>
                          </a:stretch>
                        </pic:blipFill>
                        <pic:spPr>
                          <a:xfrm>
                            <a:off x="0" y="0"/>
                            <a:ext cx="1776730" cy="370840"/>
                          </a:xfrm>
                          <a:prstGeom prst="rect">
                            <a:avLst/>
                          </a:prstGeom>
                          <a:noFill/>
                          <a:ln w="9525">
                            <a:noFill/>
                            <a:miter lim="800000"/>
                            <a:headEnd/>
                            <a:tailEnd/>
                          </a:ln>
                        </pic:spPr>
                      </pic:pic>
                    </a:graphicData>
                  </a:graphic>
                </wp:inline>
              </w:drawing>
            </w:r>
          </w:p>
          <w:p w14:paraId="5AACCC64">
            <w:pPr>
              <w:ind w:firstLine="480"/>
              <w:rPr>
                <w:color w:val="auto"/>
              </w:rPr>
            </w:pPr>
            <w:r>
              <w:rPr>
                <w:color w:val="auto"/>
              </w:rPr>
              <w:t>式中：Lp1—靠近开口处(或窗户)室内某倍频带的声压级或A声级，dB；</w:t>
            </w:r>
          </w:p>
          <w:p w14:paraId="6F60F590">
            <w:pPr>
              <w:ind w:firstLine="1200" w:firstLineChars="500"/>
              <w:rPr>
                <w:color w:val="auto"/>
              </w:rPr>
            </w:pPr>
            <w:r>
              <w:rPr>
                <w:color w:val="auto"/>
              </w:rPr>
              <w:t>Lw—点声源声功率级(A计权或倍频带)，dB；</w:t>
            </w:r>
          </w:p>
          <w:p w14:paraId="53F0FF34">
            <w:pPr>
              <w:ind w:firstLine="1200" w:firstLineChars="500"/>
              <w:rPr>
                <w:color w:val="auto"/>
              </w:rPr>
            </w:pPr>
            <w:r>
              <w:rPr>
                <w:color w:val="auto"/>
              </w:rPr>
              <w:t>Q—指向性因数；通常对无指向性声源，当声源放在房间中心时，Q=1；当放在一面墙的中心时，Q=2；当放在两面墙夹角处时，Q=4；当放在三面墙夹角处时，Q=8；</w:t>
            </w:r>
          </w:p>
          <w:p w14:paraId="5A06102F">
            <w:pPr>
              <w:ind w:firstLine="1200" w:firstLineChars="500"/>
              <w:rPr>
                <w:color w:val="auto"/>
              </w:rPr>
            </w:pPr>
            <w:r>
              <w:rPr>
                <w:color w:val="auto"/>
              </w:rPr>
              <w:t>R—房间常数；R=Sα/(1-α)，S为房间内表面面积，</w:t>
            </w:r>
            <w:r>
              <w:rPr>
                <w:rFonts w:hint="eastAsia"/>
                <w:color w:val="auto"/>
              </w:rPr>
              <w:t>m</w:t>
            </w:r>
            <w:r>
              <w:rPr>
                <w:rFonts w:hint="eastAsia"/>
                <w:color w:val="auto"/>
                <w:vertAlign w:val="superscript"/>
              </w:rPr>
              <w:t>2</w:t>
            </w:r>
            <w:r>
              <w:rPr>
                <w:color w:val="auto"/>
              </w:rPr>
              <w:t>；α为平均吸声系数；</w:t>
            </w:r>
          </w:p>
          <w:p w14:paraId="479E5942">
            <w:pPr>
              <w:ind w:firstLine="1200" w:firstLineChars="500"/>
              <w:rPr>
                <w:color w:val="auto"/>
              </w:rPr>
            </w:pPr>
            <w:r>
              <w:rPr>
                <w:color w:val="auto"/>
              </w:rPr>
              <w:t>r—声源到靠近围护结构某点处的距离，m。</w:t>
            </w:r>
          </w:p>
          <w:p w14:paraId="47E52943">
            <w:pPr>
              <w:ind w:firstLine="480"/>
              <w:rPr>
                <w:color w:val="auto"/>
              </w:rPr>
            </w:pPr>
            <w:r>
              <w:rPr>
                <w:color w:val="auto"/>
              </w:rPr>
              <w:t>③对两个以上多个声源同时存在时，所有室内声源在围护结构处产生的i倍频带叠加声压级采用下面公式：</w:t>
            </w:r>
          </w:p>
          <w:p w14:paraId="7FB98DEA">
            <w:pPr>
              <w:ind w:firstLine="480"/>
              <w:jc w:val="center"/>
              <w:rPr>
                <w:color w:val="auto"/>
              </w:rPr>
            </w:pPr>
            <w:r>
              <w:rPr>
                <w:color w:val="auto"/>
              </w:rPr>
              <w:drawing>
                <wp:inline distT="0" distB="0" distL="0" distR="0">
                  <wp:extent cx="1492250" cy="431165"/>
                  <wp:effectExtent l="19050" t="0" r="0" b="0"/>
                  <wp:docPr id="20"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2"/>
                          <pic:cNvPicPr>
                            <a:picLocks noChangeAspect="1" noChangeArrowheads="1"/>
                          </pic:cNvPicPr>
                        </pic:nvPicPr>
                        <pic:blipFill>
                          <a:blip r:embed="rId26" cstate="print">
                            <a:lum bright="12000" contrast="-12000"/>
                          </a:blip>
                          <a:srcRect/>
                          <a:stretch>
                            <a:fillRect/>
                          </a:stretch>
                        </pic:blipFill>
                        <pic:spPr>
                          <a:xfrm>
                            <a:off x="0" y="0"/>
                            <a:ext cx="1492250" cy="431165"/>
                          </a:xfrm>
                          <a:prstGeom prst="rect">
                            <a:avLst/>
                          </a:prstGeom>
                          <a:noFill/>
                          <a:ln w="9525">
                            <a:noFill/>
                            <a:miter lim="800000"/>
                            <a:headEnd/>
                            <a:tailEnd/>
                          </a:ln>
                        </pic:spPr>
                      </pic:pic>
                    </a:graphicData>
                  </a:graphic>
                </wp:inline>
              </w:drawing>
            </w:r>
          </w:p>
          <w:p w14:paraId="039EA0A7">
            <w:pPr>
              <w:ind w:firstLine="480"/>
              <w:rPr>
                <w:color w:val="auto"/>
              </w:rPr>
            </w:pPr>
            <w:r>
              <w:rPr>
                <w:color w:val="auto"/>
              </w:rPr>
              <w:t>式中：Lpli(T)—靠近围护结构处室内N个声源i倍频带的叠加声压级，dB；</w:t>
            </w:r>
          </w:p>
          <w:p w14:paraId="3486E245">
            <w:pPr>
              <w:ind w:firstLine="1200" w:firstLineChars="500"/>
              <w:rPr>
                <w:color w:val="auto"/>
              </w:rPr>
            </w:pPr>
            <w:r>
              <w:rPr>
                <w:color w:val="auto"/>
              </w:rPr>
              <w:t>Lplij—室内j声源i倍频带的声压级，dB；</w:t>
            </w:r>
          </w:p>
          <w:p w14:paraId="49D8EFCC">
            <w:pPr>
              <w:ind w:firstLine="1200" w:firstLineChars="500"/>
              <w:rPr>
                <w:color w:val="auto"/>
              </w:rPr>
            </w:pPr>
            <w:r>
              <w:rPr>
                <w:color w:val="auto"/>
              </w:rPr>
              <w:t>N—室内声源总数。</w:t>
            </w:r>
          </w:p>
          <w:p w14:paraId="387FC73F">
            <w:pPr>
              <w:ind w:firstLine="480"/>
              <w:jc w:val="center"/>
              <w:rPr>
                <w:color w:val="auto"/>
              </w:rPr>
            </w:pPr>
            <w:r>
              <w:rPr>
                <w:color w:val="auto"/>
              </w:rPr>
              <w:t>④在室内近似为扩散声场地，按下式计算出靠近室外围护结构处的声压级：Lp</w:t>
            </w:r>
            <w:r>
              <w:rPr>
                <w:color w:val="auto"/>
                <w:vertAlign w:val="subscript"/>
              </w:rPr>
              <w:t>2</w:t>
            </w:r>
            <w:r>
              <w:rPr>
                <w:color w:val="auto"/>
              </w:rPr>
              <w:t>=Lp</w:t>
            </w:r>
            <w:r>
              <w:rPr>
                <w:color w:val="auto"/>
                <w:vertAlign w:val="subscript"/>
              </w:rPr>
              <w:t>1</w:t>
            </w:r>
            <w:r>
              <w:rPr>
                <w:color w:val="auto"/>
              </w:rPr>
              <w:t>-(TL+6)</w:t>
            </w:r>
          </w:p>
          <w:p w14:paraId="305AE642">
            <w:pPr>
              <w:ind w:firstLine="480"/>
              <w:rPr>
                <w:color w:val="auto"/>
              </w:rPr>
            </w:pPr>
            <w:r>
              <w:rPr>
                <w:color w:val="auto"/>
              </w:rPr>
              <w:t>式中：Lp</w:t>
            </w:r>
            <w:r>
              <w:rPr>
                <w:color w:val="auto"/>
                <w:vertAlign w:val="subscript"/>
              </w:rPr>
              <w:t>1</w:t>
            </w:r>
            <w:r>
              <w:rPr>
                <w:color w:val="auto"/>
              </w:rPr>
              <w:t>—靠近开口处(或窗户)室内某倍频带的声压级或A声级，dB；</w:t>
            </w:r>
          </w:p>
          <w:p w14:paraId="136BB175">
            <w:pPr>
              <w:ind w:firstLine="480"/>
              <w:rPr>
                <w:color w:val="auto"/>
              </w:rPr>
            </w:pPr>
            <w:r>
              <w:rPr>
                <w:color w:val="auto"/>
              </w:rPr>
              <w:t>Lp</w:t>
            </w:r>
            <w:r>
              <w:rPr>
                <w:color w:val="auto"/>
                <w:vertAlign w:val="subscript"/>
              </w:rPr>
              <w:t>2</w:t>
            </w:r>
            <w:r>
              <w:rPr>
                <w:color w:val="auto"/>
              </w:rPr>
              <w:t>—靠近开口处(或窗户)室外某倍频带的声压级或A声级，dB；TL—隔墙(或窗户)倍频带或A声级的隔声量，dB。</w:t>
            </w:r>
          </w:p>
          <w:p w14:paraId="71AA4383">
            <w:pPr>
              <w:widowControl/>
              <w:ind w:firstLine="480"/>
              <w:jc w:val="left"/>
              <w:rPr>
                <w:color w:val="auto"/>
              </w:rPr>
            </w:pPr>
            <w:r>
              <w:rPr>
                <w:color w:val="auto"/>
                <w:kern w:val="0"/>
              </w:rPr>
              <w:t>TL隔墙（或窗户）倍频带或A声级的隔声量，dB。</w:t>
            </w:r>
          </w:p>
          <w:p w14:paraId="1B93AAC0">
            <w:pPr>
              <w:ind w:firstLine="480"/>
              <w:jc w:val="center"/>
              <w:rPr>
                <w:color w:val="auto"/>
              </w:rPr>
            </w:pPr>
            <w:r>
              <w:rPr>
                <w:color w:val="auto"/>
              </w:rPr>
              <w:drawing>
                <wp:inline distT="0" distB="0" distL="0" distR="0">
                  <wp:extent cx="2018665" cy="1181735"/>
                  <wp:effectExtent l="19050" t="0" r="635" b="0"/>
                  <wp:docPr id="21"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3"/>
                          <pic:cNvPicPr>
                            <a:picLocks noChangeAspect="1" noChangeArrowheads="1"/>
                          </pic:cNvPicPr>
                        </pic:nvPicPr>
                        <pic:blipFill>
                          <a:blip r:embed="rId27"/>
                          <a:srcRect/>
                          <a:stretch>
                            <a:fillRect/>
                          </a:stretch>
                        </pic:blipFill>
                        <pic:spPr>
                          <a:xfrm>
                            <a:off x="0" y="0"/>
                            <a:ext cx="2018665" cy="1181735"/>
                          </a:xfrm>
                          <a:prstGeom prst="rect">
                            <a:avLst/>
                          </a:prstGeom>
                          <a:noFill/>
                          <a:ln w="9525">
                            <a:noFill/>
                            <a:miter lim="800000"/>
                            <a:headEnd/>
                            <a:tailEnd/>
                          </a:ln>
                        </pic:spPr>
                      </pic:pic>
                    </a:graphicData>
                  </a:graphic>
                </wp:inline>
              </w:drawing>
            </w:r>
          </w:p>
          <w:p w14:paraId="63915B3D">
            <w:pPr>
              <w:ind w:firstLine="480"/>
              <w:rPr>
                <w:color w:val="auto"/>
              </w:rPr>
            </w:pPr>
            <w:r>
              <w:rPr>
                <w:rFonts w:hint="eastAsia"/>
                <w:color w:val="auto"/>
              </w:rPr>
              <w:t>⑧</w:t>
            </w:r>
            <w:r>
              <w:rPr>
                <w:color w:val="auto"/>
              </w:rPr>
              <w:t>预测结果</w:t>
            </w:r>
          </w:p>
          <w:p w14:paraId="10707FD1">
            <w:pPr>
              <w:ind w:firstLine="480"/>
              <w:rPr>
                <w:color w:val="auto"/>
              </w:rPr>
            </w:pPr>
            <w:r>
              <w:rPr>
                <w:color w:val="auto"/>
              </w:rPr>
              <w:t>厂界四周及敏感点噪声预测值如下表</w:t>
            </w:r>
            <w:r>
              <w:rPr>
                <w:rFonts w:hint="eastAsia"/>
                <w:color w:val="auto"/>
              </w:rPr>
              <w:t>4-1</w:t>
            </w:r>
            <w:r>
              <w:rPr>
                <w:rFonts w:hint="eastAsia"/>
                <w:color w:val="auto"/>
                <w:lang w:val="en-US" w:eastAsia="zh-CN"/>
              </w:rPr>
              <w:t>5</w:t>
            </w:r>
            <w:r>
              <w:rPr>
                <w:color w:val="auto"/>
              </w:rPr>
              <w:t>所示：</w:t>
            </w:r>
          </w:p>
          <w:p w14:paraId="3C2F9D2E">
            <w:pPr>
              <w:pStyle w:val="58"/>
              <w:ind w:firstLine="422"/>
              <w:rPr>
                <w:color w:val="auto"/>
              </w:rPr>
            </w:pPr>
            <w:r>
              <w:rPr>
                <w:color w:val="auto"/>
              </w:rPr>
              <w:t>表4-</w:t>
            </w:r>
            <w:r>
              <w:rPr>
                <w:rFonts w:hint="eastAsia"/>
                <w:color w:val="auto"/>
              </w:rPr>
              <w:t>1</w:t>
            </w:r>
            <w:r>
              <w:rPr>
                <w:rFonts w:hint="eastAsia"/>
                <w:color w:val="auto"/>
                <w:lang w:val="en-US" w:eastAsia="zh-CN"/>
              </w:rPr>
              <w:t>5</w:t>
            </w:r>
            <w:r>
              <w:rPr>
                <w:color w:val="auto"/>
              </w:rPr>
              <w:t>项目厂界噪声预测结果单位：dB（A）</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6"/>
              <w:gridCol w:w="2642"/>
              <w:gridCol w:w="3378"/>
              <w:gridCol w:w="17"/>
            </w:tblGrid>
            <w:tr w14:paraId="40B3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4" w:type="pct"/>
                  <w:vMerge w:val="restart"/>
                  <w:tcBorders>
                    <w:tl2br w:val="nil"/>
                    <w:tr2bl w:val="nil"/>
                  </w:tcBorders>
                  <w:vAlign w:val="center"/>
                </w:tcPr>
                <w:p w14:paraId="2386EB11">
                  <w:pPr>
                    <w:pStyle w:val="57"/>
                    <w:rPr>
                      <w:b/>
                      <w:bCs w:val="0"/>
                      <w:color w:val="auto"/>
                    </w:rPr>
                  </w:pPr>
                  <w:r>
                    <w:rPr>
                      <w:b/>
                      <w:bCs w:val="0"/>
                      <w:color w:val="auto"/>
                    </w:rPr>
                    <w:t>预测点</w:t>
                  </w:r>
                </w:p>
              </w:tc>
              <w:tc>
                <w:tcPr>
                  <w:tcW w:w="1591" w:type="pct"/>
                  <w:tcBorders>
                    <w:right w:val="single" w:color="auto" w:sz="4" w:space="0"/>
                    <w:tl2br w:val="nil"/>
                    <w:tr2bl w:val="nil"/>
                  </w:tcBorders>
                  <w:vAlign w:val="center"/>
                </w:tcPr>
                <w:p w14:paraId="435D6C48">
                  <w:pPr>
                    <w:pStyle w:val="57"/>
                    <w:rPr>
                      <w:b/>
                      <w:bCs w:val="0"/>
                      <w:color w:val="auto"/>
                    </w:rPr>
                  </w:pPr>
                  <w:r>
                    <w:rPr>
                      <w:b/>
                      <w:bCs w:val="0"/>
                      <w:color w:val="auto"/>
                    </w:rPr>
                    <w:t>贡献值</w:t>
                  </w:r>
                </w:p>
              </w:tc>
              <w:tc>
                <w:tcPr>
                  <w:tcW w:w="2044" w:type="pct"/>
                  <w:gridSpan w:val="2"/>
                  <w:tcBorders>
                    <w:right w:val="single" w:color="auto" w:sz="4" w:space="0"/>
                    <w:tl2br w:val="nil"/>
                    <w:tr2bl w:val="nil"/>
                  </w:tcBorders>
                  <w:vAlign w:val="center"/>
                </w:tcPr>
                <w:p w14:paraId="34C72F75">
                  <w:pPr>
                    <w:pStyle w:val="57"/>
                    <w:rPr>
                      <w:rFonts w:hint="eastAsia"/>
                      <w:b/>
                      <w:bCs w:val="0"/>
                      <w:color w:val="auto"/>
                    </w:rPr>
                  </w:pPr>
                  <w:r>
                    <w:rPr>
                      <w:rFonts w:hint="eastAsia"/>
                      <w:b/>
                      <w:bCs w:val="0"/>
                      <w:color w:val="auto"/>
                    </w:rPr>
                    <w:t>标准</w:t>
                  </w:r>
                </w:p>
              </w:tc>
            </w:tr>
            <w:tr w14:paraId="0F27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pct"/>
                <w:trHeight w:val="23" w:hRule="atLeast"/>
                <w:jc w:val="center"/>
              </w:trPr>
              <w:tc>
                <w:tcPr>
                  <w:tcW w:w="1364" w:type="pct"/>
                  <w:vMerge w:val="continue"/>
                  <w:tcBorders>
                    <w:tl2br w:val="nil"/>
                    <w:tr2bl w:val="nil"/>
                  </w:tcBorders>
                  <w:vAlign w:val="center"/>
                </w:tcPr>
                <w:p w14:paraId="2A21E23C">
                  <w:pPr>
                    <w:pStyle w:val="57"/>
                    <w:rPr>
                      <w:color w:val="auto"/>
                    </w:rPr>
                  </w:pPr>
                </w:p>
              </w:tc>
              <w:tc>
                <w:tcPr>
                  <w:tcW w:w="1591" w:type="pct"/>
                  <w:tcBorders>
                    <w:right w:val="single" w:color="auto" w:sz="4" w:space="0"/>
                    <w:tl2br w:val="nil"/>
                    <w:tr2bl w:val="nil"/>
                  </w:tcBorders>
                  <w:vAlign w:val="center"/>
                </w:tcPr>
                <w:p w14:paraId="14B3DD8A">
                  <w:pPr>
                    <w:pStyle w:val="57"/>
                    <w:rPr>
                      <w:b/>
                      <w:bCs w:val="0"/>
                      <w:color w:val="auto"/>
                    </w:rPr>
                  </w:pPr>
                  <w:r>
                    <w:rPr>
                      <w:b/>
                      <w:bCs w:val="0"/>
                      <w:color w:val="auto"/>
                    </w:rPr>
                    <w:t>昼间</w:t>
                  </w:r>
                </w:p>
              </w:tc>
              <w:tc>
                <w:tcPr>
                  <w:tcW w:w="2034" w:type="pct"/>
                  <w:tcBorders>
                    <w:right w:val="single" w:color="auto" w:sz="4" w:space="0"/>
                    <w:tl2br w:val="nil"/>
                    <w:tr2bl w:val="nil"/>
                  </w:tcBorders>
                  <w:vAlign w:val="center"/>
                </w:tcPr>
                <w:p w14:paraId="4EC1EFCC">
                  <w:pPr>
                    <w:pStyle w:val="57"/>
                    <w:rPr>
                      <w:b/>
                      <w:bCs w:val="0"/>
                      <w:color w:val="auto"/>
                    </w:rPr>
                  </w:pPr>
                  <w:r>
                    <w:rPr>
                      <w:b/>
                      <w:bCs w:val="0"/>
                      <w:color w:val="auto"/>
                    </w:rPr>
                    <w:t>昼间</w:t>
                  </w:r>
                </w:p>
              </w:tc>
            </w:tr>
            <w:tr w14:paraId="1F6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pct"/>
                <w:trHeight w:val="23" w:hRule="atLeast"/>
                <w:jc w:val="center"/>
              </w:trPr>
              <w:tc>
                <w:tcPr>
                  <w:tcW w:w="1364" w:type="pct"/>
                  <w:tcBorders>
                    <w:tl2br w:val="nil"/>
                    <w:tr2bl w:val="nil"/>
                  </w:tcBorders>
                  <w:vAlign w:val="center"/>
                </w:tcPr>
                <w:p w14:paraId="5F13F0FE">
                  <w:pPr>
                    <w:pStyle w:val="57"/>
                    <w:rPr>
                      <w:color w:val="auto"/>
                    </w:rPr>
                  </w:pPr>
                  <w:r>
                    <w:rPr>
                      <w:color w:val="auto"/>
                    </w:rPr>
                    <w:t>东厂界</w:t>
                  </w:r>
                </w:p>
              </w:tc>
              <w:tc>
                <w:tcPr>
                  <w:tcW w:w="1591" w:type="pct"/>
                  <w:tcBorders>
                    <w:tl2br w:val="nil"/>
                    <w:tr2bl w:val="nil"/>
                  </w:tcBorders>
                  <w:vAlign w:val="center"/>
                </w:tcPr>
                <w:p w14:paraId="359C7B69">
                  <w:pPr>
                    <w:pStyle w:val="57"/>
                    <w:rPr>
                      <w:rFonts w:hint="eastAsia"/>
                      <w:color w:val="auto"/>
                    </w:rPr>
                  </w:pPr>
                  <w:r>
                    <w:rPr>
                      <w:rFonts w:hint="eastAsia"/>
                      <w:color w:val="auto"/>
                    </w:rPr>
                    <w:t>49</w:t>
                  </w:r>
                  <w:r>
                    <w:rPr>
                      <w:color w:val="auto"/>
                    </w:rPr>
                    <w:t>.</w:t>
                  </w:r>
                  <w:r>
                    <w:rPr>
                      <w:rFonts w:hint="eastAsia"/>
                      <w:color w:val="auto"/>
                    </w:rPr>
                    <w:t>1</w:t>
                  </w:r>
                </w:p>
              </w:tc>
              <w:tc>
                <w:tcPr>
                  <w:tcW w:w="2034" w:type="pct"/>
                  <w:tcBorders>
                    <w:tl2br w:val="nil"/>
                    <w:tr2bl w:val="nil"/>
                  </w:tcBorders>
                  <w:vAlign w:val="center"/>
                </w:tcPr>
                <w:p w14:paraId="3AC31CFF">
                  <w:pPr>
                    <w:pStyle w:val="57"/>
                    <w:rPr>
                      <w:color w:val="auto"/>
                    </w:rPr>
                  </w:pPr>
                  <w:r>
                    <w:rPr>
                      <w:rFonts w:hint="eastAsia"/>
                      <w:color w:val="auto"/>
                    </w:rPr>
                    <w:t>65</w:t>
                  </w:r>
                </w:p>
              </w:tc>
            </w:tr>
            <w:tr w14:paraId="7233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pct"/>
                <w:trHeight w:val="232" w:hRule="atLeast"/>
                <w:jc w:val="center"/>
              </w:trPr>
              <w:tc>
                <w:tcPr>
                  <w:tcW w:w="1364" w:type="pct"/>
                  <w:tcBorders>
                    <w:tl2br w:val="nil"/>
                    <w:tr2bl w:val="nil"/>
                  </w:tcBorders>
                  <w:vAlign w:val="center"/>
                </w:tcPr>
                <w:p w14:paraId="5032BDA3">
                  <w:pPr>
                    <w:pStyle w:val="57"/>
                    <w:rPr>
                      <w:color w:val="auto"/>
                    </w:rPr>
                  </w:pPr>
                  <w:r>
                    <w:rPr>
                      <w:color w:val="auto"/>
                    </w:rPr>
                    <w:t>南厂界</w:t>
                  </w:r>
                </w:p>
              </w:tc>
              <w:tc>
                <w:tcPr>
                  <w:tcW w:w="1591" w:type="pct"/>
                  <w:tcBorders>
                    <w:tl2br w:val="nil"/>
                    <w:tr2bl w:val="nil"/>
                  </w:tcBorders>
                  <w:vAlign w:val="center"/>
                </w:tcPr>
                <w:p w14:paraId="134C6989">
                  <w:pPr>
                    <w:pStyle w:val="57"/>
                    <w:rPr>
                      <w:rFonts w:hint="eastAsia"/>
                      <w:color w:val="auto"/>
                    </w:rPr>
                  </w:pPr>
                  <w:r>
                    <w:rPr>
                      <w:rFonts w:hint="eastAsia"/>
                      <w:color w:val="auto"/>
                    </w:rPr>
                    <w:t>44</w:t>
                  </w:r>
                  <w:r>
                    <w:rPr>
                      <w:color w:val="auto"/>
                    </w:rPr>
                    <w:t>.</w:t>
                  </w:r>
                  <w:r>
                    <w:rPr>
                      <w:rFonts w:hint="eastAsia"/>
                      <w:color w:val="auto"/>
                    </w:rPr>
                    <w:t>2</w:t>
                  </w:r>
                </w:p>
              </w:tc>
              <w:tc>
                <w:tcPr>
                  <w:tcW w:w="2034" w:type="pct"/>
                  <w:tcBorders>
                    <w:tl2br w:val="nil"/>
                    <w:tr2bl w:val="nil"/>
                  </w:tcBorders>
                  <w:vAlign w:val="center"/>
                </w:tcPr>
                <w:p w14:paraId="1D9ABCBD">
                  <w:pPr>
                    <w:pStyle w:val="57"/>
                    <w:rPr>
                      <w:color w:val="auto"/>
                    </w:rPr>
                  </w:pPr>
                  <w:r>
                    <w:rPr>
                      <w:rFonts w:hint="eastAsia"/>
                      <w:color w:val="auto"/>
                    </w:rPr>
                    <w:t>65</w:t>
                  </w:r>
                </w:p>
              </w:tc>
            </w:tr>
            <w:tr w14:paraId="78BE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pct"/>
                <w:trHeight w:val="23" w:hRule="atLeast"/>
                <w:jc w:val="center"/>
              </w:trPr>
              <w:tc>
                <w:tcPr>
                  <w:tcW w:w="1364" w:type="pct"/>
                  <w:tcBorders>
                    <w:tl2br w:val="nil"/>
                    <w:tr2bl w:val="nil"/>
                  </w:tcBorders>
                  <w:vAlign w:val="center"/>
                </w:tcPr>
                <w:p w14:paraId="13A028C3">
                  <w:pPr>
                    <w:pStyle w:val="57"/>
                    <w:rPr>
                      <w:color w:val="auto"/>
                    </w:rPr>
                  </w:pPr>
                  <w:r>
                    <w:rPr>
                      <w:color w:val="auto"/>
                    </w:rPr>
                    <w:t>西厂界</w:t>
                  </w:r>
                </w:p>
              </w:tc>
              <w:tc>
                <w:tcPr>
                  <w:tcW w:w="1591" w:type="pct"/>
                  <w:tcBorders>
                    <w:tl2br w:val="nil"/>
                    <w:tr2bl w:val="nil"/>
                  </w:tcBorders>
                  <w:vAlign w:val="center"/>
                </w:tcPr>
                <w:p w14:paraId="4CE3BDAE">
                  <w:pPr>
                    <w:pStyle w:val="57"/>
                    <w:rPr>
                      <w:rFonts w:hint="eastAsia"/>
                      <w:color w:val="auto"/>
                    </w:rPr>
                  </w:pPr>
                  <w:r>
                    <w:rPr>
                      <w:rFonts w:hint="eastAsia"/>
                      <w:color w:val="auto"/>
                    </w:rPr>
                    <w:t>43</w:t>
                  </w:r>
                  <w:r>
                    <w:rPr>
                      <w:color w:val="auto"/>
                    </w:rPr>
                    <w:t>.</w:t>
                  </w:r>
                  <w:r>
                    <w:rPr>
                      <w:rFonts w:hint="eastAsia"/>
                      <w:color w:val="auto"/>
                    </w:rPr>
                    <w:t>1</w:t>
                  </w:r>
                </w:p>
              </w:tc>
              <w:tc>
                <w:tcPr>
                  <w:tcW w:w="2034" w:type="pct"/>
                  <w:tcBorders>
                    <w:tl2br w:val="nil"/>
                    <w:tr2bl w:val="nil"/>
                  </w:tcBorders>
                  <w:vAlign w:val="center"/>
                </w:tcPr>
                <w:p w14:paraId="611573AC">
                  <w:pPr>
                    <w:pStyle w:val="57"/>
                    <w:rPr>
                      <w:color w:val="auto"/>
                    </w:rPr>
                  </w:pPr>
                  <w:r>
                    <w:rPr>
                      <w:rFonts w:hint="eastAsia"/>
                      <w:color w:val="auto"/>
                    </w:rPr>
                    <w:t>65</w:t>
                  </w:r>
                </w:p>
              </w:tc>
            </w:tr>
            <w:tr w14:paraId="12F6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pct"/>
                <w:trHeight w:val="23" w:hRule="atLeast"/>
                <w:jc w:val="center"/>
              </w:trPr>
              <w:tc>
                <w:tcPr>
                  <w:tcW w:w="1364" w:type="pct"/>
                  <w:tcBorders>
                    <w:tl2br w:val="nil"/>
                    <w:tr2bl w:val="nil"/>
                  </w:tcBorders>
                  <w:vAlign w:val="center"/>
                </w:tcPr>
                <w:p w14:paraId="7C315031">
                  <w:pPr>
                    <w:pStyle w:val="57"/>
                    <w:rPr>
                      <w:color w:val="auto"/>
                    </w:rPr>
                  </w:pPr>
                  <w:r>
                    <w:rPr>
                      <w:color w:val="auto"/>
                    </w:rPr>
                    <w:t>北厂界</w:t>
                  </w:r>
                </w:p>
              </w:tc>
              <w:tc>
                <w:tcPr>
                  <w:tcW w:w="1591" w:type="pct"/>
                  <w:tcBorders>
                    <w:tl2br w:val="nil"/>
                    <w:tr2bl w:val="nil"/>
                  </w:tcBorders>
                  <w:vAlign w:val="center"/>
                </w:tcPr>
                <w:p w14:paraId="5D76E9E2">
                  <w:pPr>
                    <w:pStyle w:val="57"/>
                    <w:rPr>
                      <w:rFonts w:hint="eastAsia"/>
                      <w:color w:val="auto"/>
                    </w:rPr>
                  </w:pPr>
                  <w:r>
                    <w:rPr>
                      <w:rFonts w:hint="eastAsia"/>
                      <w:color w:val="auto"/>
                    </w:rPr>
                    <w:t>42</w:t>
                  </w:r>
                  <w:r>
                    <w:rPr>
                      <w:color w:val="auto"/>
                    </w:rPr>
                    <w:t>.</w:t>
                  </w:r>
                  <w:r>
                    <w:rPr>
                      <w:rFonts w:hint="eastAsia"/>
                      <w:color w:val="auto"/>
                    </w:rPr>
                    <w:t>3</w:t>
                  </w:r>
                </w:p>
              </w:tc>
              <w:tc>
                <w:tcPr>
                  <w:tcW w:w="2034" w:type="pct"/>
                  <w:tcBorders>
                    <w:tl2br w:val="nil"/>
                    <w:tr2bl w:val="nil"/>
                  </w:tcBorders>
                  <w:vAlign w:val="center"/>
                </w:tcPr>
                <w:p w14:paraId="47D40B3E">
                  <w:pPr>
                    <w:pStyle w:val="57"/>
                    <w:rPr>
                      <w:color w:val="auto"/>
                    </w:rPr>
                  </w:pPr>
                  <w:r>
                    <w:rPr>
                      <w:rFonts w:hint="eastAsia"/>
                      <w:color w:val="auto"/>
                    </w:rPr>
                    <w:t>65</w:t>
                  </w:r>
                </w:p>
              </w:tc>
            </w:tr>
          </w:tbl>
          <w:p w14:paraId="2BFDF5AB">
            <w:pPr>
              <w:widowControl/>
              <w:tabs>
                <w:tab w:val="left" w:pos="8100"/>
              </w:tabs>
              <w:ind w:firstLine="480"/>
              <w:jc w:val="left"/>
              <w:rPr>
                <w:color w:val="auto"/>
              </w:rPr>
            </w:pPr>
            <w:r>
              <w:rPr>
                <w:color w:val="auto"/>
              </w:rPr>
              <w:t>由上述计算结果可知，昼间厂界噪声</w:t>
            </w:r>
            <w:r>
              <w:rPr>
                <w:rFonts w:hint="eastAsia"/>
                <w:color w:val="auto"/>
              </w:rPr>
              <w:t>贡献</w:t>
            </w:r>
            <w:r>
              <w:rPr>
                <w:color w:val="auto"/>
              </w:rPr>
              <w:t>值满足《工业企业厂界环境噪声排放标准》（GB12348－2008）中</w:t>
            </w:r>
            <w:r>
              <w:rPr>
                <w:rFonts w:hint="eastAsia"/>
                <w:color w:val="auto"/>
              </w:rPr>
              <w:t>3</w:t>
            </w:r>
            <w:r>
              <w:rPr>
                <w:color w:val="auto"/>
              </w:rPr>
              <w:t>类标准要求</w:t>
            </w:r>
            <w:r>
              <w:rPr>
                <w:rFonts w:hint="eastAsia"/>
                <w:color w:val="auto"/>
              </w:rPr>
              <w:t>，</w:t>
            </w:r>
            <w:r>
              <w:rPr>
                <w:color w:val="auto"/>
              </w:rPr>
              <w:t>因此本项目实施后对区域声环境影响较小。</w:t>
            </w:r>
          </w:p>
          <w:p w14:paraId="546C078E">
            <w:pPr>
              <w:tabs>
                <w:tab w:val="left" w:pos="8100"/>
              </w:tabs>
              <w:spacing w:line="460" w:lineRule="exact"/>
              <w:ind w:firstLine="482"/>
              <w:rPr>
                <w:b/>
                <w:bCs/>
                <w:color w:val="auto"/>
              </w:rPr>
            </w:pPr>
            <w:r>
              <w:rPr>
                <w:b/>
                <w:bCs/>
                <w:color w:val="auto"/>
              </w:rPr>
              <w:t>（3）达标分析</w:t>
            </w:r>
          </w:p>
          <w:p w14:paraId="4E809CB7">
            <w:pPr>
              <w:tabs>
                <w:tab w:val="left" w:pos="8100"/>
              </w:tabs>
              <w:spacing w:line="460" w:lineRule="exact"/>
              <w:ind w:firstLine="480"/>
              <w:rPr>
                <w:color w:val="auto"/>
              </w:rPr>
            </w:pPr>
            <w:r>
              <w:rPr>
                <w:color w:val="auto"/>
              </w:rPr>
              <w:t>本项目主要噪声为机械设备运行产生的噪声，厂界50米范围</w:t>
            </w:r>
            <w:r>
              <w:rPr>
                <w:rFonts w:hint="eastAsia"/>
                <w:color w:val="auto"/>
              </w:rPr>
              <w:t>无</w:t>
            </w:r>
            <w:r>
              <w:rPr>
                <w:color w:val="auto"/>
              </w:rPr>
              <w:t>声环境环境保护目标</w:t>
            </w:r>
            <w:r>
              <w:rPr>
                <w:rFonts w:hint="eastAsia"/>
                <w:color w:val="auto"/>
              </w:rPr>
              <w:t>，经</w:t>
            </w:r>
            <w:r>
              <w:rPr>
                <w:color w:val="auto"/>
              </w:rPr>
              <w:t>落实</w:t>
            </w:r>
            <w:r>
              <w:rPr>
                <w:rFonts w:hint="eastAsia"/>
                <w:color w:val="auto"/>
              </w:rPr>
              <w:t>门窗隔声、基座减震等</w:t>
            </w:r>
            <w:r>
              <w:rPr>
                <w:color w:val="auto"/>
              </w:rPr>
              <w:t>隔声降噪措施，本项目厂界噪声可满足《工业企业厂界环境噪声排放标准》（GB12348-2008）</w:t>
            </w:r>
            <w:r>
              <w:rPr>
                <w:rFonts w:hint="eastAsia"/>
                <w:color w:val="auto"/>
              </w:rPr>
              <w:t>3类</w:t>
            </w:r>
            <w:r>
              <w:rPr>
                <w:color w:val="auto"/>
              </w:rPr>
              <w:t>标准（昼间≤</w:t>
            </w:r>
            <w:r>
              <w:rPr>
                <w:rFonts w:hint="eastAsia"/>
                <w:color w:val="auto"/>
              </w:rPr>
              <w:t>65</w:t>
            </w:r>
            <w:r>
              <w:rPr>
                <w:color w:val="auto"/>
              </w:rPr>
              <w:t>dB(A)）。正常生产过程中产生的噪声对周边声环境的影响在可承受的范围内，声环境质量仍能满足相应的标准要求。</w:t>
            </w:r>
          </w:p>
          <w:p w14:paraId="7936E45F">
            <w:pPr>
              <w:tabs>
                <w:tab w:val="left" w:pos="8100"/>
              </w:tabs>
              <w:spacing w:line="460" w:lineRule="exact"/>
              <w:ind w:firstLine="482"/>
              <w:rPr>
                <w:b/>
                <w:bCs/>
                <w:color w:val="auto"/>
              </w:rPr>
            </w:pPr>
            <w:r>
              <w:rPr>
                <w:b/>
                <w:bCs/>
                <w:color w:val="auto"/>
              </w:rPr>
              <w:t>（4）噪声监测要求</w:t>
            </w:r>
          </w:p>
          <w:p w14:paraId="051E5C2B">
            <w:pPr>
              <w:tabs>
                <w:tab w:val="left" w:pos="8100"/>
              </w:tabs>
              <w:spacing w:line="460" w:lineRule="exact"/>
              <w:ind w:firstLine="480"/>
              <w:rPr>
                <w:color w:val="auto"/>
              </w:rPr>
            </w:pPr>
            <w:r>
              <w:rPr>
                <w:color w:val="auto"/>
              </w:rPr>
              <w:t>根据</w:t>
            </w:r>
            <w:r>
              <w:rPr>
                <w:rFonts w:hint="eastAsia"/>
                <w:color w:val="auto"/>
              </w:rPr>
              <w:t> 《</w:t>
            </w:r>
            <w:r>
              <w:rPr>
                <w:color w:val="auto"/>
              </w:rPr>
              <w:t>排污许可证申请与核发技术规范工业噪声</w:t>
            </w:r>
            <w:r>
              <w:rPr>
                <w:rFonts w:hint="eastAsia"/>
                <w:color w:val="auto"/>
              </w:rPr>
              <w:t>》</w:t>
            </w:r>
            <w:r>
              <w:rPr>
                <w:color w:val="auto"/>
              </w:rPr>
              <w:fldChar w:fldCharType="begin"/>
            </w:r>
            <w:r>
              <w:rPr>
                <w:color w:val="auto"/>
              </w:rPr>
              <w:instrText xml:space="preserve"> HYPERLINK "https://www.mee.gov.cn/ywgz/fgbz/bz/bzwb/pwxk/202308/W020230817430708990767.pdf" </w:instrText>
            </w:r>
            <w:r>
              <w:rPr>
                <w:color w:val="auto"/>
              </w:rPr>
              <w:fldChar w:fldCharType="separate"/>
            </w:r>
            <w:r>
              <w:rPr>
                <w:color w:val="auto"/>
              </w:rPr>
              <w:t>（HJ1301—2023）</w:t>
            </w:r>
            <w:r>
              <w:rPr>
                <w:color w:val="auto"/>
              </w:rPr>
              <w:fldChar w:fldCharType="end"/>
            </w:r>
            <w:r>
              <w:rPr>
                <w:rFonts w:hint="eastAsia"/>
                <w:color w:val="auto"/>
              </w:rPr>
              <w:t>，</w:t>
            </w:r>
            <w:r>
              <w:rPr>
                <w:color w:val="auto"/>
              </w:rPr>
              <w:t>制定本项目噪声监测要求如下:</w:t>
            </w:r>
          </w:p>
          <w:p w14:paraId="39E1AD32">
            <w:pPr>
              <w:ind w:firstLine="480"/>
              <w:outlineLvl w:val="0"/>
              <w:rPr>
                <w:color w:val="auto"/>
              </w:rPr>
            </w:pPr>
            <w:r>
              <w:rPr>
                <w:color w:val="auto"/>
              </w:rPr>
              <w:t>监测点位：厂界四周布设4个点；</w:t>
            </w:r>
          </w:p>
          <w:p w14:paraId="18EFA5A1">
            <w:pPr>
              <w:ind w:firstLine="480"/>
              <w:outlineLvl w:val="0"/>
              <w:rPr>
                <w:color w:val="auto"/>
              </w:rPr>
            </w:pPr>
            <w:r>
              <w:rPr>
                <w:color w:val="auto"/>
              </w:rPr>
              <w:t>监测频次：每季度1次，监测期间同步记录工况；</w:t>
            </w:r>
          </w:p>
          <w:p w14:paraId="7D0D270E">
            <w:pPr>
              <w:ind w:firstLine="480"/>
              <w:outlineLvl w:val="0"/>
              <w:rPr>
                <w:color w:val="auto"/>
              </w:rPr>
            </w:pPr>
            <w:r>
              <w:rPr>
                <w:color w:val="auto"/>
              </w:rPr>
              <w:t>监测因子为等效连续声级Leq（A）。</w:t>
            </w:r>
          </w:p>
          <w:p w14:paraId="4C77DDF7">
            <w:pPr>
              <w:pStyle w:val="58"/>
              <w:ind w:firstLine="422"/>
              <w:rPr>
                <w:color w:val="auto"/>
              </w:rPr>
            </w:pPr>
            <w:r>
              <w:rPr>
                <w:color w:val="auto"/>
              </w:rPr>
              <w:t>表4-</w:t>
            </w:r>
            <w:r>
              <w:rPr>
                <w:rFonts w:hint="eastAsia"/>
                <w:color w:val="auto"/>
              </w:rPr>
              <w:t>1</w:t>
            </w:r>
            <w:r>
              <w:rPr>
                <w:rFonts w:hint="eastAsia"/>
                <w:color w:val="auto"/>
                <w:lang w:val="en-US" w:eastAsia="zh-CN"/>
              </w:rPr>
              <w:t>6</w:t>
            </w:r>
            <w:r>
              <w:rPr>
                <w:color w:val="auto"/>
              </w:rPr>
              <w:t>运营期噪声监测计划</w:t>
            </w:r>
          </w:p>
          <w:tbl>
            <w:tblPr>
              <w:tblStyle w:val="37"/>
              <w:tblW w:w="499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146"/>
              <w:gridCol w:w="1544"/>
              <w:gridCol w:w="1635"/>
              <w:gridCol w:w="2914"/>
            </w:tblGrid>
            <w:tr w14:paraId="5FB0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0" w:type="pct"/>
                  <w:tcBorders>
                    <w:tl2br w:val="nil"/>
                    <w:tr2bl w:val="nil"/>
                  </w:tcBorders>
                  <w:vAlign w:val="center"/>
                </w:tcPr>
                <w:p w14:paraId="701E76DC">
                  <w:pPr>
                    <w:pStyle w:val="57"/>
                    <w:rPr>
                      <w:b/>
                      <w:bCs w:val="0"/>
                      <w:color w:val="auto"/>
                    </w:rPr>
                  </w:pPr>
                  <w:r>
                    <w:rPr>
                      <w:b/>
                      <w:bCs w:val="0"/>
                      <w:color w:val="auto"/>
                    </w:rPr>
                    <w:t>监测项目</w:t>
                  </w:r>
                </w:p>
              </w:tc>
              <w:tc>
                <w:tcPr>
                  <w:tcW w:w="690" w:type="pct"/>
                  <w:tcBorders>
                    <w:tl2br w:val="nil"/>
                    <w:tr2bl w:val="nil"/>
                  </w:tcBorders>
                  <w:vAlign w:val="center"/>
                </w:tcPr>
                <w:p w14:paraId="7A486CA0">
                  <w:pPr>
                    <w:pStyle w:val="57"/>
                    <w:rPr>
                      <w:b/>
                      <w:bCs w:val="0"/>
                      <w:color w:val="auto"/>
                    </w:rPr>
                  </w:pPr>
                  <w:r>
                    <w:rPr>
                      <w:b/>
                      <w:bCs w:val="0"/>
                      <w:color w:val="auto"/>
                    </w:rPr>
                    <w:t>监测点位</w:t>
                  </w:r>
                </w:p>
              </w:tc>
              <w:tc>
                <w:tcPr>
                  <w:tcW w:w="929" w:type="pct"/>
                  <w:tcBorders>
                    <w:tl2br w:val="nil"/>
                    <w:tr2bl w:val="nil"/>
                  </w:tcBorders>
                  <w:vAlign w:val="center"/>
                </w:tcPr>
                <w:p w14:paraId="181A4707">
                  <w:pPr>
                    <w:pStyle w:val="57"/>
                    <w:rPr>
                      <w:b/>
                      <w:bCs w:val="0"/>
                      <w:color w:val="auto"/>
                    </w:rPr>
                  </w:pPr>
                  <w:r>
                    <w:rPr>
                      <w:b/>
                      <w:bCs w:val="0"/>
                      <w:color w:val="auto"/>
                    </w:rPr>
                    <w:t>监测指标</w:t>
                  </w:r>
                </w:p>
              </w:tc>
              <w:tc>
                <w:tcPr>
                  <w:tcW w:w="984" w:type="pct"/>
                  <w:tcBorders>
                    <w:tl2br w:val="nil"/>
                    <w:tr2bl w:val="nil"/>
                  </w:tcBorders>
                  <w:vAlign w:val="center"/>
                </w:tcPr>
                <w:p w14:paraId="273D3AC9">
                  <w:pPr>
                    <w:pStyle w:val="57"/>
                    <w:rPr>
                      <w:b/>
                      <w:bCs w:val="0"/>
                      <w:color w:val="auto"/>
                    </w:rPr>
                  </w:pPr>
                  <w:r>
                    <w:rPr>
                      <w:b/>
                      <w:bCs w:val="0"/>
                      <w:color w:val="auto"/>
                    </w:rPr>
                    <w:t>监测频率</w:t>
                  </w:r>
                </w:p>
              </w:tc>
              <w:tc>
                <w:tcPr>
                  <w:tcW w:w="1754" w:type="pct"/>
                  <w:tcBorders>
                    <w:tl2br w:val="nil"/>
                    <w:tr2bl w:val="nil"/>
                  </w:tcBorders>
                  <w:vAlign w:val="center"/>
                </w:tcPr>
                <w:p w14:paraId="505F6592">
                  <w:pPr>
                    <w:pStyle w:val="57"/>
                    <w:rPr>
                      <w:b/>
                      <w:bCs w:val="0"/>
                      <w:color w:val="auto"/>
                    </w:rPr>
                  </w:pPr>
                  <w:r>
                    <w:rPr>
                      <w:b/>
                      <w:bCs w:val="0"/>
                      <w:color w:val="auto"/>
                    </w:rPr>
                    <w:t>执行排放标准</w:t>
                  </w:r>
                </w:p>
              </w:tc>
            </w:tr>
            <w:tr w14:paraId="0242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pct"/>
                  <w:tcBorders>
                    <w:tl2br w:val="nil"/>
                    <w:tr2bl w:val="nil"/>
                  </w:tcBorders>
                  <w:vAlign w:val="center"/>
                </w:tcPr>
                <w:p w14:paraId="65E615F7">
                  <w:pPr>
                    <w:pStyle w:val="57"/>
                    <w:rPr>
                      <w:color w:val="auto"/>
                    </w:rPr>
                  </w:pPr>
                  <w:r>
                    <w:rPr>
                      <w:color w:val="auto"/>
                    </w:rPr>
                    <w:t>噪声</w:t>
                  </w:r>
                </w:p>
              </w:tc>
              <w:tc>
                <w:tcPr>
                  <w:tcW w:w="690" w:type="pct"/>
                  <w:tcBorders>
                    <w:tl2br w:val="nil"/>
                    <w:tr2bl w:val="nil"/>
                  </w:tcBorders>
                  <w:vAlign w:val="center"/>
                </w:tcPr>
                <w:p w14:paraId="6CF65DD1">
                  <w:pPr>
                    <w:pStyle w:val="57"/>
                    <w:rPr>
                      <w:color w:val="auto"/>
                    </w:rPr>
                  </w:pPr>
                  <w:r>
                    <w:rPr>
                      <w:color w:val="auto"/>
                    </w:rPr>
                    <w:t>厂界</w:t>
                  </w:r>
                </w:p>
              </w:tc>
              <w:tc>
                <w:tcPr>
                  <w:tcW w:w="929" w:type="pct"/>
                  <w:tcBorders>
                    <w:tl2br w:val="nil"/>
                    <w:tr2bl w:val="nil"/>
                  </w:tcBorders>
                  <w:vAlign w:val="center"/>
                </w:tcPr>
                <w:p w14:paraId="47E7CAAA">
                  <w:pPr>
                    <w:pStyle w:val="57"/>
                    <w:rPr>
                      <w:color w:val="auto"/>
                    </w:rPr>
                  </w:pPr>
                  <w:r>
                    <w:rPr>
                      <w:color w:val="auto"/>
                    </w:rPr>
                    <w:t>等效连续声级Leq（A）</w:t>
                  </w:r>
                </w:p>
              </w:tc>
              <w:tc>
                <w:tcPr>
                  <w:tcW w:w="984" w:type="pct"/>
                  <w:tcBorders>
                    <w:tl2br w:val="nil"/>
                    <w:tr2bl w:val="nil"/>
                  </w:tcBorders>
                  <w:vAlign w:val="center"/>
                </w:tcPr>
                <w:p w14:paraId="45B7111B">
                  <w:pPr>
                    <w:pStyle w:val="57"/>
                    <w:rPr>
                      <w:color w:val="auto"/>
                    </w:rPr>
                  </w:pPr>
                  <w:r>
                    <w:rPr>
                      <w:color w:val="auto"/>
                    </w:rPr>
                    <w:t>每季度1次，昼间进行</w:t>
                  </w:r>
                </w:p>
              </w:tc>
              <w:tc>
                <w:tcPr>
                  <w:tcW w:w="1754" w:type="pct"/>
                  <w:tcBorders>
                    <w:tl2br w:val="nil"/>
                    <w:tr2bl w:val="nil"/>
                  </w:tcBorders>
                  <w:vAlign w:val="center"/>
                </w:tcPr>
                <w:p w14:paraId="0BAF7958">
                  <w:pPr>
                    <w:pStyle w:val="57"/>
                    <w:rPr>
                      <w:color w:val="auto"/>
                    </w:rPr>
                  </w:pPr>
                  <w:r>
                    <w:rPr>
                      <w:color w:val="auto"/>
                    </w:rPr>
                    <w:t>《工业企业厂界环境噪声排放标准》（GB12348－2008）</w:t>
                  </w:r>
                </w:p>
              </w:tc>
            </w:tr>
          </w:tbl>
          <w:p w14:paraId="0C8BA3A7">
            <w:pPr>
              <w:pStyle w:val="80"/>
              <w:spacing w:line="360" w:lineRule="auto"/>
              <w:ind w:firstLine="482" w:firstLineChars="200"/>
              <w:rPr>
                <w:b/>
                <w:bCs/>
                <w:color w:val="auto"/>
              </w:rPr>
            </w:pPr>
            <w:r>
              <w:rPr>
                <w:b/>
                <w:bCs/>
                <w:color w:val="auto"/>
              </w:rPr>
              <w:t>5、固体废物</w:t>
            </w:r>
          </w:p>
          <w:p w14:paraId="6D064831">
            <w:pPr>
              <w:pStyle w:val="80"/>
              <w:spacing w:line="360" w:lineRule="auto"/>
              <w:ind w:firstLine="482" w:firstLineChars="200"/>
              <w:rPr>
                <w:b/>
                <w:bCs/>
                <w:color w:val="auto"/>
              </w:rPr>
            </w:pPr>
            <w:r>
              <w:rPr>
                <w:b/>
                <w:bCs/>
                <w:color w:val="auto"/>
              </w:rPr>
              <w:t>（1）固体废物产生量</w:t>
            </w:r>
          </w:p>
          <w:p w14:paraId="29D1B9F6">
            <w:pPr>
              <w:pStyle w:val="80"/>
              <w:spacing w:line="360" w:lineRule="auto"/>
              <w:ind w:firstLine="480" w:firstLineChars="200"/>
              <w:rPr>
                <w:color w:val="auto"/>
              </w:rPr>
            </w:pPr>
            <w:r>
              <w:rPr>
                <w:color w:val="auto"/>
              </w:rPr>
              <w:t>本项目产生的固体废物包括一般工业固体废物、生活垃圾、危险废物。</w:t>
            </w:r>
          </w:p>
          <w:p w14:paraId="0E47CA05">
            <w:pPr>
              <w:pStyle w:val="80"/>
              <w:spacing w:line="360" w:lineRule="auto"/>
              <w:ind w:firstLine="482" w:firstLineChars="200"/>
              <w:rPr>
                <w:b/>
                <w:bCs/>
                <w:color w:val="auto"/>
              </w:rPr>
            </w:pPr>
            <w:r>
              <w:rPr>
                <w:b/>
                <w:bCs/>
                <w:color w:val="auto"/>
              </w:rPr>
              <w:t>1）生活垃圾</w:t>
            </w:r>
          </w:p>
          <w:p w14:paraId="3754C467">
            <w:pPr>
              <w:ind w:firstLine="480"/>
              <w:rPr>
                <w:color w:val="auto"/>
              </w:rPr>
            </w:pPr>
            <w:r>
              <w:rPr>
                <w:color w:val="auto"/>
              </w:rPr>
              <w:t>本项目共有员工</w:t>
            </w:r>
            <w:r>
              <w:rPr>
                <w:rFonts w:hint="eastAsia"/>
                <w:color w:val="auto"/>
              </w:rPr>
              <w:t>40</w:t>
            </w:r>
            <w:r>
              <w:rPr>
                <w:color w:val="auto"/>
              </w:rPr>
              <w:t>人，生活垃圾产生量以0.5kg</w:t>
            </w:r>
            <w:r>
              <w:rPr>
                <w:rFonts w:hint="eastAsia"/>
                <w:color w:val="auto"/>
              </w:rPr>
              <w:t>/</w:t>
            </w:r>
            <w:r>
              <w:rPr>
                <w:color w:val="auto"/>
              </w:rPr>
              <w:t>d•人计算，年工作300天，则生活垃圾产生量为</w:t>
            </w:r>
            <w:r>
              <w:rPr>
                <w:rFonts w:hint="eastAsia"/>
                <w:color w:val="auto"/>
              </w:rPr>
              <w:t>10</w:t>
            </w:r>
            <w:r>
              <w:rPr>
                <w:color w:val="auto"/>
              </w:rPr>
              <w:t>kg</w:t>
            </w:r>
            <w:r>
              <w:rPr>
                <w:rFonts w:hint="eastAsia"/>
                <w:color w:val="auto"/>
              </w:rPr>
              <w:t>/</w:t>
            </w:r>
            <w:r>
              <w:rPr>
                <w:color w:val="auto"/>
              </w:rPr>
              <w:t>d，</w:t>
            </w:r>
            <w:r>
              <w:rPr>
                <w:rFonts w:hint="eastAsia"/>
                <w:color w:val="auto"/>
              </w:rPr>
              <w:t>6</w:t>
            </w:r>
            <w:r>
              <w:rPr>
                <w:color w:val="auto"/>
              </w:rPr>
              <w:t>t</w:t>
            </w:r>
            <w:r>
              <w:rPr>
                <w:rFonts w:hint="eastAsia"/>
                <w:color w:val="auto"/>
              </w:rPr>
              <w:t>/</w:t>
            </w:r>
            <w:r>
              <w:rPr>
                <w:color w:val="auto"/>
              </w:rPr>
              <w:t>a，生活垃圾收集后定期交由环卫部门清运</w:t>
            </w:r>
            <w:r>
              <w:rPr>
                <w:rFonts w:hint="eastAsia"/>
                <w:color w:val="auto"/>
              </w:rPr>
              <w:t>处理</w:t>
            </w:r>
            <w:r>
              <w:rPr>
                <w:color w:val="auto"/>
              </w:rPr>
              <w:t>。</w:t>
            </w:r>
          </w:p>
          <w:p w14:paraId="57C28AF6">
            <w:pPr>
              <w:pStyle w:val="80"/>
              <w:spacing w:line="360" w:lineRule="auto"/>
              <w:ind w:firstLine="482" w:firstLineChars="200"/>
              <w:rPr>
                <w:b/>
                <w:bCs/>
                <w:color w:val="auto"/>
              </w:rPr>
            </w:pPr>
            <w:r>
              <w:rPr>
                <w:b/>
                <w:bCs/>
                <w:color w:val="auto"/>
              </w:rPr>
              <w:t>2）一般工业固体废物</w:t>
            </w:r>
          </w:p>
          <w:p w14:paraId="0BF3D6B6">
            <w:pPr>
              <w:ind w:firstLine="482"/>
              <w:rPr>
                <w:b/>
                <w:bCs/>
                <w:color w:val="auto"/>
                <w:szCs w:val="22"/>
              </w:rPr>
            </w:pPr>
            <w:r>
              <w:rPr>
                <w:rFonts w:hint="eastAsia"/>
                <w:b/>
                <w:bCs/>
                <w:color w:val="auto"/>
                <w:szCs w:val="22"/>
              </w:rPr>
              <w:t>①边角料</w:t>
            </w:r>
          </w:p>
          <w:p w14:paraId="6EC02F78">
            <w:pPr>
              <w:ind w:firstLine="480"/>
              <w:rPr>
                <w:color w:val="auto"/>
                <w:szCs w:val="22"/>
              </w:rPr>
            </w:pPr>
            <w:r>
              <w:rPr>
                <w:rFonts w:hint="eastAsia"/>
                <w:color w:val="auto"/>
                <w:szCs w:val="22"/>
              </w:rPr>
              <w:t>本项目生产过程会产生边角料，边角料产生量约为1.5t/a，外售综合利用。</w:t>
            </w:r>
          </w:p>
          <w:p w14:paraId="409BA366">
            <w:pPr>
              <w:ind w:firstLine="482"/>
              <w:rPr>
                <w:b/>
                <w:bCs/>
                <w:color w:val="auto"/>
                <w:szCs w:val="22"/>
              </w:rPr>
            </w:pPr>
            <w:r>
              <w:rPr>
                <w:rFonts w:hint="eastAsia"/>
                <w:b/>
                <w:bCs/>
                <w:color w:val="auto"/>
                <w:szCs w:val="22"/>
              </w:rPr>
              <w:t>②废包装材料</w:t>
            </w:r>
          </w:p>
          <w:p w14:paraId="349701B1">
            <w:pPr>
              <w:ind w:firstLine="480"/>
              <w:rPr>
                <w:color w:val="auto"/>
                <w:szCs w:val="22"/>
              </w:rPr>
            </w:pPr>
            <w:r>
              <w:rPr>
                <w:color w:val="auto"/>
                <w:szCs w:val="22"/>
              </w:rPr>
              <w:t>本项目原料使用的包装材料为纸箱、塑料薄膜、塑料袋等，拆包后会产生废包装袋，废包装材料产生量约为0.5t/a，外售综合利用。</w:t>
            </w:r>
          </w:p>
          <w:p w14:paraId="62FC77A1">
            <w:pPr>
              <w:pStyle w:val="80"/>
              <w:spacing w:line="360" w:lineRule="auto"/>
              <w:ind w:firstLine="482" w:firstLineChars="200"/>
              <w:rPr>
                <w:b/>
                <w:bCs/>
                <w:color w:val="auto"/>
              </w:rPr>
            </w:pPr>
            <w:r>
              <w:rPr>
                <w:b/>
                <w:bCs/>
                <w:color w:val="auto"/>
              </w:rPr>
              <w:t>3）危险废物</w:t>
            </w:r>
          </w:p>
          <w:p w14:paraId="1B6657E3">
            <w:pPr>
              <w:pStyle w:val="80"/>
              <w:spacing w:line="360" w:lineRule="auto"/>
              <w:ind w:firstLine="482" w:firstLineChars="200"/>
              <w:rPr>
                <w:rFonts w:hint="eastAsia"/>
                <w:b/>
                <w:bCs/>
                <w:color w:val="auto"/>
              </w:rPr>
            </w:pPr>
            <w:r>
              <w:rPr>
                <w:rFonts w:hint="eastAsia"/>
                <w:b/>
                <w:bCs/>
                <w:color w:val="auto"/>
              </w:rPr>
              <w:t>①废机油</w:t>
            </w:r>
          </w:p>
          <w:p w14:paraId="061D356E">
            <w:pPr>
              <w:pStyle w:val="80"/>
              <w:spacing w:line="360" w:lineRule="auto"/>
              <w:ind w:firstLine="480" w:firstLineChars="200"/>
              <w:rPr>
                <w:color w:val="auto"/>
              </w:rPr>
            </w:pPr>
            <w:r>
              <w:rPr>
                <w:color w:val="auto"/>
              </w:rPr>
              <w:t>本项目机械维护保养过程中会更换下一定量的</w:t>
            </w:r>
            <w:r>
              <w:rPr>
                <w:rFonts w:hint="eastAsia"/>
                <w:color w:val="auto"/>
              </w:rPr>
              <w:t>废机油</w:t>
            </w:r>
            <w:r>
              <w:rPr>
                <w:color w:val="auto"/>
              </w:rPr>
              <w:t>。这部分</w:t>
            </w:r>
            <w:r>
              <w:rPr>
                <w:rFonts w:hint="eastAsia"/>
                <w:color w:val="auto"/>
              </w:rPr>
              <w:t>废机油</w:t>
            </w:r>
            <w:r>
              <w:rPr>
                <w:color w:val="auto"/>
              </w:rPr>
              <w:t>的产生量约为</w:t>
            </w:r>
            <w:r>
              <w:rPr>
                <w:rFonts w:hint="eastAsia"/>
                <w:color w:val="auto"/>
              </w:rPr>
              <w:t>0.1</w:t>
            </w:r>
            <w:r>
              <w:rPr>
                <w:color w:val="auto"/>
              </w:rPr>
              <w:t>t</w:t>
            </w:r>
            <w:r>
              <w:rPr>
                <w:rFonts w:hint="eastAsia"/>
                <w:color w:val="auto"/>
              </w:rPr>
              <w:t>/</w:t>
            </w:r>
            <w:r>
              <w:rPr>
                <w:color w:val="auto"/>
              </w:rPr>
              <w:t>a，属于《国家危险废物名录》（2021年版）中HW08</w:t>
            </w:r>
            <w:r>
              <w:rPr>
                <w:rFonts w:hint="eastAsia"/>
                <w:color w:val="auto"/>
              </w:rPr>
              <w:t>废矿物油与含矿物油废物</w:t>
            </w:r>
            <w:r>
              <w:rPr>
                <w:color w:val="auto"/>
              </w:rPr>
              <w:t>，代码为900-214-08，应妥善收集后交由有危废处理资质</w:t>
            </w:r>
            <w:r>
              <w:rPr>
                <w:rFonts w:hint="eastAsia"/>
                <w:color w:val="auto"/>
              </w:rPr>
              <w:t>的</w:t>
            </w:r>
            <w:r>
              <w:rPr>
                <w:color w:val="auto"/>
              </w:rPr>
              <w:t>单位处理。</w:t>
            </w:r>
          </w:p>
          <w:p w14:paraId="3E1120C5">
            <w:pPr>
              <w:pStyle w:val="80"/>
              <w:spacing w:line="360" w:lineRule="auto"/>
              <w:ind w:firstLine="482" w:firstLineChars="200"/>
              <w:rPr>
                <w:b/>
                <w:bCs/>
                <w:color w:val="auto"/>
              </w:rPr>
            </w:pPr>
            <w:r>
              <w:rPr>
                <w:rFonts w:hint="eastAsia"/>
                <w:b/>
                <w:bCs/>
                <w:color w:val="auto"/>
              </w:rPr>
              <w:t>②</w:t>
            </w:r>
            <w:r>
              <w:rPr>
                <w:b/>
                <w:bCs/>
                <w:color w:val="auto"/>
              </w:rPr>
              <w:t>废活性炭</w:t>
            </w:r>
          </w:p>
          <w:p w14:paraId="7D45B15C">
            <w:pPr>
              <w:pStyle w:val="80"/>
              <w:spacing w:line="360" w:lineRule="auto"/>
              <w:ind w:firstLine="480" w:firstLineChars="200"/>
              <w:rPr>
                <w:color w:val="auto"/>
              </w:rPr>
            </w:pPr>
            <w:r>
              <w:rPr>
                <w:color w:val="auto"/>
              </w:rPr>
              <w:t>本项目使用</w:t>
            </w:r>
            <w:r>
              <w:rPr>
                <w:rFonts w:hint="eastAsia"/>
                <w:color w:val="auto"/>
              </w:rPr>
              <w:t>1套“二级活性炭”</w:t>
            </w:r>
            <w:r>
              <w:rPr>
                <w:color w:val="auto"/>
              </w:rPr>
              <w:t>吸附装置对废气进行吸附处理，活性炭经过一定时间的吸附后会达到饱和，应及时更换以保证吸附效率。被更换的废活性炭属于《国家危险废物名录》（2021年版）中HW49其他废物，废物代码为900-039-49。根据前文分析计算，本项目废气</w:t>
            </w:r>
            <w:r>
              <w:rPr>
                <w:rFonts w:hint="eastAsia"/>
                <w:color w:val="auto"/>
              </w:rPr>
              <w:t>处理量</w:t>
            </w:r>
            <w:r>
              <w:rPr>
                <w:color w:val="auto"/>
              </w:rPr>
              <w:t>为</w:t>
            </w:r>
            <w:r>
              <w:rPr>
                <w:rFonts w:hint="eastAsia"/>
                <w:color w:val="auto"/>
              </w:rPr>
              <w:t>3.64</w:t>
            </w:r>
            <w:r>
              <w:rPr>
                <w:color w:val="auto"/>
              </w:rPr>
              <w:t>t</w:t>
            </w:r>
            <w:r>
              <w:rPr>
                <w:rFonts w:hint="eastAsia"/>
                <w:color w:val="auto"/>
              </w:rPr>
              <w:t>/</w:t>
            </w:r>
            <w:r>
              <w:rPr>
                <w:color w:val="auto"/>
              </w:rPr>
              <w:t>a。根据《现代涂装手册》（化学工业出版社，陈治良主编），活性炭的吸附容量一般为25%左右，</w:t>
            </w:r>
            <w:r>
              <w:rPr>
                <w:rFonts w:hint="eastAsia"/>
                <w:color w:val="auto"/>
              </w:rPr>
              <w:t>因此，</w:t>
            </w:r>
            <w:r>
              <w:rPr>
                <w:color w:val="auto"/>
              </w:rPr>
              <w:t>废活性炭产生量</w:t>
            </w:r>
            <w:r>
              <w:rPr>
                <w:rFonts w:hint="eastAsia"/>
                <w:color w:val="auto"/>
              </w:rPr>
              <w:t>为</w:t>
            </w:r>
            <w:r>
              <w:rPr>
                <w:rFonts w:hint="eastAsia"/>
                <w:color w:val="auto"/>
                <w:lang w:eastAsia="zh-CN"/>
              </w:rPr>
              <w:t>19.45</w:t>
            </w:r>
            <w:r>
              <w:rPr>
                <w:rFonts w:hint="eastAsia"/>
                <w:color w:val="auto"/>
              </w:rPr>
              <w:t>t/a</w:t>
            </w:r>
            <w:r>
              <w:rPr>
                <w:color w:val="auto"/>
              </w:rPr>
              <w:t>。废活性</w:t>
            </w:r>
            <w:r>
              <w:rPr>
                <w:rFonts w:hint="eastAsia"/>
                <w:color w:val="auto"/>
              </w:rPr>
              <w:t>炭</w:t>
            </w:r>
            <w:r>
              <w:rPr>
                <w:color w:val="auto"/>
              </w:rPr>
              <w:t>应妥善收集后交由有危废处理资质</w:t>
            </w:r>
            <w:r>
              <w:rPr>
                <w:rFonts w:hint="eastAsia"/>
                <w:color w:val="auto"/>
              </w:rPr>
              <w:t>的</w:t>
            </w:r>
            <w:r>
              <w:rPr>
                <w:color w:val="auto"/>
              </w:rPr>
              <w:t>单位处理。</w:t>
            </w:r>
          </w:p>
          <w:p w14:paraId="0D89A4E0">
            <w:pPr>
              <w:pStyle w:val="80"/>
              <w:spacing w:line="360" w:lineRule="auto"/>
              <w:ind w:firstLine="482" w:firstLineChars="200"/>
              <w:rPr>
                <w:b/>
                <w:bCs/>
                <w:color w:val="auto"/>
              </w:rPr>
            </w:pPr>
            <w:r>
              <w:rPr>
                <w:rFonts w:hint="eastAsia"/>
                <w:b/>
                <w:bCs/>
                <w:color w:val="auto"/>
              </w:rPr>
              <w:t>③废包装桶</w:t>
            </w:r>
          </w:p>
          <w:p w14:paraId="48BDBC82">
            <w:pPr>
              <w:pStyle w:val="80"/>
              <w:spacing w:line="360" w:lineRule="auto"/>
              <w:ind w:firstLine="480" w:firstLineChars="200"/>
              <w:rPr>
                <w:color w:val="auto"/>
              </w:rPr>
            </w:pPr>
            <w:r>
              <w:rPr>
                <w:color w:val="auto"/>
              </w:rPr>
              <w:t>本项目</w:t>
            </w:r>
            <w:r>
              <w:rPr>
                <w:rFonts w:hint="eastAsia"/>
                <w:color w:val="auto"/>
              </w:rPr>
              <w:t>水性油墨、水性墨水、油性墨水使用包装桶装，</w:t>
            </w:r>
            <w:r>
              <w:rPr>
                <w:color w:val="auto"/>
              </w:rPr>
              <w:t>在生产过程中会产生一定量的</w:t>
            </w:r>
            <w:r>
              <w:rPr>
                <w:rFonts w:hint="eastAsia"/>
                <w:color w:val="auto"/>
              </w:rPr>
              <w:t>废包装桶，废包装桶产生量约为0.5t/a。属于</w:t>
            </w:r>
            <w:r>
              <w:rPr>
                <w:color w:val="auto"/>
              </w:rPr>
              <w:t>《国家危险废物名录》（2021年版）中HW49其他废物</w:t>
            </w:r>
            <w:r>
              <w:rPr>
                <w:rFonts w:hint="eastAsia"/>
                <w:color w:val="auto"/>
              </w:rPr>
              <w:t>，</w:t>
            </w:r>
            <w:r>
              <w:rPr>
                <w:color w:val="auto"/>
              </w:rPr>
              <w:t>废物代码为900-041-49</w:t>
            </w:r>
            <w:r>
              <w:rPr>
                <w:rFonts w:hint="eastAsia"/>
                <w:color w:val="auto"/>
              </w:rPr>
              <w:t>，</w:t>
            </w:r>
            <w:r>
              <w:rPr>
                <w:color w:val="auto"/>
              </w:rPr>
              <w:t>应妥善收集后交由有危废处理资质</w:t>
            </w:r>
            <w:r>
              <w:rPr>
                <w:rFonts w:hint="eastAsia"/>
                <w:color w:val="auto"/>
              </w:rPr>
              <w:t>的</w:t>
            </w:r>
            <w:r>
              <w:rPr>
                <w:color w:val="auto"/>
              </w:rPr>
              <w:t>单位处理。</w:t>
            </w:r>
          </w:p>
          <w:p w14:paraId="76C5418D">
            <w:pPr>
              <w:pStyle w:val="80"/>
              <w:spacing w:line="360" w:lineRule="auto"/>
              <w:ind w:firstLine="482" w:firstLineChars="200"/>
              <w:rPr>
                <w:b/>
                <w:bCs/>
                <w:color w:val="auto"/>
              </w:rPr>
            </w:pPr>
            <w:r>
              <w:rPr>
                <w:rFonts w:hint="eastAsia"/>
                <w:b/>
                <w:bCs/>
                <w:color w:val="auto"/>
              </w:rPr>
              <w:t>④废抹布</w:t>
            </w:r>
          </w:p>
          <w:p w14:paraId="787CFCB8">
            <w:pPr>
              <w:pStyle w:val="80"/>
              <w:spacing w:line="360" w:lineRule="auto"/>
              <w:ind w:firstLine="480" w:firstLineChars="200"/>
              <w:rPr>
                <w:color w:val="auto"/>
              </w:rPr>
            </w:pPr>
            <w:r>
              <w:rPr>
                <w:rFonts w:hint="eastAsia"/>
                <w:color w:val="auto"/>
              </w:rPr>
              <w:t>本项目印刷机清洁过程需要使用布料进行擦拭清洁，清洁后会产生废抹布，废包装桶产生量约为0.05t/a。属于</w:t>
            </w:r>
            <w:r>
              <w:rPr>
                <w:color w:val="auto"/>
              </w:rPr>
              <w:t>《国家危险废物名录》（2021年版）中HW49其他废物</w:t>
            </w:r>
            <w:r>
              <w:rPr>
                <w:rFonts w:hint="eastAsia"/>
                <w:color w:val="auto"/>
              </w:rPr>
              <w:t>，</w:t>
            </w:r>
            <w:r>
              <w:rPr>
                <w:color w:val="auto"/>
              </w:rPr>
              <w:t>废物代码为900-041-49</w:t>
            </w:r>
            <w:r>
              <w:rPr>
                <w:rFonts w:hint="eastAsia"/>
                <w:color w:val="auto"/>
                <w:kern w:val="0"/>
              </w:rPr>
              <w:t>，</w:t>
            </w:r>
            <w:r>
              <w:rPr>
                <w:color w:val="auto"/>
              </w:rPr>
              <w:t>应妥善收集后交由有危废处理资质</w:t>
            </w:r>
            <w:r>
              <w:rPr>
                <w:rFonts w:hint="eastAsia"/>
                <w:color w:val="auto"/>
              </w:rPr>
              <w:t>的</w:t>
            </w:r>
            <w:r>
              <w:rPr>
                <w:color w:val="auto"/>
              </w:rPr>
              <w:t>单位处理。</w:t>
            </w:r>
          </w:p>
          <w:p w14:paraId="6F828B01">
            <w:pPr>
              <w:pStyle w:val="58"/>
              <w:ind w:firstLine="422"/>
              <w:rPr>
                <w:color w:val="auto"/>
              </w:rPr>
            </w:pPr>
            <w:r>
              <w:rPr>
                <w:rFonts w:hint="eastAsia"/>
                <w:color w:val="auto"/>
              </w:rPr>
              <w:t>表</w:t>
            </w:r>
            <w:r>
              <w:rPr>
                <w:color w:val="auto"/>
              </w:rPr>
              <w:t>4-</w:t>
            </w:r>
            <w:r>
              <w:rPr>
                <w:rFonts w:hint="eastAsia"/>
                <w:color w:val="auto"/>
              </w:rPr>
              <w:t>1</w:t>
            </w:r>
            <w:r>
              <w:rPr>
                <w:rFonts w:hint="eastAsia"/>
                <w:color w:val="auto"/>
                <w:lang w:val="en-US" w:eastAsia="zh-CN"/>
              </w:rPr>
              <w:t>7</w:t>
            </w:r>
            <w:r>
              <w:rPr>
                <w:rFonts w:hint="eastAsia"/>
                <w:color w:val="auto"/>
              </w:rPr>
              <w:t>固体废物污染源源强核算结果及处理处置方式一览表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19"/>
              <w:gridCol w:w="750"/>
              <w:gridCol w:w="1782"/>
              <w:gridCol w:w="1043"/>
              <w:gridCol w:w="925"/>
              <w:gridCol w:w="674"/>
              <w:gridCol w:w="1166"/>
            </w:tblGrid>
            <w:tr w14:paraId="259A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pct"/>
                  <w:vAlign w:val="center"/>
                </w:tcPr>
                <w:p w14:paraId="7589A885">
                  <w:pPr>
                    <w:pStyle w:val="57"/>
                    <w:rPr>
                      <w:b/>
                      <w:bCs w:val="0"/>
                      <w:color w:val="auto"/>
                    </w:rPr>
                  </w:pPr>
                  <w:r>
                    <w:rPr>
                      <w:rFonts w:hint="eastAsia"/>
                      <w:b/>
                      <w:bCs w:val="0"/>
                      <w:color w:val="auto"/>
                    </w:rPr>
                    <w:t>产生环节</w:t>
                  </w:r>
                </w:p>
              </w:tc>
              <w:tc>
                <w:tcPr>
                  <w:tcW w:w="553" w:type="pct"/>
                  <w:vAlign w:val="center"/>
                </w:tcPr>
                <w:p w14:paraId="41E532A4">
                  <w:pPr>
                    <w:pStyle w:val="57"/>
                    <w:rPr>
                      <w:b/>
                      <w:bCs w:val="0"/>
                      <w:color w:val="auto"/>
                    </w:rPr>
                  </w:pPr>
                  <w:r>
                    <w:rPr>
                      <w:b/>
                      <w:bCs w:val="0"/>
                      <w:color w:val="auto"/>
                    </w:rPr>
                    <w:t>固体废物名称</w:t>
                  </w:r>
                </w:p>
              </w:tc>
              <w:tc>
                <w:tcPr>
                  <w:tcW w:w="451" w:type="pct"/>
                  <w:vAlign w:val="center"/>
                </w:tcPr>
                <w:p w14:paraId="0ADE6613">
                  <w:pPr>
                    <w:pStyle w:val="57"/>
                    <w:rPr>
                      <w:b/>
                      <w:bCs w:val="0"/>
                      <w:color w:val="auto"/>
                    </w:rPr>
                  </w:pPr>
                  <w:r>
                    <w:rPr>
                      <w:b/>
                      <w:bCs w:val="0"/>
                      <w:color w:val="auto"/>
                    </w:rPr>
                    <w:t>属性</w:t>
                  </w:r>
                </w:p>
              </w:tc>
              <w:tc>
                <w:tcPr>
                  <w:tcW w:w="1072" w:type="pct"/>
                  <w:vAlign w:val="center"/>
                </w:tcPr>
                <w:p w14:paraId="746086CF">
                  <w:pPr>
                    <w:pStyle w:val="57"/>
                    <w:rPr>
                      <w:b/>
                      <w:bCs w:val="0"/>
                      <w:color w:val="auto"/>
                    </w:rPr>
                  </w:pPr>
                  <w:r>
                    <w:rPr>
                      <w:rFonts w:hint="eastAsia"/>
                      <w:b/>
                      <w:bCs w:val="0"/>
                      <w:color w:val="auto"/>
                    </w:rPr>
                    <w:t>固废类别</w:t>
                  </w:r>
                </w:p>
              </w:tc>
              <w:tc>
                <w:tcPr>
                  <w:tcW w:w="628" w:type="pct"/>
                  <w:vAlign w:val="center"/>
                </w:tcPr>
                <w:p w14:paraId="2BE53204">
                  <w:pPr>
                    <w:pStyle w:val="57"/>
                    <w:rPr>
                      <w:rFonts w:hint="eastAsia"/>
                      <w:b/>
                      <w:bCs w:val="0"/>
                      <w:color w:val="auto"/>
                    </w:rPr>
                  </w:pPr>
                  <w:r>
                    <w:rPr>
                      <w:rFonts w:hint="eastAsia"/>
                      <w:b/>
                      <w:bCs w:val="0"/>
                      <w:color w:val="auto"/>
                    </w:rPr>
                    <w:t>代码</w:t>
                  </w:r>
                </w:p>
              </w:tc>
              <w:tc>
                <w:tcPr>
                  <w:tcW w:w="557" w:type="pct"/>
                  <w:vAlign w:val="center"/>
                </w:tcPr>
                <w:p w14:paraId="22B10173">
                  <w:pPr>
                    <w:pStyle w:val="57"/>
                    <w:rPr>
                      <w:b/>
                      <w:bCs w:val="0"/>
                      <w:color w:val="auto"/>
                    </w:rPr>
                  </w:pPr>
                  <w:r>
                    <w:rPr>
                      <w:rFonts w:hint="eastAsia"/>
                      <w:b/>
                      <w:bCs w:val="0"/>
                      <w:color w:val="auto"/>
                    </w:rPr>
                    <w:t>年产生量（</w:t>
                  </w:r>
                  <w:r>
                    <w:rPr>
                      <w:b/>
                      <w:bCs w:val="0"/>
                      <w:color w:val="auto"/>
                    </w:rPr>
                    <w:t>t</w:t>
                  </w:r>
                  <w:r>
                    <w:rPr>
                      <w:rFonts w:hint="eastAsia"/>
                      <w:b/>
                      <w:bCs w:val="0"/>
                      <w:color w:val="auto"/>
                    </w:rPr>
                    <w:t>/</w:t>
                  </w:r>
                  <w:r>
                    <w:rPr>
                      <w:b/>
                      <w:bCs w:val="0"/>
                      <w:color w:val="auto"/>
                    </w:rPr>
                    <w:t>a</w:t>
                  </w:r>
                  <w:r>
                    <w:rPr>
                      <w:rFonts w:hint="eastAsia"/>
                      <w:b/>
                      <w:bCs w:val="0"/>
                      <w:color w:val="auto"/>
                    </w:rPr>
                    <w:t>）</w:t>
                  </w:r>
                </w:p>
              </w:tc>
              <w:tc>
                <w:tcPr>
                  <w:tcW w:w="406" w:type="pct"/>
                  <w:vAlign w:val="center"/>
                </w:tcPr>
                <w:p w14:paraId="22D5319C">
                  <w:pPr>
                    <w:pStyle w:val="57"/>
                    <w:rPr>
                      <w:b/>
                      <w:bCs w:val="0"/>
                      <w:color w:val="auto"/>
                    </w:rPr>
                  </w:pPr>
                  <w:r>
                    <w:rPr>
                      <w:rFonts w:hint="eastAsia"/>
                      <w:b/>
                      <w:bCs w:val="0"/>
                      <w:color w:val="auto"/>
                    </w:rPr>
                    <w:t>贮存</w:t>
                  </w:r>
                </w:p>
                <w:p w14:paraId="4DAA8C73">
                  <w:pPr>
                    <w:pStyle w:val="57"/>
                    <w:rPr>
                      <w:b/>
                      <w:bCs w:val="0"/>
                      <w:color w:val="auto"/>
                    </w:rPr>
                  </w:pPr>
                  <w:r>
                    <w:rPr>
                      <w:rFonts w:hint="eastAsia"/>
                      <w:b/>
                      <w:bCs w:val="0"/>
                      <w:color w:val="auto"/>
                    </w:rPr>
                    <w:t>方式</w:t>
                  </w:r>
                </w:p>
              </w:tc>
              <w:tc>
                <w:tcPr>
                  <w:tcW w:w="702" w:type="pct"/>
                  <w:vAlign w:val="center"/>
                </w:tcPr>
                <w:p w14:paraId="563EEF12">
                  <w:pPr>
                    <w:pStyle w:val="57"/>
                    <w:rPr>
                      <w:b/>
                      <w:bCs w:val="0"/>
                      <w:color w:val="auto"/>
                    </w:rPr>
                  </w:pPr>
                  <w:r>
                    <w:rPr>
                      <w:rFonts w:hint="eastAsia"/>
                      <w:b/>
                      <w:bCs w:val="0"/>
                      <w:color w:val="auto"/>
                    </w:rPr>
                    <w:t>利用处置方式和去向</w:t>
                  </w:r>
                </w:p>
              </w:tc>
            </w:tr>
            <w:tr w14:paraId="43C8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28" w:type="pct"/>
                  <w:vAlign w:val="center"/>
                </w:tcPr>
                <w:p w14:paraId="67ED7023">
                  <w:pPr>
                    <w:pStyle w:val="57"/>
                    <w:rPr>
                      <w:color w:val="auto"/>
                    </w:rPr>
                  </w:pPr>
                  <w:r>
                    <w:rPr>
                      <w:rFonts w:hint="eastAsia"/>
                      <w:color w:val="auto"/>
                    </w:rPr>
                    <w:t>厂区</w:t>
                  </w:r>
                </w:p>
              </w:tc>
              <w:tc>
                <w:tcPr>
                  <w:tcW w:w="553" w:type="pct"/>
                  <w:vAlign w:val="center"/>
                </w:tcPr>
                <w:p w14:paraId="309E7914">
                  <w:pPr>
                    <w:pStyle w:val="57"/>
                    <w:rPr>
                      <w:color w:val="auto"/>
                    </w:rPr>
                  </w:pPr>
                  <w:r>
                    <w:rPr>
                      <w:rFonts w:hint="eastAsia"/>
                      <w:color w:val="auto"/>
                    </w:rPr>
                    <w:t>生活垃圾</w:t>
                  </w:r>
                </w:p>
              </w:tc>
              <w:tc>
                <w:tcPr>
                  <w:tcW w:w="451" w:type="pct"/>
                  <w:vAlign w:val="center"/>
                </w:tcPr>
                <w:p w14:paraId="446FD890">
                  <w:pPr>
                    <w:pStyle w:val="57"/>
                    <w:rPr>
                      <w:color w:val="auto"/>
                    </w:rPr>
                  </w:pPr>
                  <w:r>
                    <w:rPr>
                      <w:rFonts w:hint="eastAsia"/>
                      <w:color w:val="auto"/>
                    </w:rPr>
                    <w:t>生活垃圾</w:t>
                  </w:r>
                </w:p>
              </w:tc>
              <w:tc>
                <w:tcPr>
                  <w:tcW w:w="1072" w:type="pct"/>
                  <w:vAlign w:val="center"/>
                </w:tcPr>
                <w:p w14:paraId="70A51476">
                  <w:pPr>
                    <w:pStyle w:val="57"/>
                    <w:rPr>
                      <w:color w:val="auto"/>
                    </w:rPr>
                  </w:pPr>
                  <w:r>
                    <w:rPr>
                      <w:rFonts w:hint="eastAsia"/>
                      <w:color w:val="auto"/>
                    </w:rPr>
                    <w:t>SW62可回收物</w:t>
                  </w:r>
                </w:p>
              </w:tc>
              <w:tc>
                <w:tcPr>
                  <w:tcW w:w="628" w:type="pct"/>
                  <w:vAlign w:val="center"/>
                </w:tcPr>
                <w:p w14:paraId="6F9783B5">
                  <w:pPr>
                    <w:pStyle w:val="57"/>
                    <w:rPr>
                      <w:color w:val="auto"/>
                    </w:rPr>
                  </w:pPr>
                  <w:r>
                    <w:rPr>
                      <w:rFonts w:hint="eastAsia"/>
                      <w:color w:val="auto"/>
                    </w:rPr>
                    <w:t>900-002-S62</w:t>
                  </w:r>
                </w:p>
              </w:tc>
              <w:tc>
                <w:tcPr>
                  <w:tcW w:w="557" w:type="pct"/>
                  <w:vAlign w:val="center"/>
                </w:tcPr>
                <w:p w14:paraId="76FF911B">
                  <w:pPr>
                    <w:pStyle w:val="57"/>
                    <w:rPr>
                      <w:color w:val="auto"/>
                    </w:rPr>
                  </w:pPr>
                  <w:r>
                    <w:rPr>
                      <w:rFonts w:hint="eastAsia"/>
                      <w:color w:val="auto"/>
                    </w:rPr>
                    <w:t>6</w:t>
                  </w:r>
                </w:p>
              </w:tc>
              <w:tc>
                <w:tcPr>
                  <w:tcW w:w="406" w:type="pct"/>
                  <w:vAlign w:val="center"/>
                </w:tcPr>
                <w:p w14:paraId="5CE47716">
                  <w:pPr>
                    <w:pStyle w:val="57"/>
                    <w:rPr>
                      <w:color w:val="auto"/>
                    </w:rPr>
                  </w:pPr>
                  <w:r>
                    <w:rPr>
                      <w:rFonts w:hint="eastAsia"/>
                      <w:color w:val="auto"/>
                    </w:rPr>
                    <w:t>桶装</w:t>
                  </w:r>
                </w:p>
              </w:tc>
              <w:tc>
                <w:tcPr>
                  <w:tcW w:w="702" w:type="pct"/>
                  <w:vAlign w:val="center"/>
                </w:tcPr>
                <w:p w14:paraId="21CCAA28">
                  <w:pPr>
                    <w:pStyle w:val="57"/>
                    <w:rPr>
                      <w:color w:val="auto"/>
                    </w:rPr>
                  </w:pPr>
                  <w:r>
                    <w:rPr>
                      <w:rFonts w:hint="eastAsia"/>
                      <w:color w:val="auto"/>
                    </w:rPr>
                    <w:t>环卫部门清运处理</w:t>
                  </w:r>
                </w:p>
              </w:tc>
            </w:tr>
            <w:tr w14:paraId="0C1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28" w:type="pct"/>
                  <w:vAlign w:val="center"/>
                </w:tcPr>
                <w:p w14:paraId="46B15D60">
                  <w:pPr>
                    <w:pStyle w:val="57"/>
                    <w:rPr>
                      <w:color w:val="auto"/>
                    </w:rPr>
                  </w:pPr>
                  <w:r>
                    <w:rPr>
                      <w:rFonts w:hint="eastAsia"/>
                      <w:color w:val="auto"/>
                    </w:rPr>
                    <w:t>包装</w:t>
                  </w:r>
                </w:p>
              </w:tc>
              <w:tc>
                <w:tcPr>
                  <w:tcW w:w="553" w:type="pct"/>
                  <w:vAlign w:val="center"/>
                </w:tcPr>
                <w:p w14:paraId="16C0FB15">
                  <w:pPr>
                    <w:pStyle w:val="57"/>
                    <w:rPr>
                      <w:color w:val="auto"/>
                    </w:rPr>
                  </w:pPr>
                  <w:r>
                    <w:rPr>
                      <w:rFonts w:hint="eastAsia"/>
                      <w:color w:val="auto"/>
                    </w:rPr>
                    <w:t>废包装材料</w:t>
                  </w:r>
                </w:p>
              </w:tc>
              <w:tc>
                <w:tcPr>
                  <w:tcW w:w="451" w:type="pct"/>
                  <w:vMerge w:val="restart"/>
                  <w:vAlign w:val="center"/>
                </w:tcPr>
                <w:p w14:paraId="20895831">
                  <w:pPr>
                    <w:pStyle w:val="57"/>
                    <w:rPr>
                      <w:rFonts w:hint="eastAsia"/>
                      <w:color w:val="auto"/>
                    </w:rPr>
                  </w:pPr>
                  <w:r>
                    <w:rPr>
                      <w:rFonts w:hint="eastAsia"/>
                      <w:color w:val="auto"/>
                    </w:rPr>
                    <w:t>一般固废</w:t>
                  </w:r>
                </w:p>
              </w:tc>
              <w:tc>
                <w:tcPr>
                  <w:tcW w:w="1072" w:type="pct"/>
                  <w:vAlign w:val="center"/>
                </w:tcPr>
                <w:p w14:paraId="048FCED3">
                  <w:pPr>
                    <w:pStyle w:val="57"/>
                    <w:rPr>
                      <w:rFonts w:hint="eastAsia"/>
                      <w:color w:val="auto"/>
                    </w:rPr>
                  </w:pPr>
                  <w:r>
                    <w:rPr>
                      <w:rFonts w:hint="eastAsia"/>
                      <w:color w:val="auto"/>
                    </w:rPr>
                    <w:t>SW17可再生类废物</w:t>
                  </w:r>
                </w:p>
              </w:tc>
              <w:tc>
                <w:tcPr>
                  <w:tcW w:w="628" w:type="pct"/>
                  <w:vAlign w:val="center"/>
                </w:tcPr>
                <w:p w14:paraId="43E77F89">
                  <w:pPr>
                    <w:pStyle w:val="57"/>
                    <w:rPr>
                      <w:rFonts w:hint="eastAsia"/>
                      <w:color w:val="auto"/>
                    </w:rPr>
                  </w:pPr>
                  <w:r>
                    <w:rPr>
                      <w:rFonts w:hint="eastAsia"/>
                      <w:color w:val="auto"/>
                    </w:rPr>
                    <w:t>900-005-S17</w:t>
                  </w:r>
                </w:p>
              </w:tc>
              <w:tc>
                <w:tcPr>
                  <w:tcW w:w="557" w:type="pct"/>
                  <w:vAlign w:val="center"/>
                </w:tcPr>
                <w:p w14:paraId="369295A6">
                  <w:pPr>
                    <w:pStyle w:val="57"/>
                    <w:rPr>
                      <w:color w:val="auto"/>
                    </w:rPr>
                  </w:pPr>
                  <w:r>
                    <w:rPr>
                      <w:rFonts w:hint="eastAsia"/>
                      <w:color w:val="auto"/>
                    </w:rPr>
                    <w:t>0.5</w:t>
                  </w:r>
                </w:p>
              </w:tc>
              <w:tc>
                <w:tcPr>
                  <w:tcW w:w="406" w:type="pct"/>
                  <w:vAlign w:val="center"/>
                </w:tcPr>
                <w:p w14:paraId="4F07BE9D">
                  <w:pPr>
                    <w:pStyle w:val="57"/>
                    <w:rPr>
                      <w:rFonts w:hint="eastAsia"/>
                      <w:color w:val="auto"/>
                    </w:rPr>
                  </w:pPr>
                  <w:r>
                    <w:rPr>
                      <w:rFonts w:hint="eastAsia"/>
                      <w:color w:val="auto"/>
                    </w:rPr>
                    <w:t>袋装</w:t>
                  </w:r>
                </w:p>
              </w:tc>
              <w:tc>
                <w:tcPr>
                  <w:tcW w:w="702" w:type="pct"/>
                  <w:vMerge w:val="restart"/>
                  <w:vAlign w:val="center"/>
                </w:tcPr>
                <w:p w14:paraId="70BF2959">
                  <w:pPr>
                    <w:pStyle w:val="57"/>
                    <w:rPr>
                      <w:color w:val="auto"/>
                    </w:rPr>
                  </w:pPr>
                  <w:r>
                    <w:rPr>
                      <w:rFonts w:hint="eastAsia"/>
                      <w:color w:val="auto"/>
                    </w:rPr>
                    <w:t>外售综合利用</w:t>
                  </w:r>
                </w:p>
              </w:tc>
            </w:tr>
            <w:tr w14:paraId="3F3C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28" w:type="pct"/>
                  <w:vAlign w:val="center"/>
                </w:tcPr>
                <w:p w14:paraId="78826771">
                  <w:pPr>
                    <w:pStyle w:val="57"/>
                    <w:rPr>
                      <w:rFonts w:hint="eastAsia"/>
                      <w:color w:val="auto"/>
                    </w:rPr>
                  </w:pPr>
                  <w:r>
                    <w:rPr>
                      <w:rFonts w:hint="eastAsia"/>
                      <w:color w:val="auto"/>
                    </w:rPr>
                    <w:t>废气治理</w:t>
                  </w:r>
                </w:p>
              </w:tc>
              <w:tc>
                <w:tcPr>
                  <w:tcW w:w="553" w:type="pct"/>
                  <w:vAlign w:val="center"/>
                </w:tcPr>
                <w:p w14:paraId="3D3CB5FA">
                  <w:pPr>
                    <w:pStyle w:val="57"/>
                    <w:rPr>
                      <w:color w:val="auto"/>
                    </w:rPr>
                  </w:pPr>
                  <w:r>
                    <w:rPr>
                      <w:rFonts w:hint="eastAsia"/>
                      <w:color w:val="auto"/>
                    </w:rPr>
                    <w:t>边角料</w:t>
                  </w:r>
                </w:p>
              </w:tc>
              <w:tc>
                <w:tcPr>
                  <w:tcW w:w="451" w:type="pct"/>
                  <w:vMerge w:val="continue"/>
                  <w:vAlign w:val="center"/>
                </w:tcPr>
                <w:p w14:paraId="48FD9F6F">
                  <w:pPr>
                    <w:pStyle w:val="57"/>
                    <w:rPr>
                      <w:rFonts w:hint="eastAsia"/>
                      <w:color w:val="auto"/>
                    </w:rPr>
                  </w:pPr>
                </w:p>
              </w:tc>
              <w:tc>
                <w:tcPr>
                  <w:tcW w:w="1072" w:type="pct"/>
                  <w:vAlign w:val="center"/>
                </w:tcPr>
                <w:p w14:paraId="19FEEC94">
                  <w:pPr>
                    <w:pStyle w:val="57"/>
                    <w:rPr>
                      <w:rFonts w:hint="eastAsia"/>
                      <w:color w:val="auto"/>
                    </w:rPr>
                  </w:pPr>
                  <w:r>
                    <w:rPr>
                      <w:rFonts w:hint="eastAsia"/>
                      <w:color w:val="auto"/>
                    </w:rPr>
                    <w:t>SW17可再生类废物</w:t>
                  </w:r>
                </w:p>
              </w:tc>
              <w:tc>
                <w:tcPr>
                  <w:tcW w:w="628" w:type="pct"/>
                  <w:vAlign w:val="center"/>
                </w:tcPr>
                <w:p w14:paraId="7117B6A7">
                  <w:pPr>
                    <w:pStyle w:val="57"/>
                    <w:rPr>
                      <w:rFonts w:hint="eastAsia"/>
                      <w:color w:val="auto"/>
                    </w:rPr>
                  </w:pPr>
                  <w:r>
                    <w:rPr>
                      <w:rFonts w:hint="eastAsia"/>
                      <w:color w:val="auto"/>
                    </w:rPr>
                    <w:t>900-003-S17</w:t>
                  </w:r>
                </w:p>
              </w:tc>
              <w:tc>
                <w:tcPr>
                  <w:tcW w:w="557" w:type="pct"/>
                  <w:vAlign w:val="center"/>
                </w:tcPr>
                <w:p w14:paraId="38243268">
                  <w:pPr>
                    <w:pStyle w:val="57"/>
                    <w:rPr>
                      <w:color w:val="auto"/>
                    </w:rPr>
                  </w:pPr>
                  <w:r>
                    <w:rPr>
                      <w:rFonts w:hint="eastAsia"/>
                      <w:bCs w:val="0"/>
                      <w:color w:val="auto"/>
                      <w:szCs w:val="22"/>
                    </w:rPr>
                    <w:t>1.5</w:t>
                  </w:r>
                </w:p>
              </w:tc>
              <w:tc>
                <w:tcPr>
                  <w:tcW w:w="406" w:type="pct"/>
                  <w:vAlign w:val="center"/>
                </w:tcPr>
                <w:p w14:paraId="5B255711">
                  <w:pPr>
                    <w:pStyle w:val="57"/>
                    <w:rPr>
                      <w:rFonts w:hint="eastAsia"/>
                      <w:color w:val="auto"/>
                    </w:rPr>
                  </w:pPr>
                  <w:r>
                    <w:rPr>
                      <w:rFonts w:hint="eastAsia"/>
                      <w:color w:val="auto"/>
                    </w:rPr>
                    <w:t>袋装</w:t>
                  </w:r>
                </w:p>
              </w:tc>
              <w:tc>
                <w:tcPr>
                  <w:tcW w:w="702" w:type="pct"/>
                  <w:vMerge w:val="continue"/>
                  <w:vAlign w:val="center"/>
                </w:tcPr>
                <w:p w14:paraId="1E1C0076">
                  <w:pPr>
                    <w:pStyle w:val="57"/>
                    <w:rPr>
                      <w:color w:val="auto"/>
                    </w:rPr>
                  </w:pPr>
                </w:p>
              </w:tc>
            </w:tr>
            <w:tr w14:paraId="30B0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pct"/>
                  <w:vAlign w:val="center"/>
                </w:tcPr>
                <w:p w14:paraId="26A5E4BB">
                  <w:pPr>
                    <w:pStyle w:val="57"/>
                    <w:rPr>
                      <w:color w:val="auto"/>
                    </w:rPr>
                  </w:pPr>
                  <w:r>
                    <w:rPr>
                      <w:rFonts w:hint="eastAsia"/>
                      <w:color w:val="auto"/>
                    </w:rPr>
                    <w:t>设备维护</w:t>
                  </w:r>
                </w:p>
              </w:tc>
              <w:tc>
                <w:tcPr>
                  <w:tcW w:w="553" w:type="pct"/>
                  <w:vAlign w:val="center"/>
                </w:tcPr>
                <w:p w14:paraId="7E11DCD6">
                  <w:pPr>
                    <w:pStyle w:val="57"/>
                    <w:rPr>
                      <w:color w:val="auto"/>
                    </w:rPr>
                  </w:pPr>
                  <w:r>
                    <w:rPr>
                      <w:rFonts w:hint="eastAsia"/>
                      <w:color w:val="auto"/>
                    </w:rPr>
                    <w:t>废机油</w:t>
                  </w:r>
                </w:p>
              </w:tc>
              <w:tc>
                <w:tcPr>
                  <w:tcW w:w="451" w:type="pct"/>
                  <w:vMerge w:val="restart"/>
                  <w:vAlign w:val="center"/>
                </w:tcPr>
                <w:p w14:paraId="2DC2868B">
                  <w:pPr>
                    <w:pStyle w:val="57"/>
                    <w:rPr>
                      <w:color w:val="auto"/>
                    </w:rPr>
                  </w:pPr>
                  <w:r>
                    <w:rPr>
                      <w:rFonts w:hint="eastAsia"/>
                      <w:color w:val="auto"/>
                    </w:rPr>
                    <w:t>危险废物</w:t>
                  </w:r>
                </w:p>
              </w:tc>
              <w:tc>
                <w:tcPr>
                  <w:tcW w:w="1072" w:type="pct"/>
                  <w:vAlign w:val="center"/>
                </w:tcPr>
                <w:p w14:paraId="789D5D4A">
                  <w:pPr>
                    <w:pStyle w:val="57"/>
                    <w:rPr>
                      <w:rFonts w:hint="eastAsia"/>
                      <w:color w:val="auto"/>
                    </w:rPr>
                  </w:pPr>
                  <w:r>
                    <w:rPr>
                      <w:rFonts w:hint="eastAsia"/>
                      <w:color w:val="auto"/>
                    </w:rPr>
                    <w:t>HW08废矿物油与含矿物油废物</w:t>
                  </w:r>
                </w:p>
              </w:tc>
              <w:tc>
                <w:tcPr>
                  <w:tcW w:w="628" w:type="pct"/>
                  <w:vAlign w:val="center"/>
                </w:tcPr>
                <w:p w14:paraId="7B1BC952">
                  <w:pPr>
                    <w:pStyle w:val="57"/>
                    <w:rPr>
                      <w:rFonts w:hint="eastAsia"/>
                      <w:color w:val="auto"/>
                    </w:rPr>
                  </w:pPr>
                  <w:r>
                    <w:rPr>
                      <w:rFonts w:hint="eastAsia"/>
                      <w:color w:val="auto"/>
                    </w:rPr>
                    <w:t>900-214-08</w:t>
                  </w:r>
                </w:p>
              </w:tc>
              <w:tc>
                <w:tcPr>
                  <w:tcW w:w="557" w:type="pct"/>
                  <w:vAlign w:val="center"/>
                </w:tcPr>
                <w:p w14:paraId="3B1E7175">
                  <w:pPr>
                    <w:pStyle w:val="57"/>
                    <w:rPr>
                      <w:color w:val="auto"/>
                    </w:rPr>
                  </w:pPr>
                  <w:r>
                    <w:rPr>
                      <w:rFonts w:hint="eastAsia"/>
                      <w:color w:val="auto"/>
                    </w:rPr>
                    <w:t>0.1</w:t>
                  </w:r>
                </w:p>
              </w:tc>
              <w:tc>
                <w:tcPr>
                  <w:tcW w:w="406" w:type="pct"/>
                  <w:vAlign w:val="center"/>
                </w:tcPr>
                <w:p w14:paraId="198A0D07">
                  <w:pPr>
                    <w:pStyle w:val="57"/>
                    <w:rPr>
                      <w:rFonts w:hint="eastAsia"/>
                      <w:color w:val="auto"/>
                    </w:rPr>
                  </w:pPr>
                  <w:r>
                    <w:rPr>
                      <w:rFonts w:hint="eastAsia"/>
                      <w:color w:val="auto"/>
                    </w:rPr>
                    <w:t>桶装</w:t>
                  </w:r>
                </w:p>
              </w:tc>
              <w:tc>
                <w:tcPr>
                  <w:tcW w:w="702" w:type="pct"/>
                  <w:vMerge w:val="restart"/>
                  <w:vAlign w:val="center"/>
                </w:tcPr>
                <w:p w14:paraId="4A0CA84D">
                  <w:pPr>
                    <w:pStyle w:val="57"/>
                    <w:rPr>
                      <w:color w:val="auto"/>
                    </w:rPr>
                  </w:pPr>
                  <w:r>
                    <w:rPr>
                      <w:rFonts w:hint="eastAsia"/>
                      <w:color w:val="auto"/>
                    </w:rPr>
                    <w:t>交由有资质的危废处理单位处理</w:t>
                  </w:r>
                </w:p>
              </w:tc>
            </w:tr>
            <w:tr w14:paraId="37D6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28" w:type="pct"/>
                  <w:vAlign w:val="center"/>
                </w:tcPr>
                <w:p w14:paraId="010BBA27">
                  <w:pPr>
                    <w:pStyle w:val="57"/>
                    <w:rPr>
                      <w:rFonts w:hint="eastAsia"/>
                      <w:color w:val="auto"/>
                    </w:rPr>
                  </w:pPr>
                  <w:r>
                    <w:rPr>
                      <w:rFonts w:hint="eastAsia"/>
                      <w:color w:val="auto"/>
                    </w:rPr>
                    <w:t>废气治理</w:t>
                  </w:r>
                </w:p>
              </w:tc>
              <w:tc>
                <w:tcPr>
                  <w:tcW w:w="553" w:type="pct"/>
                  <w:vAlign w:val="center"/>
                </w:tcPr>
                <w:p w14:paraId="293286CF">
                  <w:pPr>
                    <w:pStyle w:val="57"/>
                    <w:rPr>
                      <w:rFonts w:hint="eastAsia"/>
                      <w:color w:val="auto"/>
                    </w:rPr>
                  </w:pPr>
                  <w:r>
                    <w:rPr>
                      <w:rFonts w:hint="eastAsia"/>
                      <w:color w:val="auto"/>
                    </w:rPr>
                    <w:t>废活性炭</w:t>
                  </w:r>
                </w:p>
              </w:tc>
              <w:tc>
                <w:tcPr>
                  <w:tcW w:w="451" w:type="pct"/>
                  <w:vMerge w:val="continue"/>
                  <w:vAlign w:val="center"/>
                </w:tcPr>
                <w:p w14:paraId="4CC40EC5">
                  <w:pPr>
                    <w:pStyle w:val="57"/>
                    <w:rPr>
                      <w:rFonts w:hint="eastAsia"/>
                      <w:color w:val="auto"/>
                    </w:rPr>
                  </w:pPr>
                </w:p>
              </w:tc>
              <w:tc>
                <w:tcPr>
                  <w:tcW w:w="1072" w:type="pct"/>
                  <w:vAlign w:val="center"/>
                </w:tcPr>
                <w:p w14:paraId="7A046AD9">
                  <w:pPr>
                    <w:pStyle w:val="57"/>
                    <w:rPr>
                      <w:rFonts w:hint="eastAsia"/>
                      <w:color w:val="auto"/>
                    </w:rPr>
                  </w:pPr>
                  <w:r>
                    <w:rPr>
                      <w:color w:val="auto"/>
                    </w:rPr>
                    <w:t>HW49</w:t>
                  </w:r>
                  <w:r>
                    <w:rPr>
                      <w:rFonts w:hint="eastAsia"/>
                      <w:color w:val="auto"/>
                    </w:rPr>
                    <w:t>其它废物</w:t>
                  </w:r>
                </w:p>
              </w:tc>
              <w:tc>
                <w:tcPr>
                  <w:tcW w:w="628" w:type="pct"/>
                  <w:vAlign w:val="center"/>
                </w:tcPr>
                <w:p w14:paraId="70576120">
                  <w:pPr>
                    <w:pStyle w:val="57"/>
                    <w:rPr>
                      <w:rFonts w:hint="eastAsia"/>
                      <w:color w:val="auto"/>
                    </w:rPr>
                  </w:pPr>
                  <w:r>
                    <w:rPr>
                      <w:color w:val="auto"/>
                    </w:rPr>
                    <w:t>900-039-49</w:t>
                  </w:r>
                </w:p>
              </w:tc>
              <w:tc>
                <w:tcPr>
                  <w:tcW w:w="557" w:type="pct"/>
                  <w:vAlign w:val="center"/>
                </w:tcPr>
                <w:p w14:paraId="4D3D1769">
                  <w:pPr>
                    <w:pStyle w:val="57"/>
                    <w:rPr>
                      <w:rFonts w:hint="eastAsia" w:eastAsia="宋体"/>
                      <w:color w:val="auto"/>
                      <w:lang w:eastAsia="zh-CN"/>
                    </w:rPr>
                  </w:pPr>
                  <w:r>
                    <w:rPr>
                      <w:rFonts w:hint="eastAsia"/>
                      <w:color w:val="auto"/>
                      <w:lang w:eastAsia="zh-CN"/>
                    </w:rPr>
                    <w:t>19.45</w:t>
                  </w:r>
                </w:p>
              </w:tc>
              <w:tc>
                <w:tcPr>
                  <w:tcW w:w="406" w:type="pct"/>
                  <w:vAlign w:val="center"/>
                </w:tcPr>
                <w:p w14:paraId="5A084672">
                  <w:pPr>
                    <w:pStyle w:val="57"/>
                    <w:rPr>
                      <w:rFonts w:hint="eastAsia"/>
                      <w:color w:val="auto"/>
                    </w:rPr>
                  </w:pPr>
                  <w:r>
                    <w:rPr>
                      <w:rFonts w:hint="eastAsia"/>
                      <w:color w:val="auto"/>
                    </w:rPr>
                    <w:t>袋装</w:t>
                  </w:r>
                </w:p>
              </w:tc>
              <w:tc>
                <w:tcPr>
                  <w:tcW w:w="702" w:type="pct"/>
                  <w:vMerge w:val="continue"/>
                  <w:vAlign w:val="center"/>
                </w:tcPr>
                <w:p w14:paraId="7BA7DD43">
                  <w:pPr>
                    <w:pStyle w:val="57"/>
                    <w:rPr>
                      <w:rFonts w:hint="eastAsia"/>
                      <w:color w:val="auto"/>
                    </w:rPr>
                  </w:pPr>
                </w:p>
              </w:tc>
            </w:tr>
            <w:tr w14:paraId="7B2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pct"/>
                  <w:vAlign w:val="center"/>
                </w:tcPr>
                <w:p w14:paraId="59900760">
                  <w:pPr>
                    <w:pStyle w:val="57"/>
                    <w:rPr>
                      <w:rFonts w:hint="eastAsia"/>
                      <w:color w:val="auto"/>
                    </w:rPr>
                  </w:pPr>
                  <w:r>
                    <w:rPr>
                      <w:rFonts w:hint="eastAsia"/>
                      <w:color w:val="auto"/>
                    </w:rPr>
                    <w:t>包装</w:t>
                  </w:r>
                </w:p>
              </w:tc>
              <w:tc>
                <w:tcPr>
                  <w:tcW w:w="553" w:type="pct"/>
                  <w:vAlign w:val="center"/>
                </w:tcPr>
                <w:p w14:paraId="24ED5F50">
                  <w:pPr>
                    <w:pStyle w:val="57"/>
                    <w:rPr>
                      <w:rFonts w:hint="eastAsia"/>
                      <w:color w:val="auto"/>
                    </w:rPr>
                  </w:pPr>
                  <w:r>
                    <w:rPr>
                      <w:rFonts w:hint="eastAsia"/>
                      <w:color w:val="auto"/>
                    </w:rPr>
                    <w:t>废包装桶</w:t>
                  </w:r>
                </w:p>
              </w:tc>
              <w:tc>
                <w:tcPr>
                  <w:tcW w:w="451" w:type="pct"/>
                  <w:vMerge w:val="continue"/>
                  <w:vAlign w:val="center"/>
                </w:tcPr>
                <w:p w14:paraId="184756CB">
                  <w:pPr>
                    <w:pStyle w:val="57"/>
                    <w:rPr>
                      <w:rFonts w:hint="eastAsia"/>
                      <w:color w:val="auto"/>
                    </w:rPr>
                  </w:pPr>
                </w:p>
              </w:tc>
              <w:tc>
                <w:tcPr>
                  <w:tcW w:w="1072" w:type="pct"/>
                  <w:vAlign w:val="center"/>
                </w:tcPr>
                <w:p w14:paraId="3917E53C">
                  <w:pPr>
                    <w:pStyle w:val="57"/>
                    <w:rPr>
                      <w:rFonts w:hint="eastAsia"/>
                      <w:color w:val="auto"/>
                    </w:rPr>
                  </w:pPr>
                  <w:r>
                    <w:rPr>
                      <w:color w:val="auto"/>
                    </w:rPr>
                    <w:t>HW49其他废物</w:t>
                  </w:r>
                </w:p>
              </w:tc>
              <w:tc>
                <w:tcPr>
                  <w:tcW w:w="628" w:type="pct"/>
                  <w:vAlign w:val="center"/>
                </w:tcPr>
                <w:p w14:paraId="439A7E9C">
                  <w:pPr>
                    <w:pStyle w:val="57"/>
                    <w:rPr>
                      <w:rFonts w:hint="eastAsia"/>
                      <w:color w:val="auto"/>
                    </w:rPr>
                  </w:pPr>
                  <w:r>
                    <w:rPr>
                      <w:rFonts w:hint="eastAsia"/>
                      <w:color w:val="auto"/>
                    </w:rPr>
                    <w:t>900-041-49</w:t>
                  </w:r>
                </w:p>
              </w:tc>
              <w:tc>
                <w:tcPr>
                  <w:tcW w:w="557" w:type="pct"/>
                  <w:vAlign w:val="center"/>
                </w:tcPr>
                <w:p w14:paraId="3C527756">
                  <w:pPr>
                    <w:pStyle w:val="57"/>
                    <w:rPr>
                      <w:rFonts w:hint="eastAsia"/>
                      <w:color w:val="auto"/>
                    </w:rPr>
                  </w:pPr>
                  <w:r>
                    <w:rPr>
                      <w:rFonts w:hint="eastAsia"/>
                      <w:color w:val="auto"/>
                    </w:rPr>
                    <w:t>0.5</w:t>
                  </w:r>
                </w:p>
              </w:tc>
              <w:tc>
                <w:tcPr>
                  <w:tcW w:w="406" w:type="pct"/>
                  <w:vAlign w:val="center"/>
                </w:tcPr>
                <w:p w14:paraId="3ABFB841">
                  <w:pPr>
                    <w:pStyle w:val="57"/>
                    <w:rPr>
                      <w:rFonts w:hint="eastAsia"/>
                      <w:color w:val="auto"/>
                    </w:rPr>
                  </w:pPr>
                  <w:r>
                    <w:rPr>
                      <w:rFonts w:hint="eastAsia"/>
                      <w:color w:val="auto"/>
                    </w:rPr>
                    <w:t>桶装</w:t>
                  </w:r>
                </w:p>
              </w:tc>
              <w:tc>
                <w:tcPr>
                  <w:tcW w:w="702" w:type="pct"/>
                  <w:vMerge w:val="continue"/>
                  <w:vAlign w:val="center"/>
                </w:tcPr>
                <w:p w14:paraId="154ACCAE">
                  <w:pPr>
                    <w:pStyle w:val="57"/>
                    <w:rPr>
                      <w:rFonts w:hint="eastAsia"/>
                      <w:color w:val="auto"/>
                    </w:rPr>
                  </w:pPr>
                </w:p>
              </w:tc>
            </w:tr>
            <w:tr w14:paraId="6A3B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pct"/>
                  <w:vAlign w:val="center"/>
                </w:tcPr>
                <w:p w14:paraId="7CE22C2C">
                  <w:pPr>
                    <w:pStyle w:val="57"/>
                    <w:rPr>
                      <w:color w:val="auto"/>
                    </w:rPr>
                  </w:pPr>
                  <w:r>
                    <w:rPr>
                      <w:rFonts w:hint="eastAsia"/>
                      <w:color w:val="auto"/>
                    </w:rPr>
                    <w:t>设备清洁</w:t>
                  </w:r>
                </w:p>
              </w:tc>
              <w:tc>
                <w:tcPr>
                  <w:tcW w:w="553" w:type="pct"/>
                  <w:vAlign w:val="center"/>
                </w:tcPr>
                <w:p w14:paraId="38D938EF">
                  <w:pPr>
                    <w:pStyle w:val="57"/>
                    <w:rPr>
                      <w:rFonts w:hint="eastAsia"/>
                      <w:color w:val="auto"/>
                    </w:rPr>
                  </w:pPr>
                  <w:r>
                    <w:rPr>
                      <w:rFonts w:hint="eastAsia"/>
                      <w:color w:val="auto"/>
                    </w:rPr>
                    <w:t>废抹布</w:t>
                  </w:r>
                </w:p>
              </w:tc>
              <w:tc>
                <w:tcPr>
                  <w:tcW w:w="451" w:type="pct"/>
                  <w:vMerge w:val="continue"/>
                  <w:vAlign w:val="center"/>
                </w:tcPr>
                <w:p w14:paraId="50BFB519">
                  <w:pPr>
                    <w:pStyle w:val="57"/>
                    <w:rPr>
                      <w:rFonts w:hint="eastAsia"/>
                      <w:color w:val="auto"/>
                    </w:rPr>
                  </w:pPr>
                </w:p>
              </w:tc>
              <w:tc>
                <w:tcPr>
                  <w:tcW w:w="1072" w:type="pct"/>
                  <w:vAlign w:val="center"/>
                </w:tcPr>
                <w:p w14:paraId="52970B2B">
                  <w:pPr>
                    <w:pStyle w:val="57"/>
                    <w:rPr>
                      <w:color w:val="auto"/>
                    </w:rPr>
                  </w:pPr>
                  <w:r>
                    <w:rPr>
                      <w:color w:val="auto"/>
                    </w:rPr>
                    <w:t>HW49其他废物</w:t>
                  </w:r>
                </w:p>
              </w:tc>
              <w:tc>
                <w:tcPr>
                  <w:tcW w:w="628" w:type="pct"/>
                  <w:vAlign w:val="center"/>
                </w:tcPr>
                <w:p w14:paraId="4F92BDA7">
                  <w:pPr>
                    <w:pStyle w:val="57"/>
                    <w:rPr>
                      <w:rFonts w:hint="eastAsia"/>
                      <w:color w:val="auto"/>
                    </w:rPr>
                  </w:pPr>
                  <w:r>
                    <w:rPr>
                      <w:rFonts w:hint="eastAsia"/>
                      <w:color w:val="auto"/>
                    </w:rPr>
                    <w:t>900-041-49</w:t>
                  </w:r>
                </w:p>
              </w:tc>
              <w:tc>
                <w:tcPr>
                  <w:tcW w:w="557" w:type="pct"/>
                  <w:vAlign w:val="center"/>
                </w:tcPr>
                <w:p w14:paraId="7C6108F6">
                  <w:pPr>
                    <w:pStyle w:val="57"/>
                    <w:rPr>
                      <w:color w:val="auto"/>
                    </w:rPr>
                  </w:pPr>
                  <w:r>
                    <w:rPr>
                      <w:rFonts w:hint="eastAsia"/>
                      <w:color w:val="auto"/>
                    </w:rPr>
                    <w:t>0.05</w:t>
                  </w:r>
                </w:p>
              </w:tc>
              <w:tc>
                <w:tcPr>
                  <w:tcW w:w="406" w:type="pct"/>
                  <w:vAlign w:val="center"/>
                </w:tcPr>
                <w:p w14:paraId="49C0C519">
                  <w:pPr>
                    <w:pStyle w:val="57"/>
                    <w:rPr>
                      <w:rFonts w:hint="eastAsia"/>
                      <w:color w:val="auto"/>
                    </w:rPr>
                  </w:pPr>
                  <w:r>
                    <w:rPr>
                      <w:rFonts w:hint="eastAsia"/>
                      <w:color w:val="auto"/>
                    </w:rPr>
                    <w:t>桶装</w:t>
                  </w:r>
                </w:p>
              </w:tc>
              <w:tc>
                <w:tcPr>
                  <w:tcW w:w="702" w:type="pct"/>
                  <w:vMerge w:val="continue"/>
                  <w:vAlign w:val="center"/>
                </w:tcPr>
                <w:p w14:paraId="4F4F4C26">
                  <w:pPr>
                    <w:pStyle w:val="57"/>
                    <w:rPr>
                      <w:rFonts w:hint="eastAsia"/>
                      <w:color w:val="auto"/>
                    </w:rPr>
                  </w:pPr>
                </w:p>
              </w:tc>
            </w:tr>
          </w:tbl>
          <w:p w14:paraId="24097813">
            <w:pPr>
              <w:pStyle w:val="58"/>
              <w:ind w:firstLine="422"/>
              <w:rPr>
                <w:color w:val="auto"/>
              </w:rPr>
            </w:pPr>
            <w:r>
              <w:rPr>
                <w:rFonts w:hint="eastAsia"/>
                <w:color w:val="auto"/>
              </w:rPr>
              <w:t>表</w:t>
            </w:r>
            <w:r>
              <w:rPr>
                <w:color w:val="auto"/>
              </w:rPr>
              <w:t>4-</w:t>
            </w:r>
            <w:r>
              <w:rPr>
                <w:rFonts w:hint="eastAsia"/>
                <w:color w:val="auto"/>
                <w:lang w:val="en-US" w:eastAsia="zh-CN"/>
              </w:rPr>
              <w:t>18</w:t>
            </w:r>
            <w:r>
              <w:rPr>
                <w:rFonts w:hint="eastAsia"/>
                <w:color w:val="auto"/>
              </w:rPr>
              <w:t>危险废物汇总表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93"/>
              <w:gridCol w:w="1183"/>
              <w:gridCol w:w="815"/>
              <w:gridCol w:w="531"/>
              <w:gridCol w:w="647"/>
              <w:gridCol w:w="612"/>
              <w:gridCol w:w="719"/>
              <w:gridCol w:w="727"/>
              <w:gridCol w:w="585"/>
              <w:gridCol w:w="679"/>
              <w:gridCol w:w="706"/>
            </w:tblGrid>
            <w:tr w14:paraId="6F2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Merge w:val="restart"/>
                  <w:vAlign w:val="center"/>
                </w:tcPr>
                <w:p w14:paraId="2CECB7BE">
                  <w:pPr>
                    <w:pStyle w:val="57"/>
                    <w:rPr>
                      <w:b/>
                      <w:bCs w:val="0"/>
                      <w:color w:val="auto"/>
                    </w:rPr>
                  </w:pPr>
                  <w:r>
                    <w:rPr>
                      <w:rFonts w:hint="eastAsia"/>
                      <w:b/>
                      <w:bCs w:val="0"/>
                      <w:color w:val="auto"/>
                    </w:rPr>
                    <w:t>序号</w:t>
                  </w:r>
                </w:p>
              </w:tc>
              <w:tc>
                <w:tcPr>
                  <w:tcW w:w="1618" w:type="pct"/>
                  <w:gridSpan w:val="3"/>
                  <w:vAlign w:val="center"/>
                </w:tcPr>
                <w:p w14:paraId="2BC4D4EE">
                  <w:pPr>
                    <w:pStyle w:val="57"/>
                    <w:rPr>
                      <w:b/>
                      <w:bCs w:val="0"/>
                      <w:color w:val="auto"/>
                    </w:rPr>
                  </w:pPr>
                  <w:r>
                    <w:rPr>
                      <w:rFonts w:hint="eastAsia"/>
                      <w:b/>
                      <w:bCs w:val="0"/>
                      <w:color w:val="auto"/>
                    </w:rPr>
                    <w:t>危险废物</w:t>
                  </w:r>
                </w:p>
              </w:tc>
              <w:tc>
                <w:tcPr>
                  <w:tcW w:w="319" w:type="pct"/>
                  <w:vMerge w:val="restart"/>
                  <w:vAlign w:val="center"/>
                </w:tcPr>
                <w:p w14:paraId="081DC388">
                  <w:pPr>
                    <w:pStyle w:val="57"/>
                    <w:rPr>
                      <w:b/>
                      <w:bCs w:val="0"/>
                      <w:color w:val="auto"/>
                    </w:rPr>
                  </w:pPr>
                  <w:r>
                    <w:rPr>
                      <w:rFonts w:hint="eastAsia"/>
                      <w:b/>
                      <w:bCs w:val="0"/>
                      <w:color w:val="auto"/>
                    </w:rPr>
                    <w:t>产生量</w:t>
                  </w:r>
                </w:p>
                <w:p w14:paraId="094BB2BB">
                  <w:pPr>
                    <w:pStyle w:val="57"/>
                    <w:rPr>
                      <w:b/>
                      <w:bCs w:val="0"/>
                      <w:color w:val="auto"/>
                    </w:rPr>
                  </w:pPr>
                  <w:r>
                    <w:rPr>
                      <w:rFonts w:hint="eastAsia"/>
                      <w:b/>
                      <w:bCs w:val="0"/>
                      <w:color w:val="auto"/>
                    </w:rPr>
                    <w:t>（t/a）</w:t>
                  </w:r>
                </w:p>
              </w:tc>
              <w:tc>
                <w:tcPr>
                  <w:tcW w:w="389" w:type="pct"/>
                  <w:vMerge w:val="restart"/>
                  <w:vAlign w:val="center"/>
                </w:tcPr>
                <w:p w14:paraId="06B60416">
                  <w:pPr>
                    <w:pStyle w:val="57"/>
                    <w:rPr>
                      <w:b/>
                      <w:bCs w:val="0"/>
                      <w:color w:val="auto"/>
                    </w:rPr>
                  </w:pPr>
                  <w:r>
                    <w:rPr>
                      <w:rFonts w:hint="eastAsia"/>
                      <w:b/>
                      <w:bCs w:val="0"/>
                      <w:color w:val="auto"/>
                    </w:rPr>
                    <w:t>产生工序</w:t>
                  </w:r>
                </w:p>
              </w:tc>
              <w:tc>
                <w:tcPr>
                  <w:tcW w:w="368" w:type="pct"/>
                  <w:vMerge w:val="restart"/>
                  <w:vAlign w:val="center"/>
                </w:tcPr>
                <w:p w14:paraId="4E60BA12">
                  <w:pPr>
                    <w:pStyle w:val="57"/>
                    <w:rPr>
                      <w:b/>
                      <w:bCs w:val="0"/>
                      <w:color w:val="auto"/>
                    </w:rPr>
                  </w:pPr>
                  <w:r>
                    <w:rPr>
                      <w:rFonts w:hint="eastAsia"/>
                      <w:b/>
                      <w:bCs w:val="0"/>
                      <w:color w:val="auto"/>
                    </w:rPr>
                    <w:t>形态</w:t>
                  </w:r>
                </w:p>
              </w:tc>
              <w:tc>
                <w:tcPr>
                  <w:tcW w:w="433" w:type="pct"/>
                  <w:vMerge w:val="restart"/>
                  <w:vAlign w:val="center"/>
                </w:tcPr>
                <w:p w14:paraId="58F1738F">
                  <w:pPr>
                    <w:pStyle w:val="57"/>
                    <w:rPr>
                      <w:b/>
                      <w:bCs w:val="0"/>
                      <w:color w:val="auto"/>
                    </w:rPr>
                  </w:pPr>
                  <w:r>
                    <w:rPr>
                      <w:rFonts w:hint="eastAsia"/>
                      <w:b/>
                      <w:bCs w:val="0"/>
                      <w:color w:val="auto"/>
                    </w:rPr>
                    <w:t>主要成分</w:t>
                  </w:r>
                </w:p>
              </w:tc>
              <w:tc>
                <w:tcPr>
                  <w:tcW w:w="438" w:type="pct"/>
                  <w:vMerge w:val="restart"/>
                  <w:vAlign w:val="center"/>
                </w:tcPr>
                <w:p w14:paraId="74ED6435">
                  <w:pPr>
                    <w:pStyle w:val="57"/>
                    <w:rPr>
                      <w:b/>
                      <w:bCs w:val="0"/>
                      <w:color w:val="auto"/>
                    </w:rPr>
                  </w:pPr>
                  <w:r>
                    <w:rPr>
                      <w:rFonts w:hint="eastAsia"/>
                      <w:b/>
                      <w:bCs w:val="0"/>
                      <w:color w:val="auto"/>
                    </w:rPr>
                    <w:t>有害成分</w:t>
                  </w:r>
                </w:p>
              </w:tc>
              <w:tc>
                <w:tcPr>
                  <w:tcW w:w="352" w:type="pct"/>
                  <w:vMerge w:val="restart"/>
                  <w:vAlign w:val="center"/>
                </w:tcPr>
                <w:p w14:paraId="396F4BEB">
                  <w:pPr>
                    <w:pStyle w:val="57"/>
                    <w:rPr>
                      <w:b/>
                      <w:bCs w:val="0"/>
                      <w:color w:val="auto"/>
                    </w:rPr>
                  </w:pPr>
                  <w:r>
                    <w:rPr>
                      <w:rFonts w:hint="eastAsia"/>
                      <w:b/>
                      <w:bCs w:val="0"/>
                      <w:color w:val="auto"/>
                    </w:rPr>
                    <w:t>产生周期</w:t>
                  </w:r>
                </w:p>
              </w:tc>
              <w:tc>
                <w:tcPr>
                  <w:tcW w:w="409" w:type="pct"/>
                  <w:vMerge w:val="restart"/>
                  <w:vAlign w:val="center"/>
                </w:tcPr>
                <w:p w14:paraId="5102CD67">
                  <w:pPr>
                    <w:pStyle w:val="57"/>
                    <w:rPr>
                      <w:b/>
                      <w:bCs w:val="0"/>
                      <w:color w:val="auto"/>
                    </w:rPr>
                  </w:pPr>
                  <w:r>
                    <w:rPr>
                      <w:rFonts w:hint="eastAsia"/>
                      <w:b/>
                      <w:bCs w:val="0"/>
                      <w:color w:val="auto"/>
                    </w:rPr>
                    <w:t>危险特性</w:t>
                  </w:r>
                </w:p>
              </w:tc>
              <w:tc>
                <w:tcPr>
                  <w:tcW w:w="425" w:type="pct"/>
                  <w:vMerge w:val="restart"/>
                  <w:vAlign w:val="center"/>
                </w:tcPr>
                <w:p w14:paraId="0D463843">
                  <w:pPr>
                    <w:pStyle w:val="57"/>
                    <w:rPr>
                      <w:b/>
                      <w:bCs w:val="0"/>
                      <w:color w:val="auto"/>
                    </w:rPr>
                  </w:pPr>
                  <w:r>
                    <w:rPr>
                      <w:rFonts w:hint="eastAsia"/>
                      <w:b/>
                      <w:bCs w:val="0"/>
                      <w:color w:val="auto"/>
                    </w:rPr>
                    <w:t>防治措施</w:t>
                  </w:r>
                </w:p>
              </w:tc>
            </w:tr>
            <w:tr w14:paraId="6E1C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Merge w:val="continue"/>
                  <w:vAlign w:val="center"/>
                </w:tcPr>
                <w:p w14:paraId="4FAFF630">
                  <w:pPr>
                    <w:pStyle w:val="57"/>
                    <w:rPr>
                      <w:color w:val="auto"/>
                    </w:rPr>
                  </w:pPr>
                </w:p>
              </w:tc>
              <w:tc>
                <w:tcPr>
                  <w:tcW w:w="417" w:type="pct"/>
                  <w:vAlign w:val="center"/>
                </w:tcPr>
                <w:p w14:paraId="1FBCEFFF">
                  <w:pPr>
                    <w:pStyle w:val="57"/>
                    <w:rPr>
                      <w:b/>
                      <w:bCs w:val="0"/>
                      <w:color w:val="auto"/>
                    </w:rPr>
                  </w:pPr>
                  <w:r>
                    <w:rPr>
                      <w:rFonts w:hint="eastAsia"/>
                      <w:b/>
                      <w:bCs w:val="0"/>
                      <w:color w:val="auto"/>
                    </w:rPr>
                    <w:t>名称</w:t>
                  </w:r>
                </w:p>
              </w:tc>
              <w:tc>
                <w:tcPr>
                  <w:tcW w:w="711" w:type="pct"/>
                  <w:vAlign w:val="center"/>
                </w:tcPr>
                <w:p w14:paraId="0E4A56A6">
                  <w:pPr>
                    <w:pStyle w:val="57"/>
                    <w:rPr>
                      <w:b/>
                      <w:bCs w:val="0"/>
                      <w:color w:val="auto"/>
                    </w:rPr>
                  </w:pPr>
                  <w:r>
                    <w:rPr>
                      <w:rFonts w:hint="eastAsia"/>
                      <w:b/>
                      <w:bCs w:val="0"/>
                      <w:color w:val="auto"/>
                    </w:rPr>
                    <w:t>类别</w:t>
                  </w:r>
                </w:p>
              </w:tc>
              <w:tc>
                <w:tcPr>
                  <w:tcW w:w="488" w:type="pct"/>
                  <w:vAlign w:val="center"/>
                </w:tcPr>
                <w:p w14:paraId="2D09CC5B">
                  <w:pPr>
                    <w:pStyle w:val="57"/>
                    <w:rPr>
                      <w:b/>
                      <w:bCs w:val="0"/>
                      <w:color w:val="auto"/>
                    </w:rPr>
                  </w:pPr>
                  <w:r>
                    <w:rPr>
                      <w:rFonts w:hint="eastAsia"/>
                      <w:b/>
                      <w:bCs w:val="0"/>
                      <w:color w:val="auto"/>
                    </w:rPr>
                    <w:t>代码</w:t>
                  </w:r>
                </w:p>
              </w:tc>
              <w:tc>
                <w:tcPr>
                  <w:tcW w:w="319" w:type="pct"/>
                  <w:vMerge w:val="continue"/>
                  <w:vAlign w:val="center"/>
                </w:tcPr>
                <w:p w14:paraId="203F9B95">
                  <w:pPr>
                    <w:pStyle w:val="57"/>
                    <w:rPr>
                      <w:color w:val="auto"/>
                    </w:rPr>
                  </w:pPr>
                </w:p>
              </w:tc>
              <w:tc>
                <w:tcPr>
                  <w:tcW w:w="389" w:type="pct"/>
                  <w:vMerge w:val="continue"/>
                  <w:vAlign w:val="center"/>
                </w:tcPr>
                <w:p w14:paraId="5F990EAD">
                  <w:pPr>
                    <w:pStyle w:val="57"/>
                    <w:rPr>
                      <w:color w:val="auto"/>
                    </w:rPr>
                  </w:pPr>
                </w:p>
              </w:tc>
              <w:tc>
                <w:tcPr>
                  <w:tcW w:w="368" w:type="pct"/>
                  <w:vMerge w:val="continue"/>
                  <w:vAlign w:val="center"/>
                </w:tcPr>
                <w:p w14:paraId="1B7F01FF">
                  <w:pPr>
                    <w:pStyle w:val="57"/>
                    <w:rPr>
                      <w:color w:val="auto"/>
                    </w:rPr>
                  </w:pPr>
                </w:p>
              </w:tc>
              <w:tc>
                <w:tcPr>
                  <w:tcW w:w="433" w:type="pct"/>
                  <w:vMerge w:val="continue"/>
                  <w:vAlign w:val="center"/>
                </w:tcPr>
                <w:p w14:paraId="681566D8">
                  <w:pPr>
                    <w:pStyle w:val="57"/>
                    <w:rPr>
                      <w:color w:val="auto"/>
                    </w:rPr>
                  </w:pPr>
                </w:p>
              </w:tc>
              <w:tc>
                <w:tcPr>
                  <w:tcW w:w="438" w:type="pct"/>
                  <w:vMerge w:val="continue"/>
                  <w:vAlign w:val="center"/>
                </w:tcPr>
                <w:p w14:paraId="512760D4">
                  <w:pPr>
                    <w:pStyle w:val="57"/>
                    <w:rPr>
                      <w:color w:val="auto"/>
                    </w:rPr>
                  </w:pPr>
                </w:p>
              </w:tc>
              <w:tc>
                <w:tcPr>
                  <w:tcW w:w="352" w:type="pct"/>
                  <w:vMerge w:val="continue"/>
                  <w:vAlign w:val="center"/>
                </w:tcPr>
                <w:p w14:paraId="52607A2A">
                  <w:pPr>
                    <w:pStyle w:val="57"/>
                    <w:rPr>
                      <w:color w:val="auto"/>
                    </w:rPr>
                  </w:pPr>
                </w:p>
              </w:tc>
              <w:tc>
                <w:tcPr>
                  <w:tcW w:w="409" w:type="pct"/>
                  <w:vMerge w:val="continue"/>
                  <w:vAlign w:val="center"/>
                </w:tcPr>
                <w:p w14:paraId="49658122">
                  <w:pPr>
                    <w:pStyle w:val="57"/>
                    <w:rPr>
                      <w:color w:val="auto"/>
                    </w:rPr>
                  </w:pPr>
                </w:p>
              </w:tc>
              <w:tc>
                <w:tcPr>
                  <w:tcW w:w="425" w:type="pct"/>
                  <w:vMerge w:val="continue"/>
                  <w:vAlign w:val="center"/>
                </w:tcPr>
                <w:p w14:paraId="7929D534">
                  <w:pPr>
                    <w:pStyle w:val="57"/>
                    <w:rPr>
                      <w:color w:val="auto"/>
                    </w:rPr>
                  </w:pPr>
                </w:p>
              </w:tc>
            </w:tr>
            <w:tr w14:paraId="66C0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Align w:val="center"/>
                </w:tcPr>
                <w:p w14:paraId="576F407E">
                  <w:pPr>
                    <w:pStyle w:val="57"/>
                    <w:rPr>
                      <w:rFonts w:hint="eastAsia"/>
                      <w:color w:val="auto"/>
                    </w:rPr>
                  </w:pPr>
                  <w:r>
                    <w:rPr>
                      <w:rFonts w:hint="eastAsia"/>
                      <w:color w:val="auto"/>
                    </w:rPr>
                    <w:t>1</w:t>
                  </w:r>
                </w:p>
              </w:tc>
              <w:tc>
                <w:tcPr>
                  <w:tcW w:w="417" w:type="pct"/>
                  <w:vAlign w:val="center"/>
                </w:tcPr>
                <w:p w14:paraId="7016AC3F">
                  <w:pPr>
                    <w:pStyle w:val="57"/>
                    <w:rPr>
                      <w:rFonts w:hint="eastAsia"/>
                      <w:color w:val="auto"/>
                    </w:rPr>
                  </w:pPr>
                  <w:r>
                    <w:rPr>
                      <w:rFonts w:hint="eastAsia"/>
                      <w:color w:val="auto"/>
                    </w:rPr>
                    <w:t>废机油</w:t>
                  </w:r>
                </w:p>
              </w:tc>
              <w:tc>
                <w:tcPr>
                  <w:tcW w:w="711" w:type="pct"/>
                  <w:vAlign w:val="center"/>
                </w:tcPr>
                <w:p w14:paraId="25B7B112">
                  <w:pPr>
                    <w:pStyle w:val="57"/>
                    <w:rPr>
                      <w:color w:val="auto"/>
                    </w:rPr>
                  </w:pPr>
                  <w:r>
                    <w:rPr>
                      <w:rFonts w:hint="eastAsia"/>
                      <w:color w:val="auto"/>
                    </w:rPr>
                    <w:t>HW08废矿物油与含矿物油废物</w:t>
                  </w:r>
                </w:p>
              </w:tc>
              <w:tc>
                <w:tcPr>
                  <w:tcW w:w="488" w:type="pct"/>
                  <w:vAlign w:val="center"/>
                </w:tcPr>
                <w:p w14:paraId="7F53D269">
                  <w:pPr>
                    <w:pStyle w:val="57"/>
                    <w:rPr>
                      <w:color w:val="auto"/>
                    </w:rPr>
                  </w:pPr>
                  <w:r>
                    <w:rPr>
                      <w:rFonts w:hint="eastAsia"/>
                      <w:color w:val="auto"/>
                    </w:rPr>
                    <w:t>900-214-08</w:t>
                  </w:r>
                </w:p>
              </w:tc>
              <w:tc>
                <w:tcPr>
                  <w:tcW w:w="319" w:type="pct"/>
                  <w:vAlign w:val="center"/>
                </w:tcPr>
                <w:p w14:paraId="0DFC8F7E">
                  <w:pPr>
                    <w:pStyle w:val="57"/>
                    <w:rPr>
                      <w:rFonts w:hint="eastAsia"/>
                      <w:color w:val="auto"/>
                    </w:rPr>
                  </w:pPr>
                  <w:r>
                    <w:rPr>
                      <w:rFonts w:hint="eastAsia"/>
                      <w:color w:val="auto"/>
                    </w:rPr>
                    <w:t>0.1</w:t>
                  </w:r>
                </w:p>
              </w:tc>
              <w:tc>
                <w:tcPr>
                  <w:tcW w:w="389" w:type="pct"/>
                  <w:vAlign w:val="center"/>
                </w:tcPr>
                <w:p w14:paraId="3525EE2F">
                  <w:pPr>
                    <w:pStyle w:val="57"/>
                    <w:rPr>
                      <w:color w:val="auto"/>
                    </w:rPr>
                  </w:pPr>
                  <w:r>
                    <w:rPr>
                      <w:rFonts w:hint="eastAsia"/>
                      <w:color w:val="auto"/>
                    </w:rPr>
                    <w:t>设备维护</w:t>
                  </w:r>
                </w:p>
              </w:tc>
              <w:tc>
                <w:tcPr>
                  <w:tcW w:w="368" w:type="pct"/>
                  <w:vAlign w:val="center"/>
                </w:tcPr>
                <w:p w14:paraId="4E72DF90">
                  <w:pPr>
                    <w:pStyle w:val="57"/>
                    <w:rPr>
                      <w:color w:val="auto"/>
                    </w:rPr>
                  </w:pPr>
                  <w:r>
                    <w:rPr>
                      <w:rFonts w:hint="eastAsia"/>
                      <w:color w:val="auto"/>
                    </w:rPr>
                    <w:t>液体</w:t>
                  </w:r>
                </w:p>
              </w:tc>
              <w:tc>
                <w:tcPr>
                  <w:tcW w:w="433" w:type="pct"/>
                  <w:vAlign w:val="center"/>
                </w:tcPr>
                <w:p w14:paraId="77ED76CF">
                  <w:pPr>
                    <w:pStyle w:val="57"/>
                    <w:rPr>
                      <w:color w:val="auto"/>
                    </w:rPr>
                  </w:pPr>
                  <w:r>
                    <w:rPr>
                      <w:rFonts w:hint="eastAsia"/>
                      <w:color w:val="auto"/>
                    </w:rPr>
                    <w:t>矿物油</w:t>
                  </w:r>
                </w:p>
              </w:tc>
              <w:tc>
                <w:tcPr>
                  <w:tcW w:w="438" w:type="pct"/>
                  <w:vAlign w:val="center"/>
                </w:tcPr>
                <w:p w14:paraId="680D13B4">
                  <w:pPr>
                    <w:pStyle w:val="57"/>
                    <w:rPr>
                      <w:color w:val="auto"/>
                    </w:rPr>
                  </w:pPr>
                  <w:r>
                    <w:rPr>
                      <w:rFonts w:hint="eastAsia"/>
                      <w:color w:val="auto"/>
                    </w:rPr>
                    <w:t>矿物油</w:t>
                  </w:r>
                </w:p>
              </w:tc>
              <w:tc>
                <w:tcPr>
                  <w:tcW w:w="352" w:type="pct"/>
                  <w:vAlign w:val="center"/>
                </w:tcPr>
                <w:p w14:paraId="34294CFD">
                  <w:pPr>
                    <w:pStyle w:val="57"/>
                    <w:rPr>
                      <w:color w:val="auto"/>
                    </w:rPr>
                  </w:pPr>
                  <w:r>
                    <w:rPr>
                      <w:rFonts w:hint="eastAsia"/>
                      <w:color w:val="auto"/>
                    </w:rPr>
                    <w:t>7天</w:t>
                  </w:r>
                </w:p>
              </w:tc>
              <w:tc>
                <w:tcPr>
                  <w:tcW w:w="409" w:type="pct"/>
                  <w:tcBorders>
                    <w:top w:val="single" w:color="000000" w:sz="4" w:space="0"/>
                  </w:tcBorders>
                  <w:vAlign w:val="center"/>
                </w:tcPr>
                <w:p w14:paraId="3FFF96FB">
                  <w:pPr>
                    <w:pStyle w:val="57"/>
                    <w:rPr>
                      <w:color w:val="auto"/>
                    </w:rPr>
                  </w:pPr>
                  <w:r>
                    <w:rPr>
                      <w:rFonts w:hint="eastAsia"/>
                      <w:color w:val="auto"/>
                    </w:rPr>
                    <w:t>T，I</w:t>
                  </w:r>
                </w:p>
              </w:tc>
              <w:tc>
                <w:tcPr>
                  <w:tcW w:w="425" w:type="pct"/>
                  <w:vMerge w:val="restart"/>
                  <w:tcBorders>
                    <w:top w:val="single" w:color="000000" w:sz="4" w:space="0"/>
                  </w:tcBorders>
                  <w:vAlign w:val="center"/>
                </w:tcPr>
                <w:p w14:paraId="1171E933">
                  <w:pPr>
                    <w:pStyle w:val="57"/>
                    <w:rPr>
                      <w:color w:val="auto"/>
                    </w:rPr>
                  </w:pPr>
                  <w:r>
                    <w:rPr>
                      <w:rFonts w:hint="eastAsia"/>
                      <w:color w:val="auto"/>
                    </w:rPr>
                    <w:t>妥善收集后交由有资质的危险废物处理单位处理</w:t>
                  </w:r>
                </w:p>
              </w:tc>
            </w:tr>
            <w:tr w14:paraId="4A39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Align w:val="center"/>
                </w:tcPr>
                <w:p w14:paraId="095DF8E6">
                  <w:pPr>
                    <w:pStyle w:val="57"/>
                    <w:rPr>
                      <w:rFonts w:hint="eastAsia"/>
                      <w:color w:val="auto"/>
                    </w:rPr>
                  </w:pPr>
                  <w:r>
                    <w:rPr>
                      <w:rFonts w:hint="eastAsia"/>
                      <w:color w:val="auto"/>
                    </w:rPr>
                    <w:t>2</w:t>
                  </w:r>
                </w:p>
              </w:tc>
              <w:tc>
                <w:tcPr>
                  <w:tcW w:w="417" w:type="pct"/>
                  <w:vAlign w:val="center"/>
                </w:tcPr>
                <w:p w14:paraId="2AA1C299">
                  <w:pPr>
                    <w:pStyle w:val="57"/>
                    <w:rPr>
                      <w:color w:val="auto"/>
                    </w:rPr>
                  </w:pPr>
                  <w:r>
                    <w:rPr>
                      <w:rFonts w:hint="eastAsia"/>
                      <w:color w:val="auto"/>
                    </w:rPr>
                    <w:t>废活性炭</w:t>
                  </w:r>
                </w:p>
              </w:tc>
              <w:tc>
                <w:tcPr>
                  <w:tcW w:w="711" w:type="pct"/>
                  <w:vAlign w:val="center"/>
                </w:tcPr>
                <w:p w14:paraId="5A077A67">
                  <w:pPr>
                    <w:pStyle w:val="57"/>
                    <w:rPr>
                      <w:color w:val="auto"/>
                    </w:rPr>
                  </w:pPr>
                  <w:r>
                    <w:rPr>
                      <w:color w:val="auto"/>
                    </w:rPr>
                    <w:t>HW49</w:t>
                  </w:r>
                  <w:r>
                    <w:rPr>
                      <w:rFonts w:hint="eastAsia"/>
                      <w:color w:val="auto"/>
                    </w:rPr>
                    <w:t>其它废物</w:t>
                  </w:r>
                </w:p>
              </w:tc>
              <w:tc>
                <w:tcPr>
                  <w:tcW w:w="488" w:type="pct"/>
                  <w:vAlign w:val="center"/>
                </w:tcPr>
                <w:p w14:paraId="3FBB4C3A">
                  <w:pPr>
                    <w:pStyle w:val="57"/>
                    <w:rPr>
                      <w:color w:val="auto"/>
                    </w:rPr>
                  </w:pPr>
                  <w:r>
                    <w:rPr>
                      <w:color w:val="auto"/>
                    </w:rPr>
                    <w:t>900-039-49</w:t>
                  </w:r>
                </w:p>
              </w:tc>
              <w:tc>
                <w:tcPr>
                  <w:tcW w:w="319" w:type="pct"/>
                  <w:vAlign w:val="center"/>
                </w:tcPr>
                <w:p w14:paraId="0B3FFE48">
                  <w:pPr>
                    <w:pStyle w:val="57"/>
                    <w:rPr>
                      <w:rFonts w:hint="eastAsia" w:eastAsia="宋体"/>
                      <w:color w:val="auto"/>
                      <w:lang w:eastAsia="zh-CN"/>
                    </w:rPr>
                  </w:pPr>
                  <w:r>
                    <w:rPr>
                      <w:rFonts w:hint="eastAsia"/>
                      <w:color w:val="auto"/>
                      <w:lang w:eastAsia="zh-CN"/>
                    </w:rPr>
                    <w:t>19.45</w:t>
                  </w:r>
                </w:p>
              </w:tc>
              <w:tc>
                <w:tcPr>
                  <w:tcW w:w="389" w:type="pct"/>
                  <w:vAlign w:val="center"/>
                </w:tcPr>
                <w:p w14:paraId="6AF339A0">
                  <w:pPr>
                    <w:pStyle w:val="57"/>
                    <w:rPr>
                      <w:color w:val="auto"/>
                    </w:rPr>
                  </w:pPr>
                  <w:r>
                    <w:rPr>
                      <w:rFonts w:hint="eastAsia"/>
                      <w:color w:val="auto"/>
                    </w:rPr>
                    <w:t>废气处理</w:t>
                  </w:r>
                </w:p>
              </w:tc>
              <w:tc>
                <w:tcPr>
                  <w:tcW w:w="368" w:type="pct"/>
                  <w:vAlign w:val="center"/>
                </w:tcPr>
                <w:p w14:paraId="1629E91B">
                  <w:pPr>
                    <w:pStyle w:val="57"/>
                    <w:rPr>
                      <w:color w:val="auto"/>
                    </w:rPr>
                  </w:pPr>
                  <w:r>
                    <w:rPr>
                      <w:rFonts w:hint="eastAsia"/>
                      <w:color w:val="auto"/>
                    </w:rPr>
                    <w:t>固体</w:t>
                  </w:r>
                </w:p>
              </w:tc>
              <w:tc>
                <w:tcPr>
                  <w:tcW w:w="433" w:type="pct"/>
                  <w:vAlign w:val="center"/>
                </w:tcPr>
                <w:p w14:paraId="0582BC52">
                  <w:pPr>
                    <w:pStyle w:val="57"/>
                    <w:rPr>
                      <w:color w:val="auto"/>
                    </w:rPr>
                  </w:pPr>
                  <w:r>
                    <w:rPr>
                      <w:rFonts w:hint="eastAsia"/>
                      <w:color w:val="auto"/>
                    </w:rPr>
                    <w:t>活性炭</w:t>
                  </w:r>
                </w:p>
              </w:tc>
              <w:tc>
                <w:tcPr>
                  <w:tcW w:w="438" w:type="pct"/>
                  <w:vAlign w:val="center"/>
                </w:tcPr>
                <w:p w14:paraId="3CA32B5A">
                  <w:pPr>
                    <w:pStyle w:val="57"/>
                    <w:rPr>
                      <w:color w:val="auto"/>
                    </w:rPr>
                  </w:pPr>
                  <w:r>
                    <w:rPr>
                      <w:rFonts w:hint="eastAsia"/>
                      <w:color w:val="auto"/>
                    </w:rPr>
                    <w:t>有机废气</w:t>
                  </w:r>
                </w:p>
              </w:tc>
              <w:tc>
                <w:tcPr>
                  <w:tcW w:w="352" w:type="pct"/>
                  <w:vAlign w:val="center"/>
                </w:tcPr>
                <w:p w14:paraId="3D430FFF">
                  <w:pPr>
                    <w:pStyle w:val="57"/>
                    <w:rPr>
                      <w:color w:val="auto"/>
                    </w:rPr>
                  </w:pPr>
                  <w:r>
                    <w:rPr>
                      <w:rFonts w:hint="eastAsia"/>
                      <w:color w:val="auto"/>
                    </w:rPr>
                    <w:t>1个月</w:t>
                  </w:r>
                </w:p>
              </w:tc>
              <w:tc>
                <w:tcPr>
                  <w:tcW w:w="409" w:type="pct"/>
                  <w:tcBorders>
                    <w:top w:val="single" w:color="000000" w:sz="4" w:space="0"/>
                    <w:bottom w:val="single" w:color="000000" w:sz="4" w:space="0"/>
                  </w:tcBorders>
                  <w:vAlign w:val="center"/>
                </w:tcPr>
                <w:p w14:paraId="21A2DA7A">
                  <w:pPr>
                    <w:pStyle w:val="57"/>
                    <w:rPr>
                      <w:color w:val="auto"/>
                    </w:rPr>
                  </w:pPr>
                  <w:r>
                    <w:rPr>
                      <w:rFonts w:hint="eastAsia"/>
                      <w:color w:val="auto"/>
                    </w:rPr>
                    <w:t>T/C/I/R</w:t>
                  </w:r>
                </w:p>
              </w:tc>
              <w:tc>
                <w:tcPr>
                  <w:tcW w:w="425" w:type="pct"/>
                  <w:vMerge w:val="continue"/>
                  <w:vAlign w:val="center"/>
                </w:tcPr>
                <w:p w14:paraId="1BA6C992">
                  <w:pPr>
                    <w:pStyle w:val="57"/>
                    <w:rPr>
                      <w:color w:val="auto"/>
                    </w:rPr>
                  </w:pPr>
                </w:p>
              </w:tc>
            </w:tr>
            <w:tr w14:paraId="25C3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Align w:val="center"/>
                </w:tcPr>
                <w:p w14:paraId="461E3393">
                  <w:pPr>
                    <w:pStyle w:val="57"/>
                    <w:rPr>
                      <w:color w:val="auto"/>
                    </w:rPr>
                  </w:pPr>
                  <w:r>
                    <w:rPr>
                      <w:rFonts w:hint="eastAsia"/>
                      <w:color w:val="auto"/>
                    </w:rPr>
                    <w:t>3</w:t>
                  </w:r>
                </w:p>
              </w:tc>
              <w:tc>
                <w:tcPr>
                  <w:tcW w:w="417" w:type="pct"/>
                  <w:vAlign w:val="center"/>
                </w:tcPr>
                <w:p w14:paraId="19A0F380">
                  <w:pPr>
                    <w:pStyle w:val="57"/>
                    <w:rPr>
                      <w:color w:val="auto"/>
                    </w:rPr>
                  </w:pPr>
                  <w:r>
                    <w:rPr>
                      <w:rFonts w:hint="eastAsia"/>
                      <w:color w:val="auto"/>
                    </w:rPr>
                    <w:t>废包装桶</w:t>
                  </w:r>
                </w:p>
              </w:tc>
              <w:tc>
                <w:tcPr>
                  <w:tcW w:w="711" w:type="pct"/>
                  <w:vAlign w:val="center"/>
                </w:tcPr>
                <w:p w14:paraId="698A4F40">
                  <w:pPr>
                    <w:pStyle w:val="57"/>
                    <w:rPr>
                      <w:color w:val="auto"/>
                    </w:rPr>
                  </w:pPr>
                  <w:r>
                    <w:rPr>
                      <w:color w:val="auto"/>
                    </w:rPr>
                    <w:t>HW49其他废物</w:t>
                  </w:r>
                </w:p>
              </w:tc>
              <w:tc>
                <w:tcPr>
                  <w:tcW w:w="488" w:type="pct"/>
                  <w:vAlign w:val="center"/>
                </w:tcPr>
                <w:p w14:paraId="14382845">
                  <w:pPr>
                    <w:pStyle w:val="57"/>
                    <w:rPr>
                      <w:color w:val="auto"/>
                    </w:rPr>
                  </w:pPr>
                  <w:r>
                    <w:rPr>
                      <w:rFonts w:hint="eastAsia"/>
                      <w:color w:val="auto"/>
                    </w:rPr>
                    <w:t>900-041-49</w:t>
                  </w:r>
                </w:p>
              </w:tc>
              <w:tc>
                <w:tcPr>
                  <w:tcW w:w="319" w:type="pct"/>
                  <w:vAlign w:val="center"/>
                </w:tcPr>
                <w:p w14:paraId="702C0B72">
                  <w:pPr>
                    <w:pStyle w:val="57"/>
                    <w:rPr>
                      <w:color w:val="auto"/>
                    </w:rPr>
                  </w:pPr>
                  <w:r>
                    <w:rPr>
                      <w:rFonts w:hint="eastAsia"/>
                      <w:color w:val="auto"/>
                    </w:rPr>
                    <w:t>0.5</w:t>
                  </w:r>
                </w:p>
              </w:tc>
              <w:tc>
                <w:tcPr>
                  <w:tcW w:w="389" w:type="pct"/>
                  <w:vAlign w:val="center"/>
                </w:tcPr>
                <w:p w14:paraId="7067C5D9">
                  <w:pPr>
                    <w:pStyle w:val="57"/>
                    <w:rPr>
                      <w:color w:val="auto"/>
                    </w:rPr>
                  </w:pPr>
                  <w:r>
                    <w:rPr>
                      <w:rFonts w:hint="eastAsia"/>
                      <w:color w:val="auto"/>
                    </w:rPr>
                    <w:t>包装</w:t>
                  </w:r>
                </w:p>
              </w:tc>
              <w:tc>
                <w:tcPr>
                  <w:tcW w:w="368" w:type="pct"/>
                  <w:vAlign w:val="center"/>
                </w:tcPr>
                <w:p w14:paraId="06532934">
                  <w:pPr>
                    <w:pStyle w:val="57"/>
                    <w:rPr>
                      <w:rFonts w:hint="eastAsia"/>
                      <w:color w:val="auto"/>
                    </w:rPr>
                  </w:pPr>
                  <w:r>
                    <w:rPr>
                      <w:rFonts w:hint="eastAsia"/>
                      <w:color w:val="auto"/>
                    </w:rPr>
                    <w:t>固体</w:t>
                  </w:r>
                </w:p>
              </w:tc>
              <w:tc>
                <w:tcPr>
                  <w:tcW w:w="433" w:type="pct"/>
                  <w:vAlign w:val="center"/>
                </w:tcPr>
                <w:p w14:paraId="5C113296">
                  <w:pPr>
                    <w:pStyle w:val="57"/>
                    <w:rPr>
                      <w:color w:val="auto"/>
                    </w:rPr>
                  </w:pPr>
                  <w:r>
                    <w:rPr>
                      <w:rFonts w:hint="eastAsia"/>
                      <w:color w:val="auto"/>
                    </w:rPr>
                    <w:t>油墨</w:t>
                  </w:r>
                </w:p>
              </w:tc>
              <w:tc>
                <w:tcPr>
                  <w:tcW w:w="438" w:type="pct"/>
                  <w:vAlign w:val="center"/>
                </w:tcPr>
                <w:p w14:paraId="7CC2267D">
                  <w:pPr>
                    <w:pStyle w:val="57"/>
                    <w:rPr>
                      <w:rFonts w:hint="eastAsia"/>
                      <w:color w:val="auto"/>
                    </w:rPr>
                  </w:pPr>
                  <w:r>
                    <w:rPr>
                      <w:rFonts w:hint="eastAsia"/>
                      <w:color w:val="auto"/>
                    </w:rPr>
                    <w:t>油墨</w:t>
                  </w:r>
                </w:p>
              </w:tc>
              <w:tc>
                <w:tcPr>
                  <w:tcW w:w="352" w:type="pct"/>
                  <w:vAlign w:val="center"/>
                </w:tcPr>
                <w:p w14:paraId="0579358B">
                  <w:pPr>
                    <w:pStyle w:val="57"/>
                    <w:rPr>
                      <w:color w:val="auto"/>
                    </w:rPr>
                  </w:pPr>
                  <w:r>
                    <w:rPr>
                      <w:rFonts w:hint="eastAsia"/>
                      <w:color w:val="auto"/>
                    </w:rPr>
                    <w:t>每天</w:t>
                  </w:r>
                </w:p>
              </w:tc>
              <w:tc>
                <w:tcPr>
                  <w:tcW w:w="409" w:type="pct"/>
                  <w:tcBorders>
                    <w:top w:val="single" w:color="000000" w:sz="4" w:space="0"/>
                    <w:bottom w:val="single" w:color="000000" w:sz="4" w:space="0"/>
                  </w:tcBorders>
                  <w:vAlign w:val="center"/>
                </w:tcPr>
                <w:p w14:paraId="704123DA">
                  <w:pPr>
                    <w:pStyle w:val="57"/>
                    <w:rPr>
                      <w:rFonts w:hint="eastAsia"/>
                      <w:color w:val="auto"/>
                    </w:rPr>
                  </w:pPr>
                  <w:r>
                    <w:rPr>
                      <w:rFonts w:hint="eastAsia"/>
                      <w:color w:val="auto"/>
                    </w:rPr>
                    <w:t>T/In</w:t>
                  </w:r>
                </w:p>
              </w:tc>
              <w:tc>
                <w:tcPr>
                  <w:tcW w:w="425" w:type="pct"/>
                  <w:vMerge w:val="continue"/>
                  <w:vAlign w:val="center"/>
                </w:tcPr>
                <w:p w14:paraId="70279687">
                  <w:pPr>
                    <w:pStyle w:val="57"/>
                    <w:rPr>
                      <w:color w:val="auto"/>
                    </w:rPr>
                  </w:pPr>
                </w:p>
              </w:tc>
            </w:tr>
            <w:tr w14:paraId="6796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 w:type="pct"/>
                  <w:vAlign w:val="center"/>
                </w:tcPr>
                <w:p w14:paraId="64CAF834">
                  <w:pPr>
                    <w:pStyle w:val="57"/>
                    <w:rPr>
                      <w:color w:val="auto"/>
                    </w:rPr>
                  </w:pPr>
                  <w:r>
                    <w:rPr>
                      <w:rFonts w:hint="eastAsia"/>
                      <w:color w:val="auto"/>
                    </w:rPr>
                    <w:t>4</w:t>
                  </w:r>
                </w:p>
              </w:tc>
              <w:tc>
                <w:tcPr>
                  <w:tcW w:w="417" w:type="pct"/>
                  <w:vAlign w:val="center"/>
                </w:tcPr>
                <w:p w14:paraId="26EE7DBC">
                  <w:pPr>
                    <w:pStyle w:val="57"/>
                    <w:rPr>
                      <w:rFonts w:hint="eastAsia"/>
                      <w:color w:val="auto"/>
                    </w:rPr>
                  </w:pPr>
                  <w:r>
                    <w:rPr>
                      <w:rFonts w:hint="eastAsia"/>
                      <w:color w:val="auto"/>
                    </w:rPr>
                    <w:t>废抹布</w:t>
                  </w:r>
                </w:p>
              </w:tc>
              <w:tc>
                <w:tcPr>
                  <w:tcW w:w="711" w:type="pct"/>
                  <w:vAlign w:val="center"/>
                </w:tcPr>
                <w:p w14:paraId="0DA4B62C">
                  <w:pPr>
                    <w:pStyle w:val="57"/>
                    <w:rPr>
                      <w:color w:val="auto"/>
                    </w:rPr>
                  </w:pPr>
                  <w:r>
                    <w:rPr>
                      <w:color w:val="auto"/>
                    </w:rPr>
                    <w:t>HW49其他废物</w:t>
                  </w:r>
                </w:p>
              </w:tc>
              <w:tc>
                <w:tcPr>
                  <w:tcW w:w="488" w:type="pct"/>
                  <w:vAlign w:val="center"/>
                </w:tcPr>
                <w:p w14:paraId="4F1AE9B2">
                  <w:pPr>
                    <w:pStyle w:val="57"/>
                    <w:rPr>
                      <w:rFonts w:hint="eastAsia"/>
                      <w:color w:val="auto"/>
                    </w:rPr>
                  </w:pPr>
                  <w:r>
                    <w:rPr>
                      <w:rFonts w:hint="eastAsia"/>
                      <w:color w:val="auto"/>
                    </w:rPr>
                    <w:t>900-041-49</w:t>
                  </w:r>
                </w:p>
              </w:tc>
              <w:tc>
                <w:tcPr>
                  <w:tcW w:w="319" w:type="pct"/>
                  <w:vAlign w:val="center"/>
                </w:tcPr>
                <w:p w14:paraId="1E1351DD">
                  <w:pPr>
                    <w:pStyle w:val="57"/>
                    <w:rPr>
                      <w:color w:val="auto"/>
                    </w:rPr>
                  </w:pPr>
                  <w:r>
                    <w:rPr>
                      <w:rFonts w:hint="eastAsia"/>
                      <w:color w:val="auto"/>
                    </w:rPr>
                    <w:t>0.05</w:t>
                  </w:r>
                </w:p>
              </w:tc>
              <w:tc>
                <w:tcPr>
                  <w:tcW w:w="389" w:type="pct"/>
                  <w:vAlign w:val="center"/>
                </w:tcPr>
                <w:p w14:paraId="47138887">
                  <w:pPr>
                    <w:pStyle w:val="57"/>
                    <w:rPr>
                      <w:color w:val="auto"/>
                    </w:rPr>
                  </w:pPr>
                  <w:r>
                    <w:rPr>
                      <w:rFonts w:hint="eastAsia"/>
                      <w:color w:val="auto"/>
                    </w:rPr>
                    <w:t>设备清洁</w:t>
                  </w:r>
                </w:p>
              </w:tc>
              <w:tc>
                <w:tcPr>
                  <w:tcW w:w="368" w:type="pct"/>
                  <w:vAlign w:val="center"/>
                </w:tcPr>
                <w:p w14:paraId="48223053">
                  <w:pPr>
                    <w:pStyle w:val="57"/>
                    <w:rPr>
                      <w:rFonts w:hint="eastAsia"/>
                      <w:color w:val="auto"/>
                    </w:rPr>
                  </w:pPr>
                  <w:r>
                    <w:rPr>
                      <w:rFonts w:hint="eastAsia"/>
                      <w:color w:val="auto"/>
                    </w:rPr>
                    <w:t>固体</w:t>
                  </w:r>
                </w:p>
              </w:tc>
              <w:tc>
                <w:tcPr>
                  <w:tcW w:w="433" w:type="pct"/>
                  <w:vAlign w:val="center"/>
                </w:tcPr>
                <w:p w14:paraId="53AB26A5">
                  <w:pPr>
                    <w:pStyle w:val="57"/>
                    <w:rPr>
                      <w:rFonts w:hint="eastAsia"/>
                      <w:color w:val="auto"/>
                    </w:rPr>
                  </w:pPr>
                  <w:r>
                    <w:rPr>
                      <w:rFonts w:hint="eastAsia"/>
                      <w:color w:val="auto"/>
                    </w:rPr>
                    <w:t>油墨</w:t>
                  </w:r>
                </w:p>
              </w:tc>
              <w:tc>
                <w:tcPr>
                  <w:tcW w:w="438" w:type="pct"/>
                  <w:vAlign w:val="center"/>
                </w:tcPr>
                <w:p w14:paraId="21F5794C">
                  <w:pPr>
                    <w:pStyle w:val="57"/>
                    <w:rPr>
                      <w:rFonts w:hint="eastAsia"/>
                      <w:color w:val="auto"/>
                    </w:rPr>
                  </w:pPr>
                  <w:r>
                    <w:rPr>
                      <w:rFonts w:hint="eastAsia"/>
                      <w:color w:val="auto"/>
                    </w:rPr>
                    <w:t>油墨</w:t>
                  </w:r>
                </w:p>
              </w:tc>
              <w:tc>
                <w:tcPr>
                  <w:tcW w:w="352" w:type="pct"/>
                  <w:vAlign w:val="center"/>
                </w:tcPr>
                <w:p w14:paraId="5EA79F71">
                  <w:pPr>
                    <w:pStyle w:val="57"/>
                    <w:rPr>
                      <w:rFonts w:hint="eastAsia"/>
                      <w:color w:val="auto"/>
                    </w:rPr>
                  </w:pPr>
                  <w:r>
                    <w:rPr>
                      <w:rFonts w:hint="eastAsia"/>
                      <w:color w:val="auto"/>
                    </w:rPr>
                    <w:t>每天</w:t>
                  </w:r>
                </w:p>
              </w:tc>
              <w:tc>
                <w:tcPr>
                  <w:tcW w:w="409" w:type="pct"/>
                  <w:tcBorders>
                    <w:top w:val="single" w:color="000000" w:sz="4" w:space="0"/>
                    <w:bottom w:val="single" w:color="000000" w:sz="4" w:space="0"/>
                  </w:tcBorders>
                  <w:vAlign w:val="center"/>
                </w:tcPr>
                <w:p w14:paraId="790A2876">
                  <w:pPr>
                    <w:pStyle w:val="57"/>
                    <w:rPr>
                      <w:rFonts w:hint="eastAsia"/>
                      <w:color w:val="auto"/>
                    </w:rPr>
                  </w:pPr>
                  <w:r>
                    <w:rPr>
                      <w:rFonts w:hint="eastAsia"/>
                      <w:color w:val="auto"/>
                    </w:rPr>
                    <w:t>T/In</w:t>
                  </w:r>
                </w:p>
              </w:tc>
              <w:tc>
                <w:tcPr>
                  <w:tcW w:w="425" w:type="pct"/>
                  <w:vMerge w:val="continue"/>
                  <w:vAlign w:val="center"/>
                </w:tcPr>
                <w:p w14:paraId="30289E48">
                  <w:pPr>
                    <w:pStyle w:val="57"/>
                    <w:rPr>
                      <w:color w:val="auto"/>
                    </w:rPr>
                  </w:pPr>
                </w:p>
              </w:tc>
            </w:tr>
          </w:tbl>
          <w:p w14:paraId="0AF3D8D5">
            <w:pPr>
              <w:pStyle w:val="58"/>
              <w:ind w:firstLine="422"/>
              <w:rPr>
                <w:color w:val="auto"/>
              </w:rPr>
            </w:pPr>
            <w:r>
              <w:rPr>
                <w:rFonts w:hint="eastAsia"/>
                <w:color w:val="auto"/>
              </w:rPr>
              <w:t>表</w:t>
            </w:r>
            <w:r>
              <w:rPr>
                <w:color w:val="auto"/>
              </w:rPr>
              <w:t>4-</w:t>
            </w:r>
            <w:r>
              <w:rPr>
                <w:rFonts w:hint="eastAsia"/>
                <w:color w:val="auto"/>
                <w:lang w:val="en-US" w:eastAsia="zh-CN"/>
              </w:rPr>
              <w:t>19</w:t>
            </w:r>
            <w:r>
              <w:rPr>
                <w:color w:val="auto"/>
              </w:rPr>
              <w:t>危险废物贮存场所（设施）基本情况表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75"/>
              <w:gridCol w:w="1135"/>
              <w:gridCol w:w="1950"/>
              <w:gridCol w:w="1248"/>
              <w:gridCol w:w="488"/>
              <w:gridCol w:w="555"/>
              <w:gridCol w:w="721"/>
              <w:gridCol w:w="430"/>
              <w:gridCol w:w="430"/>
            </w:tblGrid>
            <w:tr w14:paraId="32E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l2br w:val="nil"/>
                    <w:tr2bl w:val="nil"/>
                  </w:tcBorders>
                  <w:vAlign w:val="center"/>
                </w:tcPr>
                <w:p w14:paraId="6E1D8CEA">
                  <w:pPr>
                    <w:pStyle w:val="57"/>
                    <w:rPr>
                      <w:b/>
                      <w:bCs w:val="0"/>
                      <w:color w:val="auto"/>
                    </w:rPr>
                  </w:pPr>
                  <w:r>
                    <w:rPr>
                      <w:b/>
                      <w:bCs w:val="0"/>
                      <w:color w:val="auto"/>
                    </w:rPr>
                    <w:t>序号</w:t>
                  </w:r>
                </w:p>
              </w:tc>
              <w:tc>
                <w:tcPr>
                  <w:tcW w:w="526" w:type="pct"/>
                  <w:tcBorders>
                    <w:tl2br w:val="nil"/>
                    <w:tr2bl w:val="nil"/>
                  </w:tcBorders>
                  <w:vAlign w:val="center"/>
                </w:tcPr>
                <w:p w14:paraId="5D74726E">
                  <w:pPr>
                    <w:pStyle w:val="57"/>
                    <w:rPr>
                      <w:b/>
                      <w:bCs w:val="0"/>
                      <w:color w:val="auto"/>
                    </w:rPr>
                  </w:pPr>
                  <w:r>
                    <w:rPr>
                      <w:b/>
                      <w:bCs w:val="0"/>
                      <w:color w:val="auto"/>
                    </w:rPr>
                    <w:t>贮存场所</w:t>
                  </w:r>
                </w:p>
                <w:p w14:paraId="7923B65C">
                  <w:pPr>
                    <w:pStyle w:val="57"/>
                    <w:rPr>
                      <w:b/>
                      <w:bCs w:val="0"/>
                      <w:color w:val="auto"/>
                    </w:rPr>
                  </w:pPr>
                  <w:r>
                    <w:rPr>
                      <w:b/>
                      <w:bCs w:val="0"/>
                      <w:color w:val="auto"/>
                    </w:rPr>
                    <w:t>（设施）名称</w:t>
                  </w:r>
                </w:p>
              </w:tc>
              <w:tc>
                <w:tcPr>
                  <w:tcW w:w="682" w:type="pct"/>
                  <w:tcBorders>
                    <w:tl2br w:val="nil"/>
                    <w:tr2bl w:val="nil"/>
                  </w:tcBorders>
                  <w:vAlign w:val="center"/>
                </w:tcPr>
                <w:p w14:paraId="72FE0806">
                  <w:pPr>
                    <w:pStyle w:val="57"/>
                    <w:rPr>
                      <w:b/>
                      <w:bCs w:val="0"/>
                      <w:color w:val="auto"/>
                    </w:rPr>
                  </w:pPr>
                  <w:r>
                    <w:rPr>
                      <w:b/>
                      <w:bCs w:val="0"/>
                      <w:color w:val="auto"/>
                    </w:rPr>
                    <w:t>危险废物名称</w:t>
                  </w:r>
                </w:p>
              </w:tc>
              <w:tc>
                <w:tcPr>
                  <w:tcW w:w="1173" w:type="pct"/>
                  <w:tcBorders>
                    <w:tl2br w:val="nil"/>
                    <w:tr2bl w:val="nil"/>
                  </w:tcBorders>
                  <w:vAlign w:val="center"/>
                </w:tcPr>
                <w:p w14:paraId="69F3689A">
                  <w:pPr>
                    <w:pStyle w:val="57"/>
                    <w:rPr>
                      <w:b/>
                      <w:bCs w:val="0"/>
                      <w:color w:val="auto"/>
                    </w:rPr>
                  </w:pPr>
                  <w:r>
                    <w:rPr>
                      <w:b/>
                      <w:bCs w:val="0"/>
                      <w:color w:val="auto"/>
                    </w:rPr>
                    <w:t>危险废物类别</w:t>
                  </w:r>
                </w:p>
              </w:tc>
              <w:tc>
                <w:tcPr>
                  <w:tcW w:w="750" w:type="pct"/>
                  <w:tcBorders>
                    <w:tl2br w:val="nil"/>
                    <w:tr2bl w:val="nil"/>
                  </w:tcBorders>
                  <w:vAlign w:val="center"/>
                </w:tcPr>
                <w:p w14:paraId="47F1F59C">
                  <w:pPr>
                    <w:pStyle w:val="57"/>
                    <w:rPr>
                      <w:b/>
                      <w:bCs w:val="0"/>
                      <w:color w:val="auto"/>
                    </w:rPr>
                  </w:pPr>
                  <w:r>
                    <w:rPr>
                      <w:b/>
                      <w:bCs w:val="0"/>
                      <w:color w:val="auto"/>
                    </w:rPr>
                    <w:t>危险废物代码</w:t>
                  </w:r>
                </w:p>
              </w:tc>
              <w:tc>
                <w:tcPr>
                  <w:tcW w:w="294" w:type="pct"/>
                  <w:tcBorders>
                    <w:tl2br w:val="nil"/>
                    <w:tr2bl w:val="nil"/>
                  </w:tcBorders>
                  <w:vAlign w:val="center"/>
                </w:tcPr>
                <w:p w14:paraId="2270C977">
                  <w:pPr>
                    <w:pStyle w:val="57"/>
                    <w:rPr>
                      <w:b/>
                      <w:bCs w:val="0"/>
                      <w:color w:val="auto"/>
                    </w:rPr>
                  </w:pPr>
                  <w:r>
                    <w:rPr>
                      <w:b/>
                      <w:bCs w:val="0"/>
                      <w:color w:val="auto"/>
                    </w:rPr>
                    <w:t>位置</w:t>
                  </w:r>
                </w:p>
              </w:tc>
              <w:tc>
                <w:tcPr>
                  <w:tcW w:w="334" w:type="pct"/>
                  <w:tcBorders>
                    <w:tl2br w:val="nil"/>
                    <w:tr2bl w:val="nil"/>
                  </w:tcBorders>
                  <w:vAlign w:val="center"/>
                </w:tcPr>
                <w:p w14:paraId="5EF3DC51">
                  <w:pPr>
                    <w:pStyle w:val="57"/>
                    <w:rPr>
                      <w:b/>
                      <w:bCs w:val="0"/>
                      <w:color w:val="auto"/>
                    </w:rPr>
                  </w:pPr>
                  <w:r>
                    <w:rPr>
                      <w:b/>
                      <w:bCs w:val="0"/>
                      <w:color w:val="auto"/>
                    </w:rPr>
                    <w:t>占地面积</w:t>
                  </w:r>
                </w:p>
              </w:tc>
              <w:tc>
                <w:tcPr>
                  <w:tcW w:w="434" w:type="pct"/>
                  <w:tcBorders>
                    <w:tl2br w:val="nil"/>
                    <w:tr2bl w:val="nil"/>
                  </w:tcBorders>
                  <w:vAlign w:val="center"/>
                </w:tcPr>
                <w:p w14:paraId="747E8238">
                  <w:pPr>
                    <w:pStyle w:val="57"/>
                    <w:rPr>
                      <w:b/>
                      <w:bCs w:val="0"/>
                      <w:color w:val="auto"/>
                    </w:rPr>
                  </w:pPr>
                  <w:r>
                    <w:rPr>
                      <w:b/>
                      <w:bCs w:val="0"/>
                      <w:color w:val="auto"/>
                    </w:rPr>
                    <w:t>贮存方式</w:t>
                  </w:r>
                </w:p>
              </w:tc>
              <w:tc>
                <w:tcPr>
                  <w:tcW w:w="259" w:type="pct"/>
                  <w:tcBorders>
                    <w:tl2br w:val="nil"/>
                    <w:tr2bl w:val="nil"/>
                  </w:tcBorders>
                  <w:vAlign w:val="center"/>
                </w:tcPr>
                <w:p w14:paraId="1EF1AB36">
                  <w:pPr>
                    <w:pStyle w:val="57"/>
                    <w:rPr>
                      <w:b/>
                      <w:bCs w:val="0"/>
                      <w:color w:val="auto"/>
                    </w:rPr>
                  </w:pPr>
                  <w:r>
                    <w:rPr>
                      <w:b/>
                      <w:bCs w:val="0"/>
                      <w:color w:val="auto"/>
                    </w:rPr>
                    <w:t>贮存</w:t>
                  </w:r>
                </w:p>
                <w:p w14:paraId="18AE09C7">
                  <w:pPr>
                    <w:pStyle w:val="57"/>
                    <w:rPr>
                      <w:b/>
                      <w:bCs w:val="0"/>
                      <w:color w:val="auto"/>
                    </w:rPr>
                  </w:pPr>
                  <w:r>
                    <w:rPr>
                      <w:b/>
                      <w:bCs w:val="0"/>
                      <w:color w:val="auto"/>
                    </w:rPr>
                    <w:t>能力</w:t>
                  </w:r>
                </w:p>
              </w:tc>
              <w:tc>
                <w:tcPr>
                  <w:tcW w:w="259" w:type="pct"/>
                  <w:tcBorders>
                    <w:tl2br w:val="nil"/>
                    <w:tr2bl w:val="nil"/>
                  </w:tcBorders>
                  <w:vAlign w:val="center"/>
                </w:tcPr>
                <w:p w14:paraId="03DC96B4">
                  <w:pPr>
                    <w:pStyle w:val="57"/>
                    <w:rPr>
                      <w:b/>
                      <w:bCs w:val="0"/>
                      <w:color w:val="auto"/>
                    </w:rPr>
                  </w:pPr>
                  <w:r>
                    <w:rPr>
                      <w:b/>
                      <w:bCs w:val="0"/>
                      <w:color w:val="auto"/>
                    </w:rPr>
                    <w:t>贮存周期</w:t>
                  </w:r>
                </w:p>
              </w:tc>
            </w:tr>
            <w:tr w14:paraId="03A2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5" w:type="pct"/>
                  <w:tcBorders>
                    <w:tl2br w:val="nil"/>
                    <w:tr2bl w:val="nil"/>
                  </w:tcBorders>
                  <w:vAlign w:val="center"/>
                </w:tcPr>
                <w:p w14:paraId="06C8775F">
                  <w:pPr>
                    <w:pStyle w:val="57"/>
                    <w:rPr>
                      <w:rFonts w:hint="eastAsia"/>
                      <w:color w:val="auto"/>
                    </w:rPr>
                  </w:pPr>
                  <w:r>
                    <w:rPr>
                      <w:rFonts w:hint="eastAsia"/>
                      <w:color w:val="auto"/>
                    </w:rPr>
                    <w:t>1</w:t>
                  </w:r>
                </w:p>
              </w:tc>
              <w:tc>
                <w:tcPr>
                  <w:tcW w:w="526" w:type="pct"/>
                  <w:vMerge w:val="restart"/>
                  <w:tcBorders>
                    <w:tl2br w:val="nil"/>
                    <w:tr2bl w:val="nil"/>
                  </w:tcBorders>
                  <w:vAlign w:val="center"/>
                </w:tcPr>
                <w:p w14:paraId="4B7347A6">
                  <w:pPr>
                    <w:pStyle w:val="57"/>
                    <w:rPr>
                      <w:color w:val="auto"/>
                    </w:rPr>
                  </w:pPr>
                  <w:r>
                    <w:rPr>
                      <w:rFonts w:hint="eastAsia"/>
                      <w:color w:val="auto"/>
                    </w:rPr>
                    <w:t>危险废物贮存间</w:t>
                  </w:r>
                </w:p>
              </w:tc>
              <w:tc>
                <w:tcPr>
                  <w:tcW w:w="682" w:type="pct"/>
                  <w:tcBorders>
                    <w:tl2br w:val="nil"/>
                    <w:tr2bl w:val="nil"/>
                  </w:tcBorders>
                  <w:vAlign w:val="center"/>
                </w:tcPr>
                <w:p w14:paraId="76154E48">
                  <w:pPr>
                    <w:pStyle w:val="57"/>
                    <w:rPr>
                      <w:rFonts w:hint="eastAsia"/>
                      <w:color w:val="auto"/>
                    </w:rPr>
                  </w:pPr>
                  <w:r>
                    <w:rPr>
                      <w:rFonts w:hint="eastAsia"/>
                      <w:color w:val="auto"/>
                    </w:rPr>
                    <w:t>废机油</w:t>
                  </w:r>
                </w:p>
              </w:tc>
              <w:tc>
                <w:tcPr>
                  <w:tcW w:w="1173" w:type="pct"/>
                  <w:tcBorders>
                    <w:tl2br w:val="nil"/>
                    <w:tr2bl w:val="nil"/>
                  </w:tcBorders>
                  <w:vAlign w:val="center"/>
                </w:tcPr>
                <w:p w14:paraId="1E1A4347">
                  <w:pPr>
                    <w:pStyle w:val="57"/>
                    <w:rPr>
                      <w:color w:val="auto"/>
                    </w:rPr>
                  </w:pPr>
                  <w:r>
                    <w:rPr>
                      <w:rFonts w:hint="eastAsia"/>
                      <w:color w:val="auto"/>
                    </w:rPr>
                    <w:t>HW08废矿物油与含矿物油废物</w:t>
                  </w:r>
                </w:p>
              </w:tc>
              <w:tc>
                <w:tcPr>
                  <w:tcW w:w="750" w:type="pct"/>
                  <w:tcBorders>
                    <w:tl2br w:val="nil"/>
                    <w:tr2bl w:val="nil"/>
                  </w:tcBorders>
                  <w:vAlign w:val="center"/>
                </w:tcPr>
                <w:p w14:paraId="308C7005">
                  <w:pPr>
                    <w:pStyle w:val="57"/>
                    <w:rPr>
                      <w:color w:val="auto"/>
                    </w:rPr>
                  </w:pPr>
                  <w:r>
                    <w:rPr>
                      <w:rFonts w:hint="eastAsia"/>
                      <w:color w:val="auto"/>
                    </w:rPr>
                    <w:t>900-214-08</w:t>
                  </w:r>
                </w:p>
              </w:tc>
              <w:tc>
                <w:tcPr>
                  <w:tcW w:w="294" w:type="pct"/>
                  <w:vMerge w:val="restart"/>
                  <w:tcBorders>
                    <w:tl2br w:val="nil"/>
                    <w:tr2bl w:val="nil"/>
                  </w:tcBorders>
                  <w:vAlign w:val="center"/>
                </w:tcPr>
                <w:p w14:paraId="563FA1D7">
                  <w:pPr>
                    <w:pStyle w:val="57"/>
                    <w:rPr>
                      <w:color w:val="auto"/>
                    </w:rPr>
                  </w:pPr>
                  <w:r>
                    <w:rPr>
                      <w:rFonts w:hint="eastAsia"/>
                      <w:color w:val="auto"/>
                    </w:rPr>
                    <w:t>生产厂房2层南侧</w:t>
                  </w:r>
                </w:p>
              </w:tc>
              <w:tc>
                <w:tcPr>
                  <w:tcW w:w="334" w:type="pct"/>
                  <w:vMerge w:val="restart"/>
                  <w:tcBorders>
                    <w:tl2br w:val="nil"/>
                    <w:tr2bl w:val="nil"/>
                  </w:tcBorders>
                  <w:vAlign w:val="center"/>
                </w:tcPr>
                <w:p w14:paraId="4BFD5731">
                  <w:pPr>
                    <w:pStyle w:val="57"/>
                    <w:rPr>
                      <w:rFonts w:hint="eastAsia"/>
                      <w:color w:val="auto"/>
                    </w:rPr>
                  </w:pPr>
                  <w:r>
                    <w:rPr>
                      <w:rFonts w:hint="eastAsia"/>
                      <w:color w:val="auto"/>
                    </w:rPr>
                    <w:t>15m</w:t>
                  </w:r>
                  <w:r>
                    <w:rPr>
                      <w:rFonts w:hint="eastAsia"/>
                      <w:color w:val="auto"/>
                      <w:vertAlign w:val="superscript"/>
                    </w:rPr>
                    <w:t>2</w:t>
                  </w:r>
                </w:p>
              </w:tc>
              <w:tc>
                <w:tcPr>
                  <w:tcW w:w="434" w:type="pct"/>
                  <w:vMerge w:val="restart"/>
                  <w:tcBorders>
                    <w:tl2br w:val="nil"/>
                    <w:tr2bl w:val="nil"/>
                  </w:tcBorders>
                  <w:vAlign w:val="center"/>
                </w:tcPr>
                <w:p w14:paraId="16EAC529">
                  <w:pPr>
                    <w:pStyle w:val="57"/>
                    <w:rPr>
                      <w:color w:val="auto"/>
                    </w:rPr>
                  </w:pPr>
                  <w:r>
                    <w:rPr>
                      <w:rFonts w:hint="eastAsia"/>
                      <w:color w:val="auto"/>
                    </w:rPr>
                    <w:t>采用密闭性好、耐腐蚀的塑料桶装载</w:t>
                  </w:r>
                </w:p>
              </w:tc>
              <w:tc>
                <w:tcPr>
                  <w:tcW w:w="259" w:type="pct"/>
                  <w:vMerge w:val="restart"/>
                  <w:tcBorders>
                    <w:tl2br w:val="nil"/>
                    <w:tr2bl w:val="nil"/>
                  </w:tcBorders>
                  <w:vAlign w:val="center"/>
                </w:tcPr>
                <w:p w14:paraId="6CF920B4">
                  <w:pPr>
                    <w:pStyle w:val="57"/>
                    <w:rPr>
                      <w:color w:val="auto"/>
                    </w:rPr>
                  </w:pPr>
                  <w:r>
                    <w:rPr>
                      <w:rFonts w:hint="eastAsia"/>
                      <w:color w:val="auto"/>
                    </w:rPr>
                    <w:t>5</w:t>
                  </w:r>
                  <w:r>
                    <w:rPr>
                      <w:color w:val="auto"/>
                    </w:rPr>
                    <w:t>t</w:t>
                  </w:r>
                </w:p>
              </w:tc>
              <w:tc>
                <w:tcPr>
                  <w:tcW w:w="259" w:type="pct"/>
                  <w:vMerge w:val="restart"/>
                  <w:tcBorders>
                    <w:tl2br w:val="nil"/>
                    <w:tr2bl w:val="nil"/>
                  </w:tcBorders>
                  <w:vAlign w:val="center"/>
                </w:tcPr>
                <w:p w14:paraId="3D76D671">
                  <w:pPr>
                    <w:pStyle w:val="57"/>
                    <w:rPr>
                      <w:color w:val="auto"/>
                    </w:rPr>
                  </w:pPr>
                  <w:r>
                    <w:rPr>
                      <w:rFonts w:hint="eastAsia"/>
                      <w:color w:val="auto"/>
                    </w:rPr>
                    <w:t>3个月</w:t>
                  </w:r>
                </w:p>
              </w:tc>
            </w:tr>
            <w:tr w14:paraId="08B6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l2br w:val="nil"/>
                    <w:tr2bl w:val="nil"/>
                  </w:tcBorders>
                  <w:vAlign w:val="center"/>
                </w:tcPr>
                <w:p w14:paraId="42B2691F">
                  <w:pPr>
                    <w:pStyle w:val="57"/>
                    <w:rPr>
                      <w:rFonts w:hint="eastAsia"/>
                      <w:color w:val="auto"/>
                    </w:rPr>
                  </w:pPr>
                  <w:r>
                    <w:rPr>
                      <w:rFonts w:hint="eastAsia"/>
                      <w:color w:val="auto"/>
                    </w:rPr>
                    <w:t>2</w:t>
                  </w:r>
                </w:p>
              </w:tc>
              <w:tc>
                <w:tcPr>
                  <w:tcW w:w="526" w:type="pct"/>
                  <w:vMerge w:val="continue"/>
                  <w:tcBorders>
                    <w:tl2br w:val="nil"/>
                    <w:tr2bl w:val="nil"/>
                  </w:tcBorders>
                  <w:vAlign w:val="center"/>
                </w:tcPr>
                <w:p w14:paraId="77D565D2">
                  <w:pPr>
                    <w:pStyle w:val="57"/>
                    <w:rPr>
                      <w:color w:val="auto"/>
                    </w:rPr>
                  </w:pPr>
                </w:p>
              </w:tc>
              <w:tc>
                <w:tcPr>
                  <w:tcW w:w="682" w:type="pct"/>
                  <w:tcBorders>
                    <w:tl2br w:val="nil"/>
                    <w:tr2bl w:val="nil"/>
                  </w:tcBorders>
                  <w:vAlign w:val="center"/>
                </w:tcPr>
                <w:p w14:paraId="55A35476">
                  <w:pPr>
                    <w:pStyle w:val="57"/>
                    <w:rPr>
                      <w:color w:val="auto"/>
                    </w:rPr>
                  </w:pPr>
                  <w:r>
                    <w:rPr>
                      <w:rFonts w:hint="eastAsia"/>
                      <w:color w:val="auto"/>
                    </w:rPr>
                    <w:t>废活性炭</w:t>
                  </w:r>
                </w:p>
              </w:tc>
              <w:tc>
                <w:tcPr>
                  <w:tcW w:w="1173" w:type="pct"/>
                  <w:tcBorders>
                    <w:tl2br w:val="nil"/>
                    <w:tr2bl w:val="nil"/>
                  </w:tcBorders>
                  <w:vAlign w:val="center"/>
                </w:tcPr>
                <w:p w14:paraId="008E8215">
                  <w:pPr>
                    <w:pStyle w:val="57"/>
                    <w:rPr>
                      <w:color w:val="auto"/>
                    </w:rPr>
                  </w:pPr>
                  <w:r>
                    <w:rPr>
                      <w:color w:val="auto"/>
                    </w:rPr>
                    <w:t>HW49</w:t>
                  </w:r>
                  <w:r>
                    <w:rPr>
                      <w:rFonts w:hint="eastAsia"/>
                      <w:color w:val="auto"/>
                    </w:rPr>
                    <w:t>其它废物</w:t>
                  </w:r>
                </w:p>
              </w:tc>
              <w:tc>
                <w:tcPr>
                  <w:tcW w:w="750" w:type="pct"/>
                  <w:tcBorders>
                    <w:tl2br w:val="nil"/>
                    <w:tr2bl w:val="nil"/>
                  </w:tcBorders>
                  <w:vAlign w:val="center"/>
                </w:tcPr>
                <w:p w14:paraId="322B13B7">
                  <w:pPr>
                    <w:pStyle w:val="57"/>
                    <w:rPr>
                      <w:color w:val="auto"/>
                    </w:rPr>
                  </w:pPr>
                  <w:r>
                    <w:rPr>
                      <w:color w:val="auto"/>
                    </w:rPr>
                    <w:t>900-039-49</w:t>
                  </w:r>
                </w:p>
              </w:tc>
              <w:tc>
                <w:tcPr>
                  <w:tcW w:w="294" w:type="pct"/>
                  <w:vMerge w:val="continue"/>
                  <w:tcBorders>
                    <w:tl2br w:val="nil"/>
                    <w:tr2bl w:val="nil"/>
                  </w:tcBorders>
                  <w:vAlign w:val="center"/>
                </w:tcPr>
                <w:p w14:paraId="74B411A2">
                  <w:pPr>
                    <w:pStyle w:val="57"/>
                    <w:rPr>
                      <w:color w:val="auto"/>
                    </w:rPr>
                  </w:pPr>
                </w:p>
              </w:tc>
              <w:tc>
                <w:tcPr>
                  <w:tcW w:w="334" w:type="pct"/>
                  <w:vMerge w:val="continue"/>
                  <w:tcBorders>
                    <w:tl2br w:val="nil"/>
                    <w:tr2bl w:val="nil"/>
                  </w:tcBorders>
                  <w:vAlign w:val="center"/>
                </w:tcPr>
                <w:p w14:paraId="52647B8D">
                  <w:pPr>
                    <w:pStyle w:val="57"/>
                    <w:rPr>
                      <w:color w:val="auto"/>
                    </w:rPr>
                  </w:pPr>
                </w:p>
              </w:tc>
              <w:tc>
                <w:tcPr>
                  <w:tcW w:w="434" w:type="pct"/>
                  <w:vMerge w:val="continue"/>
                  <w:tcBorders>
                    <w:tl2br w:val="nil"/>
                    <w:tr2bl w:val="nil"/>
                  </w:tcBorders>
                  <w:vAlign w:val="center"/>
                </w:tcPr>
                <w:p w14:paraId="2C3296CC">
                  <w:pPr>
                    <w:pStyle w:val="57"/>
                    <w:rPr>
                      <w:color w:val="auto"/>
                    </w:rPr>
                  </w:pPr>
                </w:p>
              </w:tc>
              <w:tc>
                <w:tcPr>
                  <w:tcW w:w="259" w:type="pct"/>
                  <w:vMerge w:val="continue"/>
                  <w:tcBorders>
                    <w:tl2br w:val="nil"/>
                    <w:tr2bl w:val="nil"/>
                  </w:tcBorders>
                  <w:vAlign w:val="center"/>
                </w:tcPr>
                <w:p w14:paraId="0171817D">
                  <w:pPr>
                    <w:pStyle w:val="57"/>
                    <w:rPr>
                      <w:color w:val="auto"/>
                    </w:rPr>
                  </w:pPr>
                </w:p>
              </w:tc>
              <w:tc>
                <w:tcPr>
                  <w:tcW w:w="259" w:type="pct"/>
                  <w:vMerge w:val="continue"/>
                  <w:tcBorders>
                    <w:tl2br w:val="nil"/>
                    <w:tr2bl w:val="nil"/>
                  </w:tcBorders>
                  <w:vAlign w:val="center"/>
                </w:tcPr>
                <w:p w14:paraId="7A9CB009">
                  <w:pPr>
                    <w:pStyle w:val="57"/>
                    <w:rPr>
                      <w:color w:val="auto"/>
                    </w:rPr>
                  </w:pPr>
                </w:p>
              </w:tc>
            </w:tr>
            <w:tr w14:paraId="720A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5" w:type="pct"/>
                  <w:tcBorders>
                    <w:tl2br w:val="nil"/>
                    <w:tr2bl w:val="nil"/>
                  </w:tcBorders>
                  <w:vAlign w:val="center"/>
                </w:tcPr>
                <w:p w14:paraId="5796F2DE">
                  <w:pPr>
                    <w:pStyle w:val="57"/>
                    <w:rPr>
                      <w:color w:val="auto"/>
                    </w:rPr>
                  </w:pPr>
                  <w:r>
                    <w:rPr>
                      <w:rFonts w:hint="eastAsia"/>
                      <w:color w:val="auto"/>
                    </w:rPr>
                    <w:t>3</w:t>
                  </w:r>
                </w:p>
              </w:tc>
              <w:tc>
                <w:tcPr>
                  <w:tcW w:w="526" w:type="pct"/>
                  <w:vMerge w:val="continue"/>
                  <w:tcBorders>
                    <w:tl2br w:val="nil"/>
                    <w:tr2bl w:val="nil"/>
                  </w:tcBorders>
                  <w:vAlign w:val="center"/>
                </w:tcPr>
                <w:p w14:paraId="2234E7F7">
                  <w:pPr>
                    <w:pStyle w:val="57"/>
                    <w:rPr>
                      <w:color w:val="auto"/>
                    </w:rPr>
                  </w:pPr>
                </w:p>
              </w:tc>
              <w:tc>
                <w:tcPr>
                  <w:tcW w:w="682" w:type="pct"/>
                  <w:tcBorders>
                    <w:tl2br w:val="nil"/>
                    <w:tr2bl w:val="nil"/>
                  </w:tcBorders>
                  <w:vAlign w:val="center"/>
                </w:tcPr>
                <w:p w14:paraId="13AA7375">
                  <w:pPr>
                    <w:pStyle w:val="57"/>
                    <w:rPr>
                      <w:rFonts w:hint="eastAsia"/>
                      <w:color w:val="auto"/>
                    </w:rPr>
                  </w:pPr>
                  <w:r>
                    <w:rPr>
                      <w:rFonts w:hint="eastAsia"/>
                      <w:color w:val="auto"/>
                    </w:rPr>
                    <w:t>废包装桶</w:t>
                  </w:r>
                </w:p>
              </w:tc>
              <w:tc>
                <w:tcPr>
                  <w:tcW w:w="1173" w:type="pct"/>
                  <w:tcBorders>
                    <w:tl2br w:val="nil"/>
                    <w:tr2bl w:val="nil"/>
                  </w:tcBorders>
                  <w:vAlign w:val="center"/>
                </w:tcPr>
                <w:p w14:paraId="3502294A">
                  <w:pPr>
                    <w:pStyle w:val="57"/>
                    <w:rPr>
                      <w:color w:val="auto"/>
                    </w:rPr>
                  </w:pPr>
                  <w:r>
                    <w:rPr>
                      <w:color w:val="auto"/>
                    </w:rPr>
                    <w:t>HW49其他废物</w:t>
                  </w:r>
                </w:p>
              </w:tc>
              <w:tc>
                <w:tcPr>
                  <w:tcW w:w="750" w:type="pct"/>
                  <w:tcBorders>
                    <w:tl2br w:val="nil"/>
                    <w:tr2bl w:val="nil"/>
                  </w:tcBorders>
                  <w:vAlign w:val="center"/>
                </w:tcPr>
                <w:p w14:paraId="35B8CCE8">
                  <w:pPr>
                    <w:pStyle w:val="57"/>
                    <w:rPr>
                      <w:color w:val="auto"/>
                    </w:rPr>
                  </w:pPr>
                  <w:r>
                    <w:rPr>
                      <w:rFonts w:hint="eastAsia"/>
                      <w:color w:val="auto"/>
                    </w:rPr>
                    <w:t>900-041-49</w:t>
                  </w:r>
                </w:p>
              </w:tc>
              <w:tc>
                <w:tcPr>
                  <w:tcW w:w="294" w:type="pct"/>
                  <w:vMerge w:val="continue"/>
                  <w:tcBorders>
                    <w:tl2br w:val="nil"/>
                    <w:tr2bl w:val="nil"/>
                  </w:tcBorders>
                  <w:vAlign w:val="center"/>
                </w:tcPr>
                <w:p w14:paraId="551BC777">
                  <w:pPr>
                    <w:pStyle w:val="57"/>
                    <w:rPr>
                      <w:color w:val="auto"/>
                    </w:rPr>
                  </w:pPr>
                </w:p>
              </w:tc>
              <w:tc>
                <w:tcPr>
                  <w:tcW w:w="334" w:type="pct"/>
                  <w:vMerge w:val="continue"/>
                  <w:tcBorders>
                    <w:tl2br w:val="nil"/>
                    <w:tr2bl w:val="nil"/>
                  </w:tcBorders>
                  <w:vAlign w:val="center"/>
                </w:tcPr>
                <w:p w14:paraId="330E00F9">
                  <w:pPr>
                    <w:pStyle w:val="57"/>
                    <w:rPr>
                      <w:color w:val="auto"/>
                    </w:rPr>
                  </w:pPr>
                </w:p>
              </w:tc>
              <w:tc>
                <w:tcPr>
                  <w:tcW w:w="434" w:type="pct"/>
                  <w:vMerge w:val="continue"/>
                  <w:tcBorders>
                    <w:tl2br w:val="nil"/>
                    <w:tr2bl w:val="nil"/>
                  </w:tcBorders>
                  <w:vAlign w:val="center"/>
                </w:tcPr>
                <w:p w14:paraId="76B2DFF2">
                  <w:pPr>
                    <w:pStyle w:val="57"/>
                    <w:rPr>
                      <w:color w:val="auto"/>
                    </w:rPr>
                  </w:pPr>
                </w:p>
              </w:tc>
              <w:tc>
                <w:tcPr>
                  <w:tcW w:w="259" w:type="pct"/>
                  <w:vMerge w:val="continue"/>
                  <w:tcBorders>
                    <w:tl2br w:val="nil"/>
                    <w:tr2bl w:val="nil"/>
                  </w:tcBorders>
                  <w:vAlign w:val="center"/>
                </w:tcPr>
                <w:p w14:paraId="138082B1">
                  <w:pPr>
                    <w:pStyle w:val="57"/>
                    <w:rPr>
                      <w:color w:val="auto"/>
                    </w:rPr>
                  </w:pPr>
                </w:p>
              </w:tc>
              <w:tc>
                <w:tcPr>
                  <w:tcW w:w="259" w:type="pct"/>
                  <w:vMerge w:val="continue"/>
                  <w:tcBorders>
                    <w:tl2br w:val="nil"/>
                    <w:tr2bl w:val="nil"/>
                  </w:tcBorders>
                  <w:vAlign w:val="center"/>
                </w:tcPr>
                <w:p w14:paraId="6C362CA8">
                  <w:pPr>
                    <w:pStyle w:val="57"/>
                    <w:rPr>
                      <w:color w:val="auto"/>
                    </w:rPr>
                  </w:pPr>
                </w:p>
              </w:tc>
            </w:tr>
            <w:tr w14:paraId="0CF3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 w:type="pct"/>
                  <w:tcBorders>
                    <w:tl2br w:val="nil"/>
                    <w:tr2bl w:val="nil"/>
                  </w:tcBorders>
                  <w:vAlign w:val="center"/>
                </w:tcPr>
                <w:p w14:paraId="28B48F74">
                  <w:pPr>
                    <w:pStyle w:val="57"/>
                    <w:rPr>
                      <w:color w:val="auto"/>
                    </w:rPr>
                  </w:pPr>
                  <w:r>
                    <w:rPr>
                      <w:rFonts w:hint="eastAsia"/>
                      <w:color w:val="auto"/>
                    </w:rPr>
                    <w:t>4</w:t>
                  </w:r>
                </w:p>
              </w:tc>
              <w:tc>
                <w:tcPr>
                  <w:tcW w:w="526" w:type="pct"/>
                  <w:vMerge w:val="continue"/>
                  <w:tcBorders>
                    <w:tl2br w:val="nil"/>
                    <w:tr2bl w:val="nil"/>
                  </w:tcBorders>
                  <w:vAlign w:val="center"/>
                </w:tcPr>
                <w:p w14:paraId="31AA17C3">
                  <w:pPr>
                    <w:pStyle w:val="57"/>
                    <w:rPr>
                      <w:color w:val="auto"/>
                    </w:rPr>
                  </w:pPr>
                </w:p>
              </w:tc>
              <w:tc>
                <w:tcPr>
                  <w:tcW w:w="682" w:type="pct"/>
                  <w:tcBorders>
                    <w:tl2br w:val="nil"/>
                    <w:tr2bl w:val="nil"/>
                  </w:tcBorders>
                  <w:vAlign w:val="center"/>
                </w:tcPr>
                <w:p w14:paraId="2EC0FB5D">
                  <w:pPr>
                    <w:pStyle w:val="57"/>
                    <w:rPr>
                      <w:rFonts w:hint="eastAsia"/>
                      <w:color w:val="auto"/>
                    </w:rPr>
                  </w:pPr>
                  <w:r>
                    <w:rPr>
                      <w:rFonts w:hint="eastAsia"/>
                      <w:color w:val="auto"/>
                    </w:rPr>
                    <w:t>废抹布</w:t>
                  </w:r>
                </w:p>
              </w:tc>
              <w:tc>
                <w:tcPr>
                  <w:tcW w:w="1173" w:type="pct"/>
                  <w:tcBorders>
                    <w:tl2br w:val="nil"/>
                    <w:tr2bl w:val="nil"/>
                  </w:tcBorders>
                  <w:vAlign w:val="center"/>
                </w:tcPr>
                <w:p w14:paraId="5907E0ED">
                  <w:pPr>
                    <w:pStyle w:val="57"/>
                    <w:rPr>
                      <w:color w:val="auto"/>
                    </w:rPr>
                  </w:pPr>
                  <w:r>
                    <w:rPr>
                      <w:color w:val="auto"/>
                    </w:rPr>
                    <w:t>HW49其他废物</w:t>
                  </w:r>
                </w:p>
              </w:tc>
              <w:tc>
                <w:tcPr>
                  <w:tcW w:w="750" w:type="pct"/>
                  <w:tcBorders>
                    <w:tl2br w:val="nil"/>
                    <w:tr2bl w:val="nil"/>
                  </w:tcBorders>
                  <w:vAlign w:val="center"/>
                </w:tcPr>
                <w:p w14:paraId="6936D915">
                  <w:pPr>
                    <w:pStyle w:val="57"/>
                    <w:rPr>
                      <w:rFonts w:hint="eastAsia"/>
                      <w:color w:val="auto"/>
                    </w:rPr>
                  </w:pPr>
                  <w:r>
                    <w:rPr>
                      <w:rFonts w:hint="eastAsia"/>
                      <w:color w:val="auto"/>
                    </w:rPr>
                    <w:t>900-041-49</w:t>
                  </w:r>
                </w:p>
              </w:tc>
              <w:tc>
                <w:tcPr>
                  <w:tcW w:w="294" w:type="pct"/>
                  <w:vMerge w:val="continue"/>
                  <w:tcBorders>
                    <w:tl2br w:val="nil"/>
                    <w:tr2bl w:val="nil"/>
                  </w:tcBorders>
                  <w:vAlign w:val="center"/>
                </w:tcPr>
                <w:p w14:paraId="53CF8B69">
                  <w:pPr>
                    <w:pStyle w:val="57"/>
                    <w:rPr>
                      <w:color w:val="auto"/>
                    </w:rPr>
                  </w:pPr>
                </w:p>
              </w:tc>
              <w:tc>
                <w:tcPr>
                  <w:tcW w:w="334" w:type="pct"/>
                  <w:vMerge w:val="continue"/>
                  <w:tcBorders>
                    <w:tl2br w:val="nil"/>
                    <w:tr2bl w:val="nil"/>
                  </w:tcBorders>
                  <w:vAlign w:val="center"/>
                </w:tcPr>
                <w:p w14:paraId="5B137C60">
                  <w:pPr>
                    <w:pStyle w:val="57"/>
                    <w:rPr>
                      <w:color w:val="auto"/>
                    </w:rPr>
                  </w:pPr>
                </w:p>
              </w:tc>
              <w:tc>
                <w:tcPr>
                  <w:tcW w:w="434" w:type="pct"/>
                  <w:vMerge w:val="continue"/>
                  <w:tcBorders>
                    <w:tl2br w:val="nil"/>
                    <w:tr2bl w:val="nil"/>
                  </w:tcBorders>
                  <w:vAlign w:val="center"/>
                </w:tcPr>
                <w:p w14:paraId="744628F0">
                  <w:pPr>
                    <w:pStyle w:val="57"/>
                    <w:rPr>
                      <w:color w:val="auto"/>
                    </w:rPr>
                  </w:pPr>
                </w:p>
              </w:tc>
              <w:tc>
                <w:tcPr>
                  <w:tcW w:w="259" w:type="pct"/>
                  <w:vMerge w:val="continue"/>
                  <w:tcBorders>
                    <w:tl2br w:val="nil"/>
                    <w:tr2bl w:val="nil"/>
                  </w:tcBorders>
                  <w:vAlign w:val="center"/>
                </w:tcPr>
                <w:p w14:paraId="7E918155">
                  <w:pPr>
                    <w:pStyle w:val="57"/>
                    <w:rPr>
                      <w:color w:val="auto"/>
                    </w:rPr>
                  </w:pPr>
                </w:p>
              </w:tc>
              <w:tc>
                <w:tcPr>
                  <w:tcW w:w="259" w:type="pct"/>
                  <w:vMerge w:val="continue"/>
                  <w:tcBorders>
                    <w:tl2br w:val="nil"/>
                    <w:tr2bl w:val="nil"/>
                  </w:tcBorders>
                  <w:vAlign w:val="center"/>
                </w:tcPr>
                <w:p w14:paraId="1DC1C084">
                  <w:pPr>
                    <w:pStyle w:val="57"/>
                    <w:rPr>
                      <w:color w:val="auto"/>
                    </w:rPr>
                  </w:pPr>
                </w:p>
              </w:tc>
            </w:tr>
          </w:tbl>
          <w:p w14:paraId="038DFFAD">
            <w:pPr>
              <w:pStyle w:val="79"/>
              <w:spacing w:before="24" w:after="24" w:line="360" w:lineRule="auto"/>
              <w:ind w:firstLine="482" w:firstLineChars="200"/>
              <w:rPr>
                <w:b/>
                <w:bCs/>
                <w:color w:val="auto"/>
                <w:kern w:val="0"/>
              </w:rPr>
            </w:pPr>
            <w:r>
              <w:rPr>
                <w:b/>
                <w:bCs/>
                <w:color w:val="auto"/>
                <w:kern w:val="0"/>
              </w:rPr>
              <w:t>（3）固体废物环境管理要求</w:t>
            </w:r>
          </w:p>
          <w:p w14:paraId="266552B3">
            <w:pPr>
              <w:tabs>
                <w:tab w:val="left" w:pos="7437"/>
              </w:tabs>
              <w:adjustRightInd w:val="0"/>
              <w:snapToGrid w:val="0"/>
              <w:ind w:firstLine="480"/>
              <w:rPr>
                <w:color w:val="auto"/>
              </w:rPr>
            </w:pPr>
            <w:r>
              <w:rPr>
                <w:color w:val="auto"/>
              </w:rPr>
              <w:t>1）生活垃圾管理要求</w:t>
            </w:r>
          </w:p>
          <w:p w14:paraId="1B6BB0D6">
            <w:pPr>
              <w:tabs>
                <w:tab w:val="left" w:pos="7437"/>
              </w:tabs>
              <w:adjustRightInd w:val="0"/>
              <w:snapToGrid w:val="0"/>
              <w:ind w:firstLine="480"/>
              <w:rPr>
                <w:color w:val="auto"/>
              </w:rPr>
            </w:pPr>
            <w:r>
              <w:rPr>
                <w:color w:val="auto"/>
              </w:rPr>
              <w:t>生活垃圾需在厂区内指定地点进行堆放，并对堆放点进行定期消毒，杀灭害虫，及时交由环卫部门统一清运后，不会对周围环境造成不良影响。</w:t>
            </w:r>
          </w:p>
          <w:p w14:paraId="5BA70F60">
            <w:pPr>
              <w:tabs>
                <w:tab w:val="left" w:pos="7437"/>
              </w:tabs>
              <w:adjustRightInd w:val="0"/>
              <w:snapToGrid w:val="0"/>
              <w:ind w:firstLine="480"/>
              <w:rPr>
                <w:color w:val="auto"/>
              </w:rPr>
            </w:pPr>
            <w:r>
              <w:rPr>
                <w:color w:val="auto"/>
              </w:rPr>
              <w:t>2）一般工业固体废物管理要求</w:t>
            </w:r>
          </w:p>
          <w:p w14:paraId="434D4D67">
            <w:pPr>
              <w:tabs>
                <w:tab w:val="left" w:pos="7437"/>
              </w:tabs>
              <w:adjustRightInd w:val="0"/>
              <w:snapToGrid w:val="0"/>
              <w:ind w:firstLine="480"/>
              <w:rPr>
                <w:color w:val="auto"/>
              </w:rPr>
            </w:pPr>
            <w:r>
              <w:rPr>
                <w:color w:val="auto"/>
              </w:rPr>
              <w:t>①按照《一般工业固体废物贮存和填埋污染控制标准》（GB18599-2020）的要求设置暂存场所。</w:t>
            </w:r>
          </w:p>
          <w:p w14:paraId="17B08427">
            <w:pPr>
              <w:tabs>
                <w:tab w:val="left" w:pos="7437"/>
              </w:tabs>
              <w:adjustRightInd w:val="0"/>
              <w:snapToGrid w:val="0"/>
              <w:ind w:firstLine="480"/>
              <w:rPr>
                <w:color w:val="auto"/>
              </w:rPr>
            </w:pPr>
            <w:r>
              <w:rPr>
                <w:color w:val="auto"/>
              </w:rPr>
              <w:t>②贮存、处置场的设置必须与将要堆放的一般工业固体废物的类别相一致。</w:t>
            </w:r>
          </w:p>
          <w:p w14:paraId="3BCC804E">
            <w:pPr>
              <w:tabs>
                <w:tab w:val="left" w:pos="7437"/>
              </w:tabs>
              <w:adjustRightInd w:val="0"/>
              <w:snapToGrid w:val="0"/>
              <w:ind w:firstLine="480"/>
              <w:rPr>
                <w:color w:val="auto"/>
              </w:rPr>
            </w:pPr>
            <w:r>
              <w:rPr>
                <w:color w:val="auto"/>
              </w:rPr>
              <w:t>③不得露天堆放，防止雨水进入产生二次污染。</w:t>
            </w:r>
          </w:p>
          <w:p w14:paraId="7504C6BC">
            <w:pPr>
              <w:tabs>
                <w:tab w:val="left" w:pos="7437"/>
              </w:tabs>
              <w:adjustRightInd w:val="0"/>
              <w:snapToGrid w:val="0"/>
              <w:ind w:firstLine="480"/>
              <w:rPr>
                <w:color w:val="auto"/>
              </w:rPr>
            </w:pPr>
            <w:r>
              <w:rPr>
                <w:color w:val="auto"/>
              </w:rPr>
              <w:t>④贮存、处置场使用单位，应建立检查维护制度，定期检查维护堤等设施，发现有损坏可能或异常，应及时采取必要措施，以保障正常运行。</w:t>
            </w:r>
          </w:p>
          <w:p w14:paraId="72DBD841">
            <w:pPr>
              <w:tabs>
                <w:tab w:val="left" w:pos="7437"/>
              </w:tabs>
              <w:adjustRightInd w:val="0"/>
              <w:snapToGrid w:val="0"/>
              <w:ind w:firstLine="480"/>
              <w:rPr>
                <w:color w:val="auto"/>
              </w:rPr>
            </w:pPr>
            <w:r>
              <w:rPr>
                <w:color w:val="auto"/>
              </w:rPr>
              <w:t>⑤单位需定期对员工进行培训，加强安全及防止污染的意识，培训通过后上岗，对于固体废物的收集、运输要实施专人专职管理制度并建立好档案制度。应将入场的一般工业固体废物的种类和数量以及下列资料，详细记录在案，长期保存，供随时查阅。</w:t>
            </w:r>
          </w:p>
          <w:p w14:paraId="757C8BFC">
            <w:pPr>
              <w:snapToGrid w:val="0"/>
              <w:ind w:firstLine="480"/>
              <w:rPr>
                <w:bCs/>
                <w:color w:val="auto"/>
              </w:rPr>
            </w:pPr>
            <w:r>
              <w:rPr>
                <w:bCs/>
                <w:color w:val="auto"/>
              </w:rPr>
              <w:t>3）危险废物</w:t>
            </w:r>
            <w:r>
              <w:rPr>
                <w:color w:val="auto"/>
              </w:rPr>
              <w:t>管理要求</w:t>
            </w:r>
          </w:p>
          <w:p w14:paraId="7415FD0B">
            <w:pPr>
              <w:snapToGrid w:val="0"/>
              <w:ind w:firstLine="480"/>
              <w:rPr>
                <w:color w:val="auto"/>
              </w:rPr>
            </w:pPr>
            <w:r>
              <w:rPr>
                <w:color w:val="auto"/>
              </w:rPr>
              <w:t>对于本项目产生的危险废弃物不得擅自倾倒、堆放按照危险废物的特性分类收集、贮存、运输、处置，并与非危险废物分开贮存。建设单位对自身产生的危险废物进行全过程的管理，临时贮存设施的选址、设计、运行、安全防护、监测和关闭，将严格按照《危险废物贮存污染控制标准》（GB</w:t>
            </w:r>
            <w:r>
              <w:rPr>
                <w:rFonts w:hint="eastAsia"/>
                <w:color w:val="auto"/>
              </w:rPr>
              <w:t>18597-2023</w:t>
            </w:r>
            <w:r>
              <w:rPr>
                <w:color w:val="auto"/>
              </w:rPr>
              <w:t>）的相关要求执行。主要措施如下：</w:t>
            </w:r>
          </w:p>
          <w:p w14:paraId="26AFBCFF">
            <w:pPr>
              <w:snapToGrid w:val="0"/>
              <w:ind w:firstLine="480"/>
              <w:rPr>
                <w:color w:val="auto"/>
              </w:rPr>
            </w:pPr>
            <w:r>
              <w:rPr>
                <w:color w:val="auto"/>
              </w:rPr>
              <w:t>①严格按照《危险废物转移联单管理办法》和《危险废物经营许可证管理办法》等，对进厂、使用、出厂的危险废物量进行统计，并定期向环境保护管理部门报送；</w:t>
            </w:r>
          </w:p>
          <w:p w14:paraId="494AF805">
            <w:pPr>
              <w:snapToGrid w:val="0"/>
              <w:ind w:firstLine="480"/>
              <w:rPr>
                <w:color w:val="auto"/>
              </w:rPr>
            </w:pPr>
            <w:r>
              <w:rPr>
                <w:color w:val="auto"/>
              </w:rPr>
              <w:t>②危险废物临时贮存库地面与裙角要用坚固、防渗的材料建造，建筑材料必须与危险废物相容；</w:t>
            </w:r>
          </w:p>
          <w:p w14:paraId="706A184B">
            <w:pPr>
              <w:snapToGrid w:val="0"/>
              <w:ind w:firstLine="480"/>
              <w:rPr>
                <w:color w:val="auto"/>
              </w:rPr>
            </w:pPr>
            <w:r>
              <w:rPr>
                <w:color w:val="auto"/>
              </w:rPr>
              <w:t>③危险废物临时贮存库必须有耐腐蚀的硬化地面，且表面无裂隙；</w:t>
            </w:r>
          </w:p>
          <w:p w14:paraId="07AD5CBA">
            <w:pPr>
              <w:snapToGrid w:val="0"/>
              <w:ind w:firstLine="480"/>
              <w:rPr>
                <w:color w:val="auto"/>
              </w:rPr>
            </w:pPr>
            <w:r>
              <w:rPr>
                <w:color w:val="auto"/>
              </w:rPr>
              <w:t>④危险废物堆放基础防渗，防渗层为至少2毫米厚高密度聚乙烯，渗透系数≤10</w:t>
            </w:r>
            <w:r>
              <w:rPr>
                <w:color w:val="auto"/>
                <w:vertAlign w:val="superscript"/>
              </w:rPr>
              <w:t>-7</w:t>
            </w:r>
            <w:r>
              <w:rPr>
                <w:color w:val="auto"/>
              </w:rPr>
              <w:t>cm</w:t>
            </w:r>
            <w:r>
              <w:rPr>
                <w:rFonts w:hint="eastAsia"/>
                <w:color w:val="auto"/>
              </w:rPr>
              <w:t>/</w:t>
            </w:r>
            <w:r>
              <w:rPr>
                <w:color w:val="auto"/>
              </w:rPr>
              <w:t>s；</w:t>
            </w:r>
          </w:p>
          <w:p w14:paraId="43D8DD4B">
            <w:pPr>
              <w:snapToGrid w:val="0"/>
              <w:ind w:firstLine="480"/>
              <w:rPr>
                <w:color w:val="auto"/>
              </w:rPr>
            </w:pPr>
            <w:r>
              <w:rPr>
                <w:color w:val="auto"/>
              </w:rPr>
              <w:t>⑤危险废液贮存需设计堵截泄漏的裙脚，地面与裙脚所围建的容积不低于堵截最大窗口的最大储量或总储量的五分之一；</w:t>
            </w:r>
          </w:p>
          <w:p w14:paraId="20FE3B0E">
            <w:pPr>
              <w:snapToGrid w:val="0"/>
              <w:ind w:firstLine="480"/>
              <w:rPr>
                <w:color w:val="auto"/>
              </w:rPr>
            </w:pPr>
            <w:r>
              <w:rPr>
                <w:color w:val="auto"/>
              </w:rPr>
              <w:t>⑥设施内要有安全照明和观察窗口；</w:t>
            </w:r>
          </w:p>
          <w:p w14:paraId="710F538E">
            <w:pPr>
              <w:snapToGrid w:val="0"/>
              <w:ind w:firstLine="480"/>
              <w:rPr>
                <w:b/>
                <w:bCs/>
                <w:color w:val="auto"/>
              </w:rPr>
            </w:pPr>
            <w:r>
              <w:rPr>
                <w:color w:val="auto"/>
              </w:rPr>
              <w:t>⑦危险废物临时贮存场要防风、防雨、防晒、防渗透；同时，建设单位应按《中华人民共和国固体废物污染环境防治法》的规定向上级固体废物管理中心如实申报本项目固体废物产生量、拟采取的处置措施及去向，并按该中心的要求对本项目产生的固体废物特别是危险废物进行全过程严格管理和安全处置。</w:t>
            </w:r>
          </w:p>
          <w:p w14:paraId="6F9E5BCA">
            <w:pPr>
              <w:spacing w:before="3"/>
              <w:ind w:firstLine="482"/>
              <w:jc w:val="left"/>
              <w:rPr>
                <w:b/>
                <w:bCs/>
                <w:color w:val="auto"/>
              </w:rPr>
            </w:pPr>
            <w:r>
              <w:rPr>
                <w:rFonts w:hint="eastAsia"/>
                <w:b/>
                <w:bCs/>
                <w:color w:val="auto"/>
              </w:rPr>
              <w:t>6、</w:t>
            </w:r>
            <w:r>
              <w:rPr>
                <w:b/>
                <w:bCs/>
                <w:color w:val="auto"/>
              </w:rPr>
              <w:t>地下水环境影响分析</w:t>
            </w:r>
          </w:p>
          <w:p w14:paraId="25A1ED31">
            <w:pPr>
              <w:ind w:firstLine="480"/>
              <w:rPr>
                <w:color w:val="auto"/>
              </w:rPr>
            </w:pPr>
            <w:r>
              <w:rPr>
                <w:color w:val="auto"/>
              </w:rPr>
              <w:t>地下水及土壤保护与污染防治按照</w:t>
            </w:r>
            <w:r>
              <w:rPr>
                <w:rFonts w:hint="eastAsia"/>
                <w:color w:val="auto"/>
              </w:rPr>
              <w:t>“</w:t>
            </w:r>
            <w:r>
              <w:rPr>
                <w:color w:val="auto"/>
              </w:rPr>
              <w:t>源头控制、分区防治、污染监控、应急响应</w:t>
            </w:r>
            <w:r>
              <w:rPr>
                <w:rFonts w:hint="eastAsia"/>
                <w:color w:val="auto"/>
              </w:rPr>
              <w:t>”</w:t>
            </w:r>
            <w:r>
              <w:rPr>
                <w:color w:val="auto"/>
              </w:rPr>
              <w:t>的原则。本项目运行过程中要建立健全地下水及土壤保护与污染防治的措施与方法；必须采取必要监测制度，一旦发现地下水及土壤遭受污染，就应及时采取措施，防微杜渐；尽量减少污染物进入土壤及地下含水层的机会和数量。</w:t>
            </w:r>
          </w:p>
          <w:p w14:paraId="1FD22970">
            <w:pPr>
              <w:adjustRightInd w:val="0"/>
              <w:snapToGrid w:val="0"/>
              <w:ind w:firstLine="480"/>
              <w:rPr>
                <w:color w:val="auto"/>
              </w:rPr>
            </w:pPr>
            <w:r>
              <w:rPr>
                <w:rFonts w:hint="eastAsia"/>
                <w:color w:val="auto"/>
              </w:rPr>
              <w:t>（1）</w:t>
            </w:r>
            <w:r>
              <w:rPr>
                <w:color w:val="auto"/>
              </w:rPr>
              <w:t>源头控制</w:t>
            </w:r>
          </w:p>
          <w:p w14:paraId="4CB849E6">
            <w:pPr>
              <w:ind w:firstLine="480"/>
              <w:rPr>
                <w:color w:val="auto"/>
              </w:rPr>
            </w:pPr>
            <w:r>
              <w:rPr>
                <w:color w:val="auto"/>
              </w:rPr>
              <w:t>项目选择先进、成熟、可靠的工艺技术，并对产生的各类废物进行合理的回用和治理，尽可能从源头上减少污染物的产生和排放。严格按照国家相关规范要求，对工艺、设备、</w:t>
            </w:r>
            <w:r>
              <w:rPr>
                <w:rFonts w:hint="eastAsia"/>
                <w:color w:val="auto"/>
              </w:rPr>
              <w:t>危废暂存间</w:t>
            </w:r>
            <w:r>
              <w:rPr>
                <w:color w:val="auto"/>
              </w:rPr>
              <w:t>采取相应措施，防止和降低污染物的跑、冒、滴、漏，将污染物泄漏的环境风险降到最低程度。危险废物临时存放场所要按照国家相关规范要求，采取严格的防泄漏、防溢流、防腐蚀等措施，严格危险化学品和危险废物的管理。对可能泄漏有害介质和污染物的设备和管道铺设尽量采用</w:t>
            </w:r>
            <w:r>
              <w:rPr>
                <w:rFonts w:hint="eastAsia"/>
                <w:color w:val="auto"/>
              </w:rPr>
              <w:t>“</w:t>
            </w:r>
            <w:r>
              <w:rPr>
                <w:color w:val="auto"/>
              </w:rPr>
              <w:t>可视化</w:t>
            </w:r>
            <w:r>
              <w:rPr>
                <w:rFonts w:hint="eastAsia"/>
                <w:color w:val="auto"/>
              </w:rPr>
              <w:t>”</w:t>
            </w:r>
            <w:r>
              <w:rPr>
                <w:color w:val="auto"/>
              </w:rPr>
              <w:t>原则，即管道尽可能地上铺设，做到污染物</w:t>
            </w:r>
            <w:r>
              <w:rPr>
                <w:rFonts w:hint="eastAsia"/>
                <w:color w:val="auto"/>
              </w:rPr>
              <w:t>“</w:t>
            </w:r>
            <w:r>
              <w:rPr>
                <w:color w:val="auto"/>
              </w:rPr>
              <w:t>早发现、早处理</w:t>
            </w:r>
            <w:r>
              <w:rPr>
                <w:rFonts w:hint="eastAsia"/>
                <w:color w:val="auto"/>
              </w:rPr>
              <w:t>”</w:t>
            </w:r>
            <w:r>
              <w:rPr>
                <w:color w:val="auto"/>
              </w:rPr>
              <w:t>，以减少由于埋地管道泄漏而可能造成的地下水及土壤污染。</w:t>
            </w:r>
          </w:p>
          <w:p w14:paraId="65D46E95">
            <w:pPr>
              <w:adjustRightInd w:val="0"/>
              <w:snapToGrid w:val="0"/>
              <w:ind w:firstLine="480"/>
              <w:rPr>
                <w:color w:val="auto"/>
              </w:rPr>
            </w:pPr>
            <w:r>
              <w:rPr>
                <w:rFonts w:hint="eastAsia"/>
                <w:color w:val="auto"/>
              </w:rPr>
              <w:t>（2）</w:t>
            </w:r>
            <w:r>
              <w:rPr>
                <w:color w:val="auto"/>
              </w:rPr>
              <w:t>分区防控措施</w:t>
            </w:r>
          </w:p>
          <w:p w14:paraId="0BF191F1">
            <w:pPr>
              <w:pStyle w:val="100"/>
              <w:rPr>
                <w:color w:val="auto"/>
              </w:rPr>
            </w:pPr>
            <w:r>
              <w:rPr>
                <w:rFonts w:hint="eastAsia"/>
                <w:color w:val="auto"/>
              </w:rPr>
              <w:t>1）</w:t>
            </w:r>
            <w:r>
              <w:rPr>
                <w:color w:val="auto"/>
              </w:rPr>
              <w:t>污染防治分区原则：</w:t>
            </w:r>
          </w:p>
          <w:p w14:paraId="5A6F9D0E">
            <w:pPr>
              <w:pStyle w:val="100"/>
              <w:adjustRightInd/>
              <w:snapToGrid/>
              <w:rPr>
                <w:color w:val="auto"/>
              </w:rPr>
            </w:pPr>
            <w:r>
              <w:rPr>
                <w:color w:val="auto"/>
              </w:rPr>
              <w:t>根据项目区各生产功能单元是否可能对地下水造成污染及其风险程度，将项目区划分为重点污染防治区、一般污染防治区和非污染防治区。</w:t>
            </w:r>
          </w:p>
          <w:p w14:paraId="5C3D1980">
            <w:pPr>
              <w:pStyle w:val="100"/>
              <w:adjustRightInd/>
              <w:snapToGrid/>
              <w:rPr>
                <w:color w:val="auto"/>
              </w:rPr>
            </w:pPr>
            <w:r>
              <w:rPr>
                <w:color w:val="auto"/>
              </w:rPr>
              <w:t>①非污染防治区：没有物料或污染物泄漏，不会对地下水环境造成污染的区域或者部位。</w:t>
            </w:r>
          </w:p>
          <w:p w14:paraId="446F45C9">
            <w:pPr>
              <w:pStyle w:val="100"/>
              <w:adjustRightInd/>
              <w:snapToGrid/>
              <w:rPr>
                <w:color w:val="auto"/>
              </w:rPr>
            </w:pPr>
            <w:r>
              <w:rPr>
                <w:color w:val="auto"/>
              </w:rPr>
              <w:t>②一般污染防治区：裸露于地面的生产功能单元，污染地下水环境的物料或污染物泄漏后，可及时发现和处理的区域或部位。</w:t>
            </w:r>
          </w:p>
          <w:p w14:paraId="408D5609">
            <w:pPr>
              <w:pStyle w:val="100"/>
              <w:adjustRightInd/>
              <w:snapToGrid/>
              <w:rPr>
                <w:color w:val="auto"/>
              </w:rPr>
            </w:pPr>
            <w:r>
              <w:rPr>
                <w:color w:val="auto"/>
              </w:rPr>
              <w:t>③重点污染防治区：位于地下或半地下的生产功能单元，污染地下水环境的物料或污染物泄漏后，不易及时发现和处理的区域或部位。</w:t>
            </w:r>
          </w:p>
          <w:p w14:paraId="56A97E43">
            <w:pPr>
              <w:pStyle w:val="100"/>
              <w:adjustRightInd/>
              <w:snapToGrid/>
              <w:rPr>
                <w:color w:val="auto"/>
              </w:rPr>
            </w:pPr>
            <w:r>
              <w:rPr>
                <w:color w:val="auto"/>
              </w:rPr>
              <w:t>项目单位对危废临时存储场所的地面采用防渗处理，其渗透系数要求达到《危险废物贮存污染控制标准》（GB</w:t>
            </w:r>
            <w:r>
              <w:rPr>
                <w:rFonts w:hint="eastAsia"/>
                <w:color w:val="auto"/>
              </w:rPr>
              <w:t>18597-2023</w:t>
            </w:r>
            <w:r>
              <w:rPr>
                <w:color w:val="auto"/>
              </w:rPr>
              <w:t>）的要求中相关要求，以减少对项目区周围土壤和地下水的影响。</w:t>
            </w:r>
          </w:p>
          <w:p w14:paraId="59F680E9">
            <w:pPr>
              <w:pStyle w:val="100"/>
              <w:rPr>
                <w:color w:val="auto"/>
              </w:rPr>
            </w:pPr>
            <w:r>
              <w:rPr>
                <w:color w:val="auto"/>
              </w:rPr>
              <w:t>具体厂区分区防渗具体措施要求见下表</w:t>
            </w:r>
            <w:r>
              <w:rPr>
                <w:rFonts w:hint="eastAsia"/>
                <w:color w:val="auto"/>
              </w:rPr>
              <w:t>4-2</w:t>
            </w:r>
            <w:r>
              <w:rPr>
                <w:rFonts w:hint="eastAsia"/>
                <w:color w:val="auto"/>
                <w:lang w:val="en-US" w:eastAsia="zh-CN"/>
              </w:rPr>
              <w:t>0</w:t>
            </w:r>
            <w:r>
              <w:rPr>
                <w:color w:val="auto"/>
              </w:rPr>
              <w:t>。</w:t>
            </w:r>
          </w:p>
          <w:p w14:paraId="5E999FC8">
            <w:pPr>
              <w:pStyle w:val="58"/>
              <w:ind w:firstLine="422"/>
              <w:rPr>
                <w:color w:val="auto"/>
              </w:rPr>
            </w:pPr>
            <w:r>
              <w:rPr>
                <w:color w:val="auto"/>
              </w:rPr>
              <w:t>表</w:t>
            </w:r>
            <w:r>
              <w:rPr>
                <w:rFonts w:hint="eastAsia"/>
                <w:color w:val="auto"/>
              </w:rPr>
              <w:t>4-</w:t>
            </w:r>
            <w:r>
              <w:rPr>
                <w:rFonts w:hint="eastAsia"/>
                <w:color w:val="auto"/>
                <w:lang w:val="en-US" w:eastAsia="zh-CN"/>
              </w:rPr>
              <w:t>20</w:t>
            </w:r>
            <w:r>
              <w:rPr>
                <w:color w:val="auto"/>
              </w:rPr>
              <w:t>厂区防渗分区要求</w:t>
            </w:r>
          </w:p>
          <w:tbl>
            <w:tblPr>
              <w:tblStyle w:val="37"/>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747"/>
              <w:gridCol w:w="5048"/>
            </w:tblGrid>
            <w:tr w14:paraId="3C57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1" w:type="pct"/>
                  <w:tcBorders>
                    <w:right w:val="single" w:color="000000" w:sz="4" w:space="0"/>
                    <w:tl2br w:val="nil"/>
                    <w:tr2bl w:val="nil"/>
                  </w:tcBorders>
                  <w:vAlign w:val="center"/>
                </w:tcPr>
                <w:p w14:paraId="7144FECF">
                  <w:pPr>
                    <w:pStyle w:val="57"/>
                    <w:rPr>
                      <w:b/>
                      <w:bCs w:val="0"/>
                      <w:color w:val="auto"/>
                    </w:rPr>
                  </w:pPr>
                  <w:r>
                    <w:rPr>
                      <w:b/>
                      <w:bCs w:val="0"/>
                      <w:color w:val="auto"/>
                    </w:rPr>
                    <w:t>防渗分区</w:t>
                  </w:r>
                </w:p>
              </w:tc>
              <w:tc>
                <w:tcPr>
                  <w:tcW w:w="1050" w:type="pct"/>
                  <w:tcBorders>
                    <w:left w:val="single" w:color="000000" w:sz="4" w:space="0"/>
                    <w:tl2br w:val="nil"/>
                    <w:tr2bl w:val="nil"/>
                  </w:tcBorders>
                  <w:vAlign w:val="center"/>
                </w:tcPr>
                <w:p w14:paraId="4970786E">
                  <w:pPr>
                    <w:pStyle w:val="57"/>
                    <w:rPr>
                      <w:b/>
                      <w:bCs w:val="0"/>
                      <w:color w:val="auto"/>
                    </w:rPr>
                  </w:pPr>
                </w:p>
              </w:tc>
              <w:tc>
                <w:tcPr>
                  <w:tcW w:w="3047" w:type="pct"/>
                  <w:tcBorders>
                    <w:tl2br w:val="nil"/>
                    <w:tr2bl w:val="nil"/>
                  </w:tcBorders>
                  <w:vAlign w:val="center"/>
                </w:tcPr>
                <w:p w14:paraId="4E45A0AE">
                  <w:pPr>
                    <w:pStyle w:val="57"/>
                    <w:rPr>
                      <w:b/>
                      <w:bCs w:val="0"/>
                      <w:color w:val="auto"/>
                    </w:rPr>
                  </w:pPr>
                  <w:r>
                    <w:rPr>
                      <w:b/>
                      <w:bCs w:val="0"/>
                      <w:color w:val="auto"/>
                    </w:rPr>
                    <w:t>防渗技术要求</w:t>
                  </w:r>
                </w:p>
              </w:tc>
            </w:tr>
            <w:tr w14:paraId="4F4C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8" w:type="pct"/>
                  <w:tcBorders>
                    <w:right w:val="single" w:color="000000" w:sz="4" w:space="0"/>
                    <w:tl2br w:val="nil"/>
                    <w:tr2bl w:val="nil"/>
                  </w:tcBorders>
                  <w:vAlign w:val="center"/>
                </w:tcPr>
                <w:p w14:paraId="7E9C5E36">
                  <w:pPr>
                    <w:pStyle w:val="57"/>
                    <w:rPr>
                      <w:color w:val="auto"/>
                    </w:rPr>
                  </w:pPr>
                  <w:r>
                    <w:rPr>
                      <w:rFonts w:hint="eastAsia"/>
                      <w:color w:val="auto"/>
                    </w:rPr>
                    <w:t>简单防渗区</w:t>
                  </w:r>
                </w:p>
              </w:tc>
              <w:tc>
                <w:tcPr>
                  <w:tcW w:w="1054" w:type="pct"/>
                  <w:tcBorders>
                    <w:left w:val="single" w:color="000000" w:sz="4" w:space="0"/>
                    <w:tl2br w:val="nil"/>
                    <w:tr2bl w:val="nil"/>
                  </w:tcBorders>
                  <w:vAlign w:val="center"/>
                </w:tcPr>
                <w:p w14:paraId="3270CD8D">
                  <w:pPr>
                    <w:pStyle w:val="57"/>
                    <w:rPr>
                      <w:color w:val="auto"/>
                    </w:rPr>
                  </w:pPr>
                  <w:r>
                    <w:rPr>
                      <w:rFonts w:hint="eastAsia"/>
                      <w:color w:val="auto"/>
                    </w:rPr>
                    <w:t>办公区</w:t>
                  </w:r>
                </w:p>
              </w:tc>
              <w:tc>
                <w:tcPr>
                  <w:tcW w:w="3047" w:type="pct"/>
                  <w:tcBorders>
                    <w:tl2br w:val="nil"/>
                    <w:tr2bl w:val="nil"/>
                  </w:tcBorders>
                  <w:vAlign w:val="center"/>
                </w:tcPr>
                <w:p w14:paraId="34E543A3">
                  <w:pPr>
                    <w:pStyle w:val="57"/>
                    <w:rPr>
                      <w:color w:val="auto"/>
                    </w:rPr>
                  </w:pPr>
                  <w:r>
                    <w:rPr>
                      <w:color w:val="auto"/>
                    </w:rPr>
                    <w:t>一般地面硬化</w:t>
                  </w:r>
                </w:p>
              </w:tc>
            </w:tr>
            <w:tr w14:paraId="14BB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8" w:type="pct"/>
                  <w:tcBorders>
                    <w:tl2br w:val="nil"/>
                    <w:tr2bl w:val="nil"/>
                  </w:tcBorders>
                  <w:vAlign w:val="center"/>
                </w:tcPr>
                <w:p w14:paraId="5E15E426">
                  <w:pPr>
                    <w:pStyle w:val="57"/>
                    <w:rPr>
                      <w:color w:val="auto"/>
                    </w:rPr>
                  </w:pPr>
                  <w:r>
                    <w:rPr>
                      <w:color w:val="auto"/>
                    </w:rPr>
                    <w:t>一般防渗区</w:t>
                  </w:r>
                </w:p>
              </w:tc>
              <w:tc>
                <w:tcPr>
                  <w:tcW w:w="1054" w:type="pct"/>
                  <w:tcBorders>
                    <w:tl2br w:val="nil"/>
                    <w:tr2bl w:val="nil"/>
                  </w:tcBorders>
                  <w:vAlign w:val="center"/>
                </w:tcPr>
                <w:p w14:paraId="3B3F5C0A">
                  <w:pPr>
                    <w:pStyle w:val="57"/>
                    <w:rPr>
                      <w:color w:val="auto"/>
                    </w:rPr>
                  </w:pPr>
                  <w:r>
                    <w:rPr>
                      <w:rFonts w:hint="eastAsia"/>
                      <w:color w:val="auto"/>
                    </w:rPr>
                    <w:t>生产车间</w:t>
                  </w:r>
                </w:p>
              </w:tc>
              <w:tc>
                <w:tcPr>
                  <w:tcW w:w="3047" w:type="pct"/>
                  <w:tcBorders>
                    <w:tl2br w:val="nil"/>
                    <w:tr2bl w:val="nil"/>
                  </w:tcBorders>
                  <w:vAlign w:val="center"/>
                </w:tcPr>
                <w:p w14:paraId="24227E6A">
                  <w:pPr>
                    <w:pStyle w:val="57"/>
                    <w:rPr>
                      <w:color w:val="auto"/>
                    </w:rPr>
                  </w:pPr>
                  <w:r>
                    <w:rPr>
                      <w:rFonts w:hint="eastAsia"/>
                      <w:color w:val="auto"/>
                    </w:rPr>
                    <w:t>采取“改性压实粘土类衬层或具有同等以上隔水效力的其他材料防渗衬层，其防渗性能应至少相当于渗透系数为1.0×10</w:t>
                  </w:r>
                  <w:r>
                    <w:rPr>
                      <w:rFonts w:hint="eastAsia"/>
                      <w:color w:val="auto"/>
                      <w:vertAlign w:val="superscript"/>
                    </w:rPr>
                    <w:t>-5</w:t>
                  </w:r>
                  <w:r>
                    <w:rPr>
                      <w:rFonts w:hint="eastAsia"/>
                      <w:color w:val="auto"/>
                    </w:rPr>
                    <w:t>cm/s且厚度为0.75m的天然基础层”。</w:t>
                  </w:r>
                </w:p>
              </w:tc>
            </w:tr>
            <w:tr w14:paraId="2341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8" w:type="pct"/>
                  <w:tcBorders>
                    <w:tl2br w:val="nil"/>
                    <w:tr2bl w:val="nil"/>
                  </w:tcBorders>
                  <w:vAlign w:val="center"/>
                </w:tcPr>
                <w:p w14:paraId="405D6027">
                  <w:pPr>
                    <w:pStyle w:val="57"/>
                    <w:rPr>
                      <w:color w:val="auto"/>
                    </w:rPr>
                  </w:pPr>
                  <w:r>
                    <w:rPr>
                      <w:color w:val="auto"/>
                    </w:rPr>
                    <w:t>重点防渗区</w:t>
                  </w:r>
                </w:p>
              </w:tc>
              <w:tc>
                <w:tcPr>
                  <w:tcW w:w="1054" w:type="pct"/>
                  <w:tcBorders>
                    <w:tl2br w:val="nil"/>
                    <w:tr2bl w:val="nil"/>
                  </w:tcBorders>
                  <w:vAlign w:val="center"/>
                </w:tcPr>
                <w:p w14:paraId="61B23CE6">
                  <w:pPr>
                    <w:pStyle w:val="57"/>
                    <w:rPr>
                      <w:color w:val="auto"/>
                    </w:rPr>
                  </w:pPr>
                  <w:r>
                    <w:rPr>
                      <w:color w:val="auto"/>
                    </w:rPr>
                    <w:t>危废</w:t>
                  </w:r>
                  <w:r>
                    <w:rPr>
                      <w:rFonts w:hint="eastAsia"/>
                      <w:color w:val="auto"/>
                    </w:rPr>
                    <w:t>暂存间</w:t>
                  </w:r>
                </w:p>
              </w:tc>
              <w:tc>
                <w:tcPr>
                  <w:tcW w:w="3047" w:type="pct"/>
                  <w:tcBorders>
                    <w:tl2br w:val="nil"/>
                    <w:tr2bl w:val="nil"/>
                  </w:tcBorders>
                  <w:vAlign w:val="center"/>
                </w:tcPr>
                <w:p w14:paraId="4DF77111">
                  <w:pPr>
                    <w:pStyle w:val="57"/>
                    <w:rPr>
                      <w:color w:val="auto"/>
                    </w:rPr>
                  </w:pPr>
                  <w:r>
                    <w:rPr>
                      <w:color w:val="auto"/>
                    </w:rPr>
                    <w:t>基础必须防渗，防渗层为至少1m厚黏土层（渗透系数≤10</w:t>
                  </w:r>
                  <w:r>
                    <w:rPr>
                      <w:color w:val="auto"/>
                      <w:vertAlign w:val="superscript"/>
                    </w:rPr>
                    <w:t>-7</w:t>
                  </w:r>
                  <w:r>
                    <w:rPr>
                      <w:color w:val="auto"/>
                    </w:rPr>
                    <w:t>cm</w:t>
                  </w:r>
                  <w:r>
                    <w:rPr>
                      <w:rFonts w:hint="eastAsia"/>
                      <w:color w:val="auto"/>
                    </w:rPr>
                    <w:t>/</w:t>
                  </w:r>
                  <w:r>
                    <w:rPr>
                      <w:color w:val="auto"/>
                    </w:rPr>
                    <w:t>s），或2mm厚高密度聚乙烯，或至少2mm厚的其他人工材料，渗透系数≤10</w:t>
                  </w:r>
                  <w:r>
                    <w:rPr>
                      <w:color w:val="auto"/>
                      <w:vertAlign w:val="superscript"/>
                    </w:rPr>
                    <w:t>-</w:t>
                  </w:r>
                  <w:r>
                    <w:rPr>
                      <w:rFonts w:hint="eastAsia"/>
                      <w:color w:val="auto"/>
                      <w:vertAlign w:val="superscript"/>
                    </w:rPr>
                    <w:t>10</w:t>
                  </w:r>
                  <w:r>
                    <w:rPr>
                      <w:color w:val="auto"/>
                    </w:rPr>
                    <w:t>cm</w:t>
                  </w:r>
                  <w:r>
                    <w:rPr>
                      <w:rFonts w:hint="eastAsia"/>
                      <w:color w:val="auto"/>
                    </w:rPr>
                    <w:t>/</w:t>
                  </w:r>
                  <w:r>
                    <w:rPr>
                      <w:color w:val="auto"/>
                    </w:rPr>
                    <w:t>s</w:t>
                  </w:r>
                </w:p>
              </w:tc>
            </w:tr>
          </w:tbl>
          <w:p w14:paraId="14221607">
            <w:pPr>
              <w:pStyle w:val="100"/>
              <w:adjustRightInd/>
              <w:snapToGrid/>
              <w:rPr>
                <w:color w:val="auto"/>
              </w:rPr>
            </w:pPr>
            <w:r>
              <w:rPr>
                <w:color w:val="auto"/>
              </w:rPr>
              <w:t>全厂分区防渗措施可满足《环境影响评价技术导则地下水环境》（HJ610-2016）、《危险废物贮存污染控制标准》（GB</w:t>
            </w:r>
            <w:r>
              <w:rPr>
                <w:rFonts w:hint="eastAsia"/>
                <w:color w:val="auto"/>
              </w:rPr>
              <w:t>18597-2023</w:t>
            </w:r>
            <w:r>
              <w:rPr>
                <w:color w:val="auto"/>
              </w:rPr>
              <w:t>）等相关标准或规范中防渗技术要求。</w:t>
            </w:r>
          </w:p>
          <w:p w14:paraId="22BF363D">
            <w:pPr>
              <w:ind w:firstLine="480"/>
              <w:rPr>
                <w:color w:val="auto"/>
              </w:rPr>
            </w:pPr>
            <w:r>
              <w:rPr>
                <w:rFonts w:hint="eastAsia"/>
                <w:color w:val="auto"/>
              </w:rPr>
              <w:t>（3）跟踪监测要求</w:t>
            </w:r>
          </w:p>
          <w:p w14:paraId="70D74AD9">
            <w:pPr>
              <w:pStyle w:val="100"/>
              <w:snapToGrid/>
              <w:rPr>
                <w:color w:val="auto"/>
              </w:rPr>
            </w:pPr>
            <w:r>
              <w:rPr>
                <w:color w:val="auto"/>
              </w:rPr>
              <w:t>参照《排污单位自行监测技术指南总则》（HJ819-2017），涉重金属、难降解类有机污染物等重点排污单位厂界周边的土壤、地下水每年至少监测一次。本项目不属于涉重金属、难降解类有机污染物的排放，且为非重点排污单位，因此不设置</w:t>
            </w:r>
            <w:r>
              <w:rPr>
                <w:rFonts w:hint="eastAsia"/>
                <w:color w:val="auto"/>
              </w:rPr>
              <w:t>地下水</w:t>
            </w:r>
            <w:r>
              <w:rPr>
                <w:color w:val="auto"/>
              </w:rPr>
              <w:t>跟踪监测计划。</w:t>
            </w:r>
          </w:p>
          <w:p w14:paraId="5D8F562A">
            <w:pPr>
              <w:snapToGrid w:val="0"/>
              <w:ind w:firstLine="482"/>
              <w:rPr>
                <w:rFonts w:hint="eastAsia"/>
                <w:b/>
                <w:bCs/>
                <w:color w:val="auto"/>
              </w:rPr>
            </w:pPr>
          </w:p>
          <w:p w14:paraId="7B4631DA">
            <w:pPr>
              <w:snapToGrid w:val="0"/>
              <w:ind w:firstLine="482"/>
              <w:rPr>
                <w:rFonts w:hint="eastAsia"/>
                <w:b/>
                <w:bCs/>
                <w:color w:val="auto"/>
              </w:rPr>
            </w:pPr>
          </w:p>
          <w:p w14:paraId="3C9ACD64">
            <w:pPr>
              <w:snapToGrid w:val="0"/>
              <w:ind w:firstLine="482"/>
              <w:rPr>
                <w:b/>
                <w:bCs/>
                <w:color w:val="auto"/>
              </w:rPr>
            </w:pPr>
            <w:r>
              <w:rPr>
                <w:rFonts w:hint="eastAsia"/>
                <w:b/>
                <w:bCs/>
                <w:color w:val="auto"/>
              </w:rPr>
              <w:t>7、土壤</w:t>
            </w:r>
            <w:r>
              <w:rPr>
                <w:b/>
                <w:bCs/>
                <w:color w:val="auto"/>
              </w:rPr>
              <w:t>环境影响分析</w:t>
            </w:r>
          </w:p>
          <w:p w14:paraId="49EBE663">
            <w:pPr>
              <w:ind w:firstLine="480"/>
              <w:rPr>
                <w:color w:val="auto"/>
              </w:rPr>
            </w:pPr>
            <w:r>
              <w:rPr>
                <w:rFonts w:hint="eastAsia"/>
                <w:color w:val="auto"/>
              </w:rPr>
              <w:t>（1）影响分析</w:t>
            </w:r>
          </w:p>
          <w:p w14:paraId="6533DED9">
            <w:pPr>
              <w:ind w:firstLine="480"/>
              <w:rPr>
                <w:rFonts w:hint="eastAsia"/>
                <w:color w:val="auto"/>
              </w:rPr>
            </w:pPr>
            <w:r>
              <w:rPr>
                <w:rFonts w:hint="eastAsia"/>
                <w:color w:val="auto"/>
              </w:rPr>
              <w:t>本项目位于安徽省</w:t>
            </w:r>
            <w:r>
              <w:rPr>
                <w:rFonts w:hint="eastAsia"/>
                <w:color w:val="auto"/>
                <w:lang w:eastAsia="zh-CN"/>
              </w:rPr>
              <w:t>宿州市经济开发区陈河路与鞋</w:t>
            </w:r>
            <w:r>
              <w:rPr>
                <w:rFonts w:hint="eastAsia"/>
                <w:color w:val="auto"/>
              </w:rPr>
              <w:t>城八路交叉口东南角，项目运营期对周边土壤的影响主要来源于大气污染物沉降、危险废物。</w:t>
            </w:r>
          </w:p>
          <w:p w14:paraId="04D6B195">
            <w:pPr>
              <w:widowControl/>
              <w:ind w:firstLine="480"/>
              <w:rPr>
                <w:rFonts w:hint="eastAsia"/>
                <w:color w:val="auto"/>
              </w:rPr>
            </w:pPr>
            <w:r>
              <w:rPr>
                <w:rFonts w:hint="eastAsia"/>
                <w:color w:val="auto"/>
              </w:rPr>
              <w:t>（2）土壤污染控制要求</w:t>
            </w:r>
          </w:p>
          <w:p w14:paraId="7E516F7B">
            <w:pPr>
              <w:widowControl/>
              <w:ind w:firstLine="480"/>
              <w:rPr>
                <w:color w:val="auto"/>
              </w:rPr>
            </w:pPr>
            <w:r>
              <w:rPr>
                <w:rFonts w:hint="eastAsia" w:ascii="宋体" w:hAnsi="宋体" w:cs="宋体"/>
                <w:color w:val="auto"/>
                <w:kern w:val="0"/>
              </w:rPr>
              <w:t>①危险废物严格按要求进行处理处置，严禁随意倾倒、丢弃，建设单位及时联系危废单位回收，在危废处理单位未回收期间，应集中收集，专人管理，集中贮存，各类危险废物按性质不同分类进行贮存。危废暂存处应满足《危险废物贮存污染控制标准》（</w:t>
            </w:r>
            <w:r>
              <w:rPr>
                <w:color w:val="auto"/>
                <w:kern w:val="0"/>
              </w:rPr>
              <w:t>GB</w:t>
            </w:r>
            <w:r>
              <w:rPr>
                <w:rFonts w:hint="eastAsia"/>
                <w:color w:val="auto"/>
                <w:kern w:val="0"/>
              </w:rPr>
              <w:t>18597-2023）中标准</w:t>
            </w:r>
            <w:r>
              <w:rPr>
                <w:rFonts w:hint="eastAsia" w:ascii="宋体" w:hAnsi="宋体" w:cs="宋体"/>
                <w:color w:val="auto"/>
                <w:kern w:val="0"/>
              </w:rPr>
              <w:t>，贮存场所要防风、防雨、防晒，并设计建造径流疏导系统、泄漏液体收集装置。</w:t>
            </w:r>
          </w:p>
          <w:p w14:paraId="6449461E">
            <w:pPr>
              <w:widowControl/>
              <w:ind w:firstLine="480"/>
              <w:rPr>
                <w:color w:val="auto"/>
              </w:rPr>
            </w:pPr>
            <w:r>
              <w:rPr>
                <w:rFonts w:hint="eastAsia" w:ascii="宋体" w:hAnsi="宋体" w:cs="宋体"/>
                <w:color w:val="auto"/>
                <w:kern w:val="0"/>
              </w:rPr>
              <w:t>②一旦发生危险品等泄漏事故，项目应及时通知有关部门并采取必要的安全措施，减少事故损失，防止事故蔓延、扩大。</w:t>
            </w:r>
          </w:p>
          <w:p w14:paraId="7E52018D">
            <w:pPr>
              <w:widowControl/>
              <w:ind w:firstLine="480"/>
              <w:rPr>
                <w:color w:val="auto"/>
              </w:rPr>
            </w:pPr>
            <w:r>
              <w:rPr>
                <w:rFonts w:hint="eastAsia" w:ascii="宋体" w:hAnsi="宋体" w:cs="宋体"/>
                <w:color w:val="auto"/>
                <w:kern w:val="0"/>
              </w:rPr>
              <w:t>③加强生产管理，减少废气的有组织和无组织排放，以减少废气污染物通过大气沉降落在地面，污染土壤。建设单位必须确保废气收集系统和净化装置的正常运行，并达到本评价所要求的治理效果，定期检查废气收集装置、净化装置、排气筒；若废气收集系统和净化装置发生故障或效率降低时，建设单位必须及时修复，在未修复前必须根据故障情况采取限产或停产措施。</w:t>
            </w:r>
          </w:p>
          <w:p w14:paraId="250CDD09">
            <w:pPr>
              <w:ind w:firstLine="480"/>
              <w:rPr>
                <w:color w:val="auto"/>
              </w:rPr>
            </w:pPr>
            <w:r>
              <w:rPr>
                <w:rFonts w:hint="eastAsia"/>
                <w:color w:val="auto"/>
              </w:rPr>
              <w:t>（3）跟踪监测要求</w:t>
            </w:r>
          </w:p>
          <w:p w14:paraId="4B40C201">
            <w:pPr>
              <w:pStyle w:val="100"/>
              <w:snapToGrid/>
              <w:rPr>
                <w:color w:val="auto"/>
              </w:rPr>
            </w:pPr>
            <w:r>
              <w:rPr>
                <w:color w:val="auto"/>
              </w:rPr>
              <w:t>参照《排污单位自行监测技术指南总则》（HJ819-2017），涉重金属、难降解类有机污染物等重点排污单位厂界周边的土壤、地下水每年至少监测一次。本项目不属于涉重金属、难降解类有机污染物的排放，且为非重点排污单位，因此不设置土壤跟踪监测计划。</w:t>
            </w:r>
          </w:p>
          <w:p w14:paraId="51192476">
            <w:pPr>
              <w:snapToGrid w:val="0"/>
              <w:ind w:firstLine="482"/>
              <w:rPr>
                <w:b/>
                <w:bCs/>
                <w:color w:val="auto"/>
              </w:rPr>
            </w:pPr>
            <w:r>
              <w:rPr>
                <w:rFonts w:hint="eastAsia"/>
                <w:b/>
                <w:bCs/>
                <w:color w:val="auto"/>
              </w:rPr>
              <w:t>8、</w:t>
            </w:r>
            <w:r>
              <w:rPr>
                <w:b/>
                <w:bCs/>
                <w:color w:val="auto"/>
              </w:rPr>
              <w:t>环境风险分析</w:t>
            </w:r>
          </w:p>
          <w:p w14:paraId="2D68A93D">
            <w:pPr>
              <w:snapToGrid w:val="0"/>
              <w:ind w:firstLine="480"/>
              <w:rPr>
                <w:color w:val="auto"/>
              </w:rPr>
            </w:pPr>
            <w:r>
              <w:rPr>
                <w:color w:val="auto"/>
              </w:rPr>
              <w:t>（1）环境风险潜势初判</w:t>
            </w:r>
          </w:p>
          <w:p w14:paraId="35267382">
            <w:pPr>
              <w:snapToGrid w:val="0"/>
              <w:ind w:firstLine="480"/>
              <w:rPr>
                <w:color w:val="auto"/>
              </w:rPr>
            </w:pPr>
            <w:r>
              <w:rPr>
                <w:rFonts w:hint="eastAsia"/>
                <w:color w:val="auto"/>
              </w:rPr>
              <w:t>本项目风险物质为主要为机油、危险废物（废机油、废活性炭、废包装桶、废抹布）。</w:t>
            </w:r>
            <w:r>
              <w:rPr>
                <w:color w:val="auto"/>
              </w:rPr>
              <w:t>根据《建设项目环境风险评技术导则》（HJ169-2018）附录B中B.1突发环境事件风险物质及临界量表、B.2其他危险物质临界量计算方法以及附录C危险物质及工艺系统危险性（P）识别本项目的重大危险源。</w:t>
            </w:r>
          </w:p>
          <w:p w14:paraId="0A3F932A">
            <w:pPr>
              <w:pStyle w:val="58"/>
              <w:ind w:firstLine="422"/>
              <w:rPr>
                <w:color w:val="auto"/>
              </w:rPr>
            </w:pPr>
          </w:p>
          <w:p w14:paraId="573B7311">
            <w:pPr>
              <w:pStyle w:val="58"/>
              <w:ind w:firstLine="422"/>
              <w:rPr>
                <w:color w:val="auto"/>
              </w:rPr>
            </w:pPr>
          </w:p>
          <w:p w14:paraId="44DA77FB">
            <w:pPr>
              <w:pStyle w:val="58"/>
              <w:ind w:firstLine="422"/>
              <w:rPr>
                <w:color w:val="auto"/>
              </w:rPr>
            </w:pPr>
          </w:p>
          <w:p w14:paraId="2B39C9EF">
            <w:pPr>
              <w:pStyle w:val="58"/>
              <w:ind w:firstLine="422"/>
              <w:rPr>
                <w:color w:val="auto"/>
              </w:rPr>
            </w:pPr>
          </w:p>
          <w:p w14:paraId="0D9A8AF2">
            <w:pPr>
              <w:pStyle w:val="58"/>
              <w:ind w:firstLine="422"/>
              <w:rPr>
                <w:color w:val="auto"/>
              </w:rPr>
            </w:pPr>
          </w:p>
          <w:p w14:paraId="66D63756">
            <w:pPr>
              <w:pStyle w:val="58"/>
              <w:ind w:firstLine="422"/>
              <w:rPr>
                <w:color w:val="auto"/>
              </w:rPr>
            </w:pPr>
            <w:r>
              <w:rPr>
                <w:color w:val="auto"/>
              </w:rPr>
              <w:t>表4-</w:t>
            </w:r>
            <w:r>
              <w:rPr>
                <w:rFonts w:hint="eastAsia"/>
                <w:color w:val="auto"/>
              </w:rPr>
              <w:t>2</w:t>
            </w:r>
            <w:r>
              <w:rPr>
                <w:rFonts w:hint="eastAsia"/>
                <w:color w:val="auto"/>
                <w:lang w:val="en-US" w:eastAsia="zh-CN"/>
              </w:rPr>
              <w:t>1</w:t>
            </w:r>
            <w:r>
              <w:rPr>
                <w:color w:val="auto"/>
              </w:rPr>
              <w:t>项目物料存储情况</w:t>
            </w:r>
            <w:r>
              <w:rPr>
                <w:rFonts w:hint="eastAsia"/>
                <w:color w:val="auto"/>
              </w:rPr>
              <w:t>及</w:t>
            </w:r>
            <w:r>
              <w:rPr>
                <w:color w:val="auto"/>
              </w:rPr>
              <w:t>Q</w:t>
            </w:r>
            <w:r>
              <w:rPr>
                <w:rFonts w:hint="eastAsia"/>
                <w:color w:val="auto"/>
              </w:rPr>
              <w:t>值计算表</w:t>
            </w:r>
          </w:p>
          <w:tbl>
            <w:tblPr>
              <w:tblStyle w:val="3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727"/>
              <w:gridCol w:w="2057"/>
              <w:gridCol w:w="1493"/>
              <w:gridCol w:w="1235"/>
              <w:gridCol w:w="1093"/>
              <w:gridCol w:w="1182"/>
              <w:gridCol w:w="7"/>
            </w:tblGrid>
            <w:tr w14:paraId="06B4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06" w:type="pct"/>
                  <w:tcBorders>
                    <w:tl2br w:val="nil"/>
                    <w:tr2bl w:val="nil"/>
                  </w:tcBorders>
                  <w:vAlign w:val="center"/>
                </w:tcPr>
                <w:p w14:paraId="4CCB07EA">
                  <w:pPr>
                    <w:pStyle w:val="57"/>
                    <w:rPr>
                      <w:rFonts w:hint="eastAsia"/>
                      <w:b/>
                      <w:bCs w:val="0"/>
                      <w:color w:val="auto"/>
                    </w:rPr>
                  </w:pPr>
                  <w:r>
                    <w:rPr>
                      <w:rFonts w:hint="eastAsia"/>
                      <w:b/>
                      <w:bCs w:val="0"/>
                      <w:color w:val="auto"/>
                    </w:rPr>
                    <w:t>序号</w:t>
                  </w:r>
                </w:p>
              </w:tc>
              <w:tc>
                <w:tcPr>
                  <w:tcW w:w="437" w:type="pct"/>
                  <w:tcBorders>
                    <w:tl2br w:val="nil"/>
                    <w:tr2bl w:val="nil"/>
                  </w:tcBorders>
                  <w:noWrap/>
                  <w:vAlign w:val="center"/>
                </w:tcPr>
                <w:p w14:paraId="4CEC1DDB">
                  <w:pPr>
                    <w:pStyle w:val="57"/>
                    <w:rPr>
                      <w:rFonts w:hint="eastAsia"/>
                      <w:b/>
                      <w:bCs w:val="0"/>
                      <w:color w:val="auto"/>
                    </w:rPr>
                  </w:pPr>
                  <w:r>
                    <w:rPr>
                      <w:rFonts w:hint="eastAsia"/>
                      <w:b/>
                      <w:bCs w:val="0"/>
                      <w:color w:val="auto"/>
                    </w:rPr>
                    <w:t>类别</w:t>
                  </w:r>
                </w:p>
              </w:tc>
              <w:tc>
                <w:tcPr>
                  <w:tcW w:w="1238" w:type="pct"/>
                  <w:tcBorders>
                    <w:tl2br w:val="nil"/>
                    <w:tr2bl w:val="nil"/>
                  </w:tcBorders>
                  <w:vAlign w:val="center"/>
                </w:tcPr>
                <w:p w14:paraId="0D716948">
                  <w:pPr>
                    <w:pStyle w:val="57"/>
                    <w:rPr>
                      <w:rFonts w:hint="eastAsia"/>
                      <w:b/>
                      <w:bCs w:val="0"/>
                      <w:color w:val="auto"/>
                    </w:rPr>
                  </w:pPr>
                  <w:r>
                    <w:rPr>
                      <w:rFonts w:hint="eastAsia"/>
                      <w:b/>
                      <w:bCs w:val="0"/>
                      <w:color w:val="auto"/>
                    </w:rPr>
                    <w:t>物料名称</w:t>
                  </w:r>
                </w:p>
              </w:tc>
              <w:tc>
                <w:tcPr>
                  <w:tcW w:w="899" w:type="pct"/>
                  <w:tcBorders>
                    <w:tl2br w:val="nil"/>
                    <w:tr2bl w:val="nil"/>
                  </w:tcBorders>
                  <w:vAlign w:val="center"/>
                </w:tcPr>
                <w:p w14:paraId="4819EB69">
                  <w:pPr>
                    <w:pStyle w:val="57"/>
                    <w:rPr>
                      <w:rFonts w:hint="eastAsia"/>
                      <w:b/>
                      <w:bCs w:val="0"/>
                      <w:color w:val="auto"/>
                    </w:rPr>
                  </w:pPr>
                  <w:r>
                    <w:rPr>
                      <w:rFonts w:hint="eastAsia"/>
                      <w:b/>
                      <w:bCs w:val="0"/>
                      <w:color w:val="auto"/>
                    </w:rPr>
                    <w:t>危险物质名称</w:t>
                  </w:r>
                </w:p>
              </w:tc>
              <w:tc>
                <w:tcPr>
                  <w:tcW w:w="743" w:type="pct"/>
                  <w:tcBorders>
                    <w:tl2br w:val="nil"/>
                    <w:tr2bl w:val="nil"/>
                  </w:tcBorders>
                  <w:vAlign w:val="center"/>
                </w:tcPr>
                <w:p w14:paraId="0DD5C720">
                  <w:pPr>
                    <w:pStyle w:val="57"/>
                    <w:rPr>
                      <w:rFonts w:hint="eastAsia"/>
                      <w:b/>
                      <w:bCs w:val="0"/>
                      <w:color w:val="auto"/>
                    </w:rPr>
                  </w:pPr>
                  <w:r>
                    <w:rPr>
                      <w:rFonts w:hint="eastAsia"/>
                      <w:b/>
                      <w:bCs w:val="0"/>
                      <w:color w:val="auto"/>
                    </w:rPr>
                    <w:t>最大存在总量</w:t>
                  </w:r>
                  <w:r>
                    <w:rPr>
                      <w:b/>
                      <w:bCs w:val="0"/>
                      <w:color w:val="auto"/>
                    </w:rPr>
                    <w:t>qn</w:t>
                  </w:r>
                  <w:r>
                    <w:rPr>
                      <w:rFonts w:hint="eastAsia"/>
                      <w:b/>
                      <w:bCs w:val="0"/>
                      <w:color w:val="auto"/>
                    </w:rPr>
                    <w:t>/</w:t>
                  </w:r>
                  <w:r>
                    <w:rPr>
                      <w:b/>
                      <w:bCs w:val="0"/>
                      <w:color w:val="auto"/>
                    </w:rPr>
                    <w:t>t</w:t>
                  </w:r>
                </w:p>
              </w:tc>
              <w:tc>
                <w:tcPr>
                  <w:tcW w:w="658" w:type="pct"/>
                  <w:tcBorders>
                    <w:tl2br w:val="nil"/>
                    <w:tr2bl w:val="nil"/>
                  </w:tcBorders>
                  <w:vAlign w:val="center"/>
                </w:tcPr>
                <w:p w14:paraId="08AED51E">
                  <w:pPr>
                    <w:pStyle w:val="57"/>
                    <w:rPr>
                      <w:rFonts w:hint="eastAsia"/>
                      <w:b/>
                      <w:bCs w:val="0"/>
                      <w:color w:val="auto"/>
                    </w:rPr>
                  </w:pPr>
                  <w:r>
                    <w:rPr>
                      <w:rFonts w:hint="eastAsia"/>
                      <w:b/>
                      <w:bCs w:val="0"/>
                      <w:color w:val="auto"/>
                    </w:rPr>
                    <w:t>临界量</w:t>
                  </w:r>
                  <w:r>
                    <w:rPr>
                      <w:b/>
                      <w:bCs w:val="0"/>
                      <w:color w:val="auto"/>
                    </w:rPr>
                    <w:t>Qn</w:t>
                  </w:r>
                  <w:r>
                    <w:rPr>
                      <w:rFonts w:hint="eastAsia"/>
                      <w:b/>
                      <w:bCs w:val="0"/>
                      <w:color w:val="auto"/>
                    </w:rPr>
                    <w:t>/</w:t>
                  </w:r>
                  <w:r>
                    <w:rPr>
                      <w:b/>
                      <w:bCs w:val="0"/>
                      <w:color w:val="auto"/>
                    </w:rPr>
                    <w:t>t</w:t>
                  </w:r>
                </w:p>
              </w:tc>
              <w:tc>
                <w:tcPr>
                  <w:tcW w:w="716" w:type="pct"/>
                  <w:gridSpan w:val="2"/>
                  <w:tcBorders>
                    <w:tl2br w:val="nil"/>
                    <w:tr2bl w:val="nil"/>
                  </w:tcBorders>
                  <w:vAlign w:val="center"/>
                </w:tcPr>
                <w:p w14:paraId="3A54FBD0">
                  <w:pPr>
                    <w:pStyle w:val="57"/>
                    <w:rPr>
                      <w:rFonts w:hint="eastAsia"/>
                      <w:b/>
                      <w:bCs w:val="0"/>
                      <w:color w:val="auto"/>
                    </w:rPr>
                  </w:pPr>
                  <w:r>
                    <w:rPr>
                      <w:rFonts w:hint="eastAsia"/>
                      <w:b/>
                      <w:bCs w:val="0"/>
                      <w:color w:val="auto"/>
                    </w:rPr>
                    <w:t>该种危险物质</w:t>
                  </w:r>
                  <w:r>
                    <w:rPr>
                      <w:b/>
                      <w:bCs w:val="0"/>
                      <w:color w:val="auto"/>
                    </w:rPr>
                    <w:t>Q</w:t>
                  </w:r>
                  <w:r>
                    <w:rPr>
                      <w:rFonts w:hint="eastAsia"/>
                      <w:b/>
                      <w:bCs w:val="0"/>
                      <w:color w:val="auto"/>
                    </w:rPr>
                    <w:t>值</w:t>
                  </w:r>
                </w:p>
              </w:tc>
            </w:tr>
            <w:tr w14:paraId="5B31A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06" w:type="pct"/>
                  <w:tcBorders>
                    <w:tl2br w:val="nil"/>
                    <w:tr2bl w:val="nil"/>
                  </w:tcBorders>
                  <w:noWrap/>
                  <w:vAlign w:val="center"/>
                </w:tcPr>
                <w:p w14:paraId="00324C97">
                  <w:pPr>
                    <w:pStyle w:val="57"/>
                    <w:rPr>
                      <w:color w:val="auto"/>
                    </w:rPr>
                  </w:pPr>
                  <w:r>
                    <w:rPr>
                      <w:rFonts w:hint="eastAsia"/>
                      <w:color w:val="auto"/>
                    </w:rPr>
                    <w:t>1</w:t>
                  </w:r>
                </w:p>
              </w:tc>
              <w:tc>
                <w:tcPr>
                  <w:tcW w:w="437" w:type="pct"/>
                  <w:tcBorders>
                    <w:tl2br w:val="nil"/>
                    <w:tr2bl w:val="nil"/>
                  </w:tcBorders>
                  <w:noWrap/>
                  <w:vAlign w:val="center"/>
                </w:tcPr>
                <w:p w14:paraId="176378E1">
                  <w:pPr>
                    <w:pStyle w:val="57"/>
                    <w:rPr>
                      <w:rFonts w:hint="eastAsia"/>
                      <w:color w:val="auto"/>
                    </w:rPr>
                  </w:pPr>
                  <w:r>
                    <w:rPr>
                      <w:rFonts w:hint="eastAsia"/>
                      <w:color w:val="auto"/>
                    </w:rPr>
                    <w:t>固废</w:t>
                  </w:r>
                </w:p>
              </w:tc>
              <w:tc>
                <w:tcPr>
                  <w:tcW w:w="1238" w:type="pct"/>
                  <w:tcBorders>
                    <w:tl2br w:val="nil"/>
                    <w:tr2bl w:val="nil"/>
                  </w:tcBorders>
                  <w:noWrap/>
                  <w:vAlign w:val="center"/>
                </w:tcPr>
                <w:p w14:paraId="7B4A29C1">
                  <w:pPr>
                    <w:pStyle w:val="57"/>
                    <w:rPr>
                      <w:color w:val="auto"/>
                    </w:rPr>
                  </w:pPr>
                  <w:r>
                    <w:rPr>
                      <w:rFonts w:hint="eastAsia"/>
                      <w:color w:val="auto"/>
                    </w:rPr>
                    <w:t>危险废物（</w:t>
                  </w:r>
                  <w:r>
                    <w:rPr>
                      <w:rFonts w:hint="eastAsia"/>
                      <w:color w:val="auto"/>
                    </w:rPr>
                    <w:t>废机油</w:t>
                  </w:r>
                  <w:r>
                    <w:rPr>
                      <w:rFonts w:hint="eastAsia"/>
                      <w:color w:val="auto"/>
                    </w:rPr>
                    <w:t>、废活性炭、废包装桶、废抹布）</w:t>
                  </w:r>
                </w:p>
              </w:tc>
              <w:tc>
                <w:tcPr>
                  <w:tcW w:w="899" w:type="pct"/>
                  <w:tcBorders>
                    <w:tl2br w:val="nil"/>
                    <w:tr2bl w:val="nil"/>
                  </w:tcBorders>
                  <w:noWrap/>
                  <w:vAlign w:val="center"/>
                </w:tcPr>
                <w:p w14:paraId="7C377D60">
                  <w:pPr>
                    <w:pStyle w:val="57"/>
                    <w:rPr>
                      <w:color w:val="auto"/>
                    </w:rPr>
                  </w:pPr>
                  <w:r>
                    <w:rPr>
                      <w:rFonts w:hint="eastAsia"/>
                      <w:color w:val="auto"/>
                    </w:rPr>
                    <w:t>矿物油、油墨</w:t>
                  </w:r>
                </w:p>
              </w:tc>
              <w:tc>
                <w:tcPr>
                  <w:tcW w:w="743" w:type="pct"/>
                  <w:tcBorders>
                    <w:tl2br w:val="nil"/>
                    <w:tr2bl w:val="nil"/>
                  </w:tcBorders>
                  <w:noWrap/>
                  <w:vAlign w:val="center"/>
                </w:tcPr>
                <w:p w14:paraId="6614509A">
                  <w:pPr>
                    <w:pStyle w:val="57"/>
                    <w:rPr>
                      <w:color w:val="auto"/>
                    </w:rPr>
                  </w:pPr>
                  <w:r>
                    <w:rPr>
                      <w:rFonts w:hint="eastAsia"/>
                      <w:color w:val="auto"/>
                    </w:rPr>
                    <w:t>4.7</w:t>
                  </w:r>
                </w:p>
              </w:tc>
              <w:tc>
                <w:tcPr>
                  <w:tcW w:w="658" w:type="pct"/>
                  <w:tcBorders>
                    <w:tl2br w:val="nil"/>
                    <w:tr2bl w:val="nil"/>
                  </w:tcBorders>
                  <w:noWrap/>
                  <w:vAlign w:val="center"/>
                </w:tcPr>
                <w:p w14:paraId="19D05E6D">
                  <w:pPr>
                    <w:pStyle w:val="57"/>
                    <w:rPr>
                      <w:color w:val="auto"/>
                    </w:rPr>
                  </w:pPr>
                  <w:r>
                    <w:rPr>
                      <w:rFonts w:hint="eastAsia"/>
                      <w:color w:val="auto"/>
                    </w:rPr>
                    <w:t>50</w:t>
                  </w:r>
                </w:p>
              </w:tc>
              <w:tc>
                <w:tcPr>
                  <w:tcW w:w="716" w:type="pct"/>
                  <w:gridSpan w:val="2"/>
                  <w:tcBorders>
                    <w:tl2br w:val="nil"/>
                    <w:tr2bl w:val="nil"/>
                  </w:tcBorders>
                  <w:noWrap/>
                  <w:vAlign w:val="center"/>
                </w:tcPr>
                <w:p w14:paraId="0BCDA024">
                  <w:pPr>
                    <w:pStyle w:val="57"/>
                    <w:rPr>
                      <w:color w:val="auto"/>
                    </w:rPr>
                  </w:pPr>
                  <w:r>
                    <w:rPr>
                      <w:rFonts w:hint="eastAsia"/>
                      <w:color w:val="auto"/>
                    </w:rPr>
                    <w:t>0.09425</w:t>
                  </w:r>
                </w:p>
              </w:tc>
            </w:tr>
            <w:tr w14:paraId="77EC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306" w:type="pct"/>
                  <w:vMerge w:val="restart"/>
                  <w:tcBorders>
                    <w:tl2br w:val="nil"/>
                    <w:tr2bl w:val="nil"/>
                  </w:tcBorders>
                  <w:noWrap/>
                  <w:vAlign w:val="center"/>
                </w:tcPr>
                <w:p w14:paraId="2EA296B2">
                  <w:pPr>
                    <w:pStyle w:val="57"/>
                    <w:rPr>
                      <w:color w:val="auto"/>
                    </w:rPr>
                  </w:pPr>
                  <w:r>
                    <w:rPr>
                      <w:rFonts w:hint="eastAsia"/>
                      <w:color w:val="auto"/>
                    </w:rPr>
                    <w:t>2</w:t>
                  </w:r>
                </w:p>
              </w:tc>
              <w:tc>
                <w:tcPr>
                  <w:tcW w:w="437" w:type="pct"/>
                  <w:vMerge w:val="restart"/>
                  <w:tcBorders>
                    <w:tl2br w:val="nil"/>
                    <w:tr2bl w:val="nil"/>
                  </w:tcBorders>
                  <w:noWrap/>
                  <w:vAlign w:val="center"/>
                </w:tcPr>
                <w:p w14:paraId="64FCFC18">
                  <w:pPr>
                    <w:pStyle w:val="57"/>
                    <w:rPr>
                      <w:rFonts w:hint="eastAsia"/>
                      <w:color w:val="auto"/>
                    </w:rPr>
                  </w:pPr>
                  <w:r>
                    <w:rPr>
                      <w:rFonts w:hint="eastAsia"/>
                      <w:color w:val="auto"/>
                    </w:rPr>
                    <w:t>原料</w:t>
                  </w:r>
                </w:p>
              </w:tc>
              <w:tc>
                <w:tcPr>
                  <w:tcW w:w="1238" w:type="pct"/>
                  <w:tcBorders>
                    <w:tl2br w:val="nil"/>
                    <w:tr2bl w:val="nil"/>
                  </w:tcBorders>
                  <w:noWrap/>
                  <w:vAlign w:val="center"/>
                </w:tcPr>
                <w:p w14:paraId="13C94DD5">
                  <w:pPr>
                    <w:pStyle w:val="57"/>
                    <w:rPr>
                      <w:rFonts w:hint="eastAsia"/>
                      <w:color w:val="auto"/>
                    </w:rPr>
                  </w:pPr>
                  <w:r>
                    <w:rPr>
                      <w:rFonts w:hint="eastAsia"/>
                      <w:color w:val="auto"/>
                    </w:rPr>
                    <w:t>机油</w:t>
                  </w:r>
                </w:p>
              </w:tc>
              <w:tc>
                <w:tcPr>
                  <w:tcW w:w="899" w:type="pct"/>
                  <w:tcBorders>
                    <w:right w:val="single" w:color="auto" w:sz="4" w:space="0"/>
                    <w:tl2br w:val="nil"/>
                    <w:tr2bl w:val="nil"/>
                  </w:tcBorders>
                  <w:noWrap/>
                  <w:vAlign w:val="center"/>
                </w:tcPr>
                <w:p w14:paraId="0158C7A1">
                  <w:pPr>
                    <w:pStyle w:val="57"/>
                    <w:rPr>
                      <w:rFonts w:hint="eastAsia"/>
                      <w:color w:val="auto"/>
                    </w:rPr>
                  </w:pPr>
                  <w:r>
                    <w:rPr>
                      <w:rFonts w:hint="eastAsia"/>
                      <w:color w:val="auto"/>
                    </w:rPr>
                    <w:t>矿物油</w:t>
                  </w:r>
                </w:p>
              </w:tc>
              <w:tc>
                <w:tcPr>
                  <w:tcW w:w="743" w:type="pct"/>
                  <w:tcBorders>
                    <w:left w:val="single" w:color="auto" w:sz="4" w:space="0"/>
                    <w:right w:val="single" w:color="auto" w:sz="4" w:space="0"/>
                    <w:tl2br w:val="nil"/>
                    <w:tr2bl w:val="nil"/>
                  </w:tcBorders>
                  <w:noWrap/>
                  <w:vAlign w:val="center"/>
                </w:tcPr>
                <w:p w14:paraId="08A61594">
                  <w:pPr>
                    <w:pStyle w:val="57"/>
                    <w:rPr>
                      <w:rFonts w:hint="eastAsia"/>
                      <w:color w:val="auto"/>
                    </w:rPr>
                  </w:pPr>
                  <w:r>
                    <w:rPr>
                      <w:rFonts w:hint="eastAsia"/>
                      <w:color w:val="auto"/>
                    </w:rPr>
                    <w:t>0.1</w:t>
                  </w:r>
                </w:p>
              </w:tc>
              <w:tc>
                <w:tcPr>
                  <w:tcW w:w="658" w:type="pct"/>
                  <w:tcBorders>
                    <w:left w:val="single" w:color="auto" w:sz="4" w:space="0"/>
                    <w:right w:val="single" w:color="auto" w:sz="4" w:space="0"/>
                    <w:tl2br w:val="nil"/>
                    <w:tr2bl w:val="nil"/>
                  </w:tcBorders>
                  <w:noWrap/>
                  <w:vAlign w:val="center"/>
                </w:tcPr>
                <w:p w14:paraId="12D9B74F">
                  <w:pPr>
                    <w:pStyle w:val="57"/>
                    <w:rPr>
                      <w:rFonts w:hint="eastAsia"/>
                      <w:color w:val="auto"/>
                    </w:rPr>
                  </w:pPr>
                  <w:r>
                    <w:rPr>
                      <w:rFonts w:hint="eastAsia"/>
                      <w:color w:val="auto"/>
                    </w:rPr>
                    <w:t>2500</w:t>
                  </w:r>
                </w:p>
              </w:tc>
              <w:tc>
                <w:tcPr>
                  <w:tcW w:w="716" w:type="pct"/>
                  <w:gridSpan w:val="2"/>
                  <w:tcBorders>
                    <w:tl2br w:val="nil"/>
                    <w:tr2bl w:val="nil"/>
                  </w:tcBorders>
                  <w:noWrap/>
                  <w:vAlign w:val="center"/>
                </w:tcPr>
                <w:p w14:paraId="706A7763">
                  <w:pPr>
                    <w:pStyle w:val="57"/>
                    <w:rPr>
                      <w:rFonts w:hint="eastAsia"/>
                      <w:color w:val="auto"/>
                    </w:rPr>
                  </w:pPr>
                  <w:r>
                    <w:rPr>
                      <w:color w:val="auto"/>
                    </w:rPr>
                    <w:t>0.00004</w:t>
                  </w:r>
                </w:p>
              </w:tc>
            </w:tr>
            <w:tr w14:paraId="077E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306" w:type="pct"/>
                  <w:vMerge w:val="continue"/>
                  <w:tcBorders>
                    <w:tl2br w:val="nil"/>
                    <w:tr2bl w:val="nil"/>
                  </w:tcBorders>
                  <w:noWrap/>
                  <w:vAlign w:val="center"/>
                </w:tcPr>
                <w:p w14:paraId="35154C6B">
                  <w:pPr>
                    <w:pStyle w:val="57"/>
                    <w:rPr>
                      <w:rFonts w:hint="eastAsia"/>
                      <w:color w:val="auto"/>
                    </w:rPr>
                  </w:pPr>
                </w:p>
              </w:tc>
              <w:tc>
                <w:tcPr>
                  <w:tcW w:w="437" w:type="pct"/>
                  <w:vMerge w:val="continue"/>
                  <w:tcBorders>
                    <w:tl2br w:val="nil"/>
                    <w:tr2bl w:val="nil"/>
                  </w:tcBorders>
                  <w:noWrap/>
                  <w:vAlign w:val="center"/>
                </w:tcPr>
                <w:p w14:paraId="132D6F82">
                  <w:pPr>
                    <w:pStyle w:val="57"/>
                    <w:rPr>
                      <w:rFonts w:hint="eastAsia"/>
                      <w:color w:val="auto"/>
                    </w:rPr>
                  </w:pPr>
                </w:p>
              </w:tc>
              <w:tc>
                <w:tcPr>
                  <w:tcW w:w="1238" w:type="pct"/>
                  <w:tcBorders>
                    <w:tl2br w:val="nil"/>
                    <w:tr2bl w:val="nil"/>
                  </w:tcBorders>
                  <w:noWrap/>
                  <w:vAlign w:val="center"/>
                </w:tcPr>
                <w:p w14:paraId="62D0E35B">
                  <w:pPr>
                    <w:pStyle w:val="57"/>
                    <w:rPr>
                      <w:rFonts w:hint="default" w:eastAsia="宋体"/>
                      <w:color w:val="auto"/>
                      <w:lang w:val="en-US" w:eastAsia="zh-CN"/>
                    </w:rPr>
                  </w:pPr>
                  <w:r>
                    <w:rPr>
                      <w:rFonts w:hint="eastAsia"/>
                      <w:color w:val="auto"/>
                      <w:lang w:val="en-US" w:eastAsia="zh-CN"/>
                    </w:rPr>
                    <w:t>油性墨水</w:t>
                  </w:r>
                </w:p>
              </w:tc>
              <w:tc>
                <w:tcPr>
                  <w:tcW w:w="899" w:type="pct"/>
                  <w:tcBorders>
                    <w:right w:val="single" w:color="auto" w:sz="4" w:space="0"/>
                    <w:tl2br w:val="nil"/>
                    <w:tr2bl w:val="nil"/>
                  </w:tcBorders>
                  <w:noWrap/>
                  <w:vAlign w:val="center"/>
                </w:tcPr>
                <w:p w14:paraId="4D18F9BC">
                  <w:pPr>
                    <w:pStyle w:val="57"/>
                    <w:rPr>
                      <w:rFonts w:hint="eastAsia" w:eastAsia="宋体"/>
                      <w:color w:val="auto"/>
                      <w:lang w:val="en-US" w:eastAsia="zh-CN"/>
                    </w:rPr>
                  </w:pPr>
                  <w:r>
                    <w:rPr>
                      <w:rFonts w:hint="eastAsia"/>
                      <w:color w:val="auto"/>
                      <w:lang w:val="en-US" w:eastAsia="zh-CN"/>
                    </w:rPr>
                    <w:t>乙醇</w:t>
                  </w:r>
                </w:p>
              </w:tc>
              <w:tc>
                <w:tcPr>
                  <w:tcW w:w="743" w:type="pct"/>
                  <w:tcBorders>
                    <w:left w:val="single" w:color="auto" w:sz="4" w:space="0"/>
                    <w:right w:val="single" w:color="auto" w:sz="4" w:space="0"/>
                    <w:tl2br w:val="nil"/>
                    <w:tr2bl w:val="nil"/>
                  </w:tcBorders>
                  <w:noWrap/>
                  <w:vAlign w:val="center"/>
                </w:tcPr>
                <w:p w14:paraId="0450E726">
                  <w:pPr>
                    <w:pStyle w:val="57"/>
                    <w:rPr>
                      <w:rFonts w:hint="default" w:eastAsia="宋体"/>
                      <w:color w:val="auto"/>
                      <w:lang w:val="en-US" w:eastAsia="zh-CN"/>
                    </w:rPr>
                  </w:pPr>
                  <w:r>
                    <w:rPr>
                      <w:rFonts w:hint="eastAsia"/>
                      <w:color w:val="auto"/>
                      <w:lang w:val="en-US" w:eastAsia="zh-CN"/>
                    </w:rPr>
                    <w:t>1.08</w:t>
                  </w:r>
                </w:p>
              </w:tc>
              <w:tc>
                <w:tcPr>
                  <w:tcW w:w="658" w:type="pct"/>
                  <w:tcBorders>
                    <w:left w:val="single" w:color="auto" w:sz="4" w:space="0"/>
                    <w:right w:val="single" w:color="auto" w:sz="4" w:space="0"/>
                    <w:tl2br w:val="nil"/>
                    <w:tr2bl w:val="nil"/>
                  </w:tcBorders>
                  <w:noWrap/>
                  <w:vAlign w:val="center"/>
                </w:tcPr>
                <w:p w14:paraId="296715CA">
                  <w:pPr>
                    <w:pStyle w:val="57"/>
                    <w:rPr>
                      <w:rFonts w:hint="eastAsia"/>
                      <w:color w:val="auto"/>
                    </w:rPr>
                  </w:pPr>
                  <w:r>
                    <w:rPr>
                      <w:rFonts w:hint="eastAsia"/>
                      <w:color w:val="auto"/>
                    </w:rPr>
                    <w:t>50</w:t>
                  </w:r>
                </w:p>
              </w:tc>
              <w:tc>
                <w:tcPr>
                  <w:tcW w:w="716" w:type="pct"/>
                  <w:gridSpan w:val="2"/>
                  <w:tcBorders>
                    <w:tl2br w:val="nil"/>
                    <w:tr2bl w:val="nil"/>
                  </w:tcBorders>
                  <w:noWrap/>
                  <w:vAlign w:val="center"/>
                </w:tcPr>
                <w:p w14:paraId="35447FAD">
                  <w:pPr>
                    <w:pStyle w:val="57"/>
                    <w:rPr>
                      <w:rFonts w:hint="default" w:eastAsia="宋体"/>
                      <w:color w:val="auto"/>
                      <w:lang w:val="en-US" w:eastAsia="zh-CN"/>
                    </w:rPr>
                  </w:pPr>
                  <w:r>
                    <w:rPr>
                      <w:rFonts w:hint="eastAsia"/>
                      <w:color w:val="auto"/>
                      <w:lang w:val="en-US" w:eastAsia="zh-CN"/>
                    </w:rPr>
                    <w:t>0.0216</w:t>
                  </w:r>
                </w:p>
              </w:tc>
            </w:tr>
            <w:tr w14:paraId="043B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83" w:type="pct"/>
                  <w:gridSpan w:val="6"/>
                  <w:tcBorders>
                    <w:right w:val="single" w:color="auto" w:sz="4" w:space="0"/>
                    <w:tl2br w:val="nil"/>
                    <w:tr2bl w:val="nil"/>
                  </w:tcBorders>
                  <w:vAlign w:val="center"/>
                </w:tcPr>
                <w:p w14:paraId="404B2B9C">
                  <w:pPr>
                    <w:pStyle w:val="57"/>
                    <w:rPr>
                      <w:rFonts w:hint="eastAsia"/>
                      <w:color w:val="auto"/>
                    </w:rPr>
                  </w:pPr>
                  <w:r>
                    <w:rPr>
                      <w:rFonts w:hint="eastAsia"/>
                      <w:color w:val="auto"/>
                    </w:rPr>
                    <w:t>项目</w:t>
                  </w:r>
                  <w:r>
                    <w:rPr>
                      <w:color w:val="auto"/>
                    </w:rPr>
                    <w:t>Q</w:t>
                  </w:r>
                  <w:r>
                    <w:rPr>
                      <w:rFonts w:hint="eastAsia"/>
                      <w:color w:val="auto"/>
                    </w:rPr>
                    <w:t>值</w:t>
                  </w:r>
                  <w:r>
                    <w:rPr>
                      <w:color w:val="auto"/>
                    </w:rPr>
                    <w:t>Σ</w:t>
                  </w:r>
                </w:p>
              </w:tc>
              <w:tc>
                <w:tcPr>
                  <w:tcW w:w="716" w:type="pct"/>
                  <w:gridSpan w:val="2"/>
                  <w:tcBorders>
                    <w:left w:val="single" w:color="auto" w:sz="4" w:space="0"/>
                    <w:tl2br w:val="nil"/>
                    <w:tr2bl w:val="nil"/>
                  </w:tcBorders>
                  <w:vAlign w:val="center"/>
                </w:tcPr>
                <w:p w14:paraId="5D99B3C2">
                  <w:pPr>
                    <w:pStyle w:val="57"/>
                    <w:rPr>
                      <w:rFonts w:hint="default" w:eastAsia="宋体"/>
                      <w:color w:val="auto"/>
                      <w:lang w:val="en-US" w:eastAsia="zh-CN"/>
                    </w:rPr>
                  </w:pPr>
                  <w:r>
                    <w:rPr>
                      <w:rFonts w:hint="eastAsia"/>
                      <w:color w:val="auto"/>
                      <w:lang w:val="en-US" w:eastAsia="zh-CN"/>
                    </w:rPr>
                    <w:t>0.11589</w:t>
                  </w:r>
                </w:p>
              </w:tc>
            </w:tr>
            <w:tr w14:paraId="7ECAB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 w:type="pct"/>
                <w:trHeight w:val="23" w:hRule="atLeast"/>
                <w:jc w:val="center"/>
              </w:trPr>
              <w:tc>
                <w:tcPr>
                  <w:tcW w:w="4995" w:type="pct"/>
                  <w:gridSpan w:val="7"/>
                  <w:tcBorders>
                    <w:tl2br w:val="nil"/>
                    <w:tr2bl w:val="nil"/>
                  </w:tcBorders>
                  <w:vAlign w:val="center"/>
                </w:tcPr>
                <w:p w14:paraId="0A74FE01">
                  <w:pPr>
                    <w:pStyle w:val="57"/>
                    <w:rPr>
                      <w:rFonts w:hint="eastAsia"/>
                      <w:color w:val="auto"/>
                    </w:rPr>
                  </w:pPr>
                  <w:r>
                    <w:rPr>
                      <w:rFonts w:hint="eastAsia"/>
                      <w:color w:val="auto"/>
                    </w:rPr>
                    <w:t>备注：危险废物（废机油、废活性炭、废包装桶、废抹布）、乙醇中无附录B中的规定，临界量参考临界量参考《建设项目环境风险评价技术导则》（HJ/T169-2018）附录B中表B.2健康危险急性毒性物质（类别3）数据</w:t>
                  </w:r>
                </w:p>
              </w:tc>
            </w:tr>
          </w:tbl>
          <w:p w14:paraId="5CC45F97">
            <w:pPr>
              <w:snapToGrid w:val="0"/>
              <w:ind w:firstLine="480"/>
              <w:rPr>
                <w:color w:val="auto"/>
              </w:rPr>
            </w:pPr>
            <w:r>
              <w:rPr>
                <w:color w:val="auto"/>
              </w:rPr>
              <w:t>本项目危险物质数量与临界量比值</w:t>
            </w:r>
            <w:r>
              <w:rPr>
                <w:rFonts w:hint="eastAsia"/>
                <w:color w:val="auto"/>
              </w:rPr>
              <w:t>为</w:t>
            </w:r>
            <w:r>
              <w:rPr>
                <w:color w:val="auto"/>
              </w:rPr>
              <w:t>Q</w:t>
            </w:r>
            <w:r>
              <w:rPr>
                <w:rFonts w:hint="eastAsia"/>
                <w:color w:val="auto"/>
              </w:rPr>
              <w:t>=</w:t>
            </w:r>
            <w:r>
              <w:rPr>
                <w:rFonts w:hint="eastAsia"/>
                <w:color w:val="auto"/>
                <w:lang w:val="en-US" w:eastAsia="zh-CN"/>
              </w:rPr>
              <w:t>0.11589</w:t>
            </w:r>
            <w:r>
              <w:rPr>
                <w:rFonts w:hint="eastAsia"/>
                <w:color w:val="auto"/>
              </w:rPr>
              <w:t>，</w:t>
            </w:r>
            <w:r>
              <w:rPr>
                <w:color w:val="auto"/>
              </w:rPr>
              <w:t>Q＜1</w:t>
            </w:r>
            <w:r>
              <w:rPr>
                <w:rFonts w:hint="eastAsia"/>
                <w:color w:val="auto"/>
              </w:rPr>
              <w:t>，</w:t>
            </w:r>
            <w:r>
              <w:rPr>
                <w:color w:val="auto"/>
              </w:rPr>
              <w:t>因此</w:t>
            </w:r>
            <w:r>
              <w:rPr>
                <w:rFonts w:hint="eastAsia"/>
                <w:color w:val="auto"/>
              </w:rPr>
              <w:t>，</w:t>
            </w:r>
            <w:r>
              <w:rPr>
                <w:color w:val="auto"/>
              </w:rPr>
              <w:t>本项目的环境风险潜势为Ⅰ。根据《建设项目环境影响报告表编制技术指南（污染影响类）（试行）》中</w:t>
            </w:r>
            <w:r>
              <w:rPr>
                <w:rFonts w:hint="eastAsia"/>
                <w:color w:val="auto"/>
              </w:rPr>
              <w:t>“</w:t>
            </w:r>
            <w:r>
              <w:rPr>
                <w:color w:val="auto"/>
              </w:rPr>
              <w:t>表1专项评价设置原则表</w:t>
            </w:r>
            <w:r>
              <w:rPr>
                <w:rFonts w:hint="eastAsia"/>
                <w:color w:val="auto"/>
              </w:rPr>
              <w:t>”</w:t>
            </w:r>
            <w:r>
              <w:rPr>
                <w:color w:val="auto"/>
              </w:rPr>
              <w:t>的要求</w:t>
            </w:r>
            <w:r>
              <w:rPr>
                <w:rFonts w:hint="eastAsia"/>
                <w:color w:val="auto"/>
              </w:rPr>
              <w:t>，</w:t>
            </w:r>
            <w:r>
              <w:rPr>
                <w:color w:val="auto"/>
              </w:rPr>
              <w:t>本项目无需设置环境风险专项评价。</w:t>
            </w:r>
          </w:p>
          <w:p w14:paraId="607CE097">
            <w:pPr>
              <w:adjustRightInd w:val="0"/>
              <w:snapToGrid w:val="0"/>
              <w:ind w:firstLine="480"/>
              <w:rPr>
                <w:color w:val="auto"/>
              </w:rPr>
            </w:pPr>
            <w:r>
              <w:rPr>
                <w:color w:val="auto"/>
              </w:rPr>
              <w:t>（2）生产过程风险识别</w:t>
            </w:r>
          </w:p>
          <w:p w14:paraId="6123596D">
            <w:pPr>
              <w:snapToGrid w:val="0"/>
              <w:ind w:firstLine="480"/>
              <w:rPr>
                <w:color w:val="auto"/>
              </w:rPr>
            </w:pPr>
            <w:r>
              <w:rPr>
                <w:color w:val="auto"/>
              </w:rPr>
              <w:t>本项目在生产过程中</w:t>
            </w:r>
            <w:r>
              <w:rPr>
                <w:rFonts w:hint="eastAsia"/>
                <w:color w:val="auto"/>
              </w:rPr>
              <w:t>，</w:t>
            </w:r>
            <w:r>
              <w:rPr>
                <w:color w:val="auto"/>
              </w:rPr>
              <w:t>可能发生环境风险事故的环节包括：废气治理设施故障或损坏引起的污染环境等</w:t>
            </w:r>
            <w:r>
              <w:rPr>
                <w:rFonts w:hint="eastAsia"/>
                <w:color w:val="auto"/>
              </w:rPr>
              <w:t>，</w:t>
            </w:r>
            <w:r>
              <w:rPr>
                <w:color w:val="auto"/>
              </w:rPr>
              <w:t>危险废物泄漏污染环境、火灾等情况</w:t>
            </w:r>
            <w:r>
              <w:rPr>
                <w:rFonts w:hint="eastAsia"/>
                <w:color w:val="auto"/>
              </w:rPr>
              <w:t>，</w:t>
            </w:r>
            <w:r>
              <w:rPr>
                <w:color w:val="auto"/>
              </w:rPr>
              <w:t>具体的环境风险因素识别如下表所示。</w:t>
            </w:r>
          </w:p>
          <w:p w14:paraId="5ADD259B">
            <w:pPr>
              <w:pStyle w:val="58"/>
              <w:ind w:firstLine="422"/>
              <w:rPr>
                <w:color w:val="auto"/>
              </w:rPr>
            </w:pPr>
            <w:r>
              <w:rPr>
                <w:color w:val="auto"/>
              </w:rPr>
              <w:t>表4-</w:t>
            </w:r>
            <w:r>
              <w:rPr>
                <w:rFonts w:hint="eastAsia"/>
                <w:color w:val="auto"/>
              </w:rPr>
              <w:t>2</w:t>
            </w:r>
            <w:r>
              <w:rPr>
                <w:rFonts w:hint="eastAsia"/>
                <w:color w:val="auto"/>
                <w:lang w:val="en-US" w:eastAsia="zh-CN"/>
              </w:rPr>
              <w:t>2</w:t>
            </w:r>
            <w:r>
              <w:rPr>
                <w:color w:val="auto"/>
              </w:rPr>
              <w:t>环境风险因素识别一览表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4"/>
              <w:gridCol w:w="3639"/>
              <w:gridCol w:w="2142"/>
            </w:tblGrid>
            <w:tr w14:paraId="4F47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9" w:type="pct"/>
                  <w:tcBorders>
                    <w:tl2br w:val="nil"/>
                    <w:tr2bl w:val="nil"/>
                  </w:tcBorders>
                  <w:vAlign w:val="center"/>
                </w:tcPr>
                <w:p w14:paraId="33BAC97A">
                  <w:pPr>
                    <w:pStyle w:val="57"/>
                    <w:rPr>
                      <w:b/>
                      <w:bCs w:val="0"/>
                      <w:color w:val="auto"/>
                    </w:rPr>
                  </w:pPr>
                  <w:r>
                    <w:rPr>
                      <w:b/>
                      <w:bCs w:val="0"/>
                      <w:color w:val="auto"/>
                    </w:rPr>
                    <w:t>危险目标</w:t>
                  </w:r>
                </w:p>
              </w:tc>
              <w:tc>
                <w:tcPr>
                  <w:tcW w:w="599" w:type="pct"/>
                  <w:tcBorders>
                    <w:tl2br w:val="nil"/>
                    <w:tr2bl w:val="nil"/>
                  </w:tcBorders>
                  <w:vAlign w:val="center"/>
                </w:tcPr>
                <w:p w14:paraId="26CCC9FC">
                  <w:pPr>
                    <w:pStyle w:val="57"/>
                    <w:rPr>
                      <w:b/>
                      <w:bCs w:val="0"/>
                      <w:color w:val="auto"/>
                    </w:rPr>
                  </w:pPr>
                  <w:r>
                    <w:rPr>
                      <w:b/>
                      <w:bCs w:val="0"/>
                      <w:color w:val="auto"/>
                    </w:rPr>
                    <w:t>事故类型</w:t>
                  </w:r>
                </w:p>
              </w:tc>
              <w:tc>
                <w:tcPr>
                  <w:tcW w:w="2191" w:type="pct"/>
                  <w:tcBorders>
                    <w:tl2br w:val="nil"/>
                    <w:tr2bl w:val="nil"/>
                  </w:tcBorders>
                  <w:vAlign w:val="center"/>
                </w:tcPr>
                <w:p w14:paraId="7A3C4882">
                  <w:pPr>
                    <w:pStyle w:val="57"/>
                    <w:rPr>
                      <w:b/>
                      <w:bCs w:val="0"/>
                      <w:color w:val="auto"/>
                    </w:rPr>
                  </w:pPr>
                  <w:r>
                    <w:rPr>
                      <w:b/>
                      <w:bCs w:val="0"/>
                      <w:color w:val="auto"/>
                    </w:rPr>
                    <w:t>事故引发可能原因</w:t>
                  </w:r>
                </w:p>
              </w:tc>
              <w:tc>
                <w:tcPr>
                  <w:tcW w:w="1289" w:type="pct"/>
                  <w:tcBorders>
                    <w:tl2br w:val="nil"/>
                    <w:tr2bl w:val="nil"/>
                  </w:tcBorders>
                  <w:vAlign w:val="center"/>
                </w:tcPr>
                <w:p w14:paraId="71959D08">
                  <w:pPr>
                    <w:pStyle w:val="57"/>
                    <w:rPr>
                      <w:b/>
                      <w:bCs w:val="0"/>
                      <w:color w:val="auto"/>
                    </w:rPr>
                  </w:pPr>
                  <w:r>
                    <w:rPr>
                      <w:b/>
                      <w:bCs w:val="0"/>
                      <w:color w:val="auto"/>
                    </w:rPr>
                    <w:t>事故后果</w:t>
                  </w:r>
                </w:p>
              </w:tc>
            </w:tr>
            <w:tr w14:paraId="3037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19" w:type="pct"/>
                  <w:tcBorders>
                    <w:tl2br w:val="nil"/>
                    <w:tr2bl w:val="nil"/>
                  </w:tcBorders>
                  <w:vAlign w:val="center"/>
                </w:tcPr>
                <w:p w14:paraId="197D5383">
                  <w:pPr>
                    <w:pStyle w:val="57"/>
                    <w:rPr>
                      <w:color w:val="auto"/>
                    </w:rPr>
                  </w:pPr>
                  <w:r>
                    <w:rPr>
                      <w:color w:val="auto"/>
                    </w:rPr>
                    <w:t>生产车间</w:t>
                  </w:r>
                  <w:r>
                    <w:rPr>
                      <w:rFonts w:hint="eastAsia"/>
                      <w:color w:val="auto"/>
                    </w:rPr>
                    <w:t>、原料仓库</w:t>
                  </w:r>
                </w:p>
              </w:tc>
              <w:tc>
                <w:tcPr>
                  <w:tcW w:w="599" w:type="pct"/>
                  <w:tcBorders>
                    <w:tl2br w:val="nil"/>
                    <w:tr2bl w:val="nil"/>
                  </w:tcBorders>
                  <w:vAlign w:val="center"/>
                </w:tcPr>
                <w:p w14:paraId="3977920E">
                  <w:pPr>
                    <w:pStyle w:val="57"/>
                    <w:rPr>
                      <w:color w:val="auto"/>
                    </w:rPr>
                  </w:pPr>
                  <w:r>
                    <w:rPr>
                      <w:color w:val="auto"/>
                    </w:rPr>
                    <w:t>火灾、泄漏</w:t>
                  </w:r>
                </w:p>
              </w:tc>
              <w:tc>
                <w:tcPr>
                  <w:tcW w:w="2191" w:type="pct"/>
                  <w:tcBorders>
                    <w:tl2br w:val="nil"/>
                    <w:tr2bl w:val="nil"/>
                  </w:tcBorders>
                  <w:vAlign w:val="center"/>
                </w:tcPr>
                <w:p w14:paraId="329A4A9B">
                  <w:pPr>
                    <w:pStyle w:val="57"/>
                    <w:rPr>
                      <w:color w:val="auto"/>
                    </w:rPr>
                  </w:pPr>
                  <w:r>
                    <w:rPr>
                      <w:rFonts w:hint="eastAsia"/>
                      <w:color w:val="auto"/>
                    </w:rPr>
                    <w:t>机油、塑料粒子、油性油墨等原料</w:t>
                  </w:r>
                  <w:r>
                    <w:rPr>
                      <w:color w:val="auto"/>
                    </w:rPr>
                    <w:t>在车间内遇明火或者高热容易重大火灾事故</w:t>
                  </w:r>
                </w:p>
              </w:tc>
              <w:tc>
                <w:tcPr>
                  <w:tcW w:w="1289" w:type="pct"/>
                  <w:tcBorders>
                    <w:tl2br w:val="nil"/>
                    <w:tr2bl w:val="nil"/>
                  </w:tcBorders>
                  <w:vAlign w:val="center"/>
                </w:tcPr>
                <w:p w14:paraId="4D6FA9EC">
                  <w:pPr>
                    <w:pStyle w:val="57"/>
                    <w:rPr>
                      <w:color w:val="auto"/>
                    </w:rPr>
                  </w:pPr>
                  <w:r>
                    <w:rPr>
                      <w:color w:val="auto"/>
                    </w:rPr>
                    <w:t>燃烧产生的烟气逸散到大气对环境造成影响；消防废水可能污染周边地表水</w:t>
                  </w:r>
                </w:p>
              </w:tc>
            </w:tr>
            <w:tr w14:paraId="3E1E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9" w:type="pct"/>
                  <w:tcBorders>
                    <w:tl2br w:val="nil"/>
                    <w:tr2bl w:val="nil"/>
                  </w:tcBorders>
                  <w:vAlign w:val="center"/>
                </w:tcPr>
                <w:p w14:paraId="37BD41DC">
                  <w:pPr>
                    <w:pStyle w:val="57"/>
                    <w:rPr>
                      <w:color w:val="auto"/>
                    </w:rPr>
                  </w:pPr>
                  <w:r>
                    <w:rPr>
                      <w:color w:val="auto"/>
                    </w:rPr>
                    <w:t>危险废物暂存间</w:t>
                  </w:r>
                </w:p>
              </w:tc>
              <w:tc>
                <w:tcPr>
                  <w:tcW w:w="599" w:type="pct"/>
                  <w:tcBorders>
                    <w:tl2br w:val="nil"/>
                    <w:tr2bl w:val="nil"/>
                  </w:tcBorders>
                  <w:vAlign w:val="center"/>
                </w:tcPr>
                <w:p w14:paraId="28D22974">
                  <w:pPr>
                    <w:pStyle w:val="57"/>
                    <w:rPr>
                      <w:color w:val="auto"/>
                    </w:rPr>
                  </w:pPr>
                  <w:r>
                    <w:rPr>
                      <w:color w:val="auto"/>
                    </w:rPr>
                    <w:t>泄漏</w:t>
                  </w:r>
                </w:p>
              </w:tc>
              <w:tc>
                <w:tcPr>
                  <w:tcW w:w="2191" w:type="pct"/>
                  <w:tcBorders>
                    <w:tl2br w:val="nil"/>
                    <w:tr2bl w:val="nil"/>
                  </w:tcBorders>
                  <w:vAlign w:val="center"/>
                </w:tcPr>
                <w:p w14:paraId="4262B87B">
                  <w:pPr>
                    <w:pStyle w:val="57"/>
                    <w:rPr>
                      <w:color w:val="auto"/>
                    </w:rPr>
                  </w:pPr>
                  <w:r>
                    <w:rPr>
                      <w:color w:val="auto"/>
                    </w:rPr>
                    <w:t>装卸或存储过程中某些危险废物可能会发生泄漏污染地下水</w:t>
                  </w:r>
                  <w:r>
                    <w:rPr>
                      <w:rFonts w:hint="eastAsia"/>
                      <w:color w:val="auto"/>
                    </w:rPr>
                    <w:t>，</w:t>
                  </w:r>
                  <w:r>
                    <w:rPr>
                      <w:color w:val="auto"/>
                    </w:rPr>
                    <w:t>或可能由于恶劣天气影响</w:t>
                  </w:r>
                  <w:r>
                    <w:rPr>
                      <w:rFonts w:hint="eastAsia"/>
                      <w:color w:val="auto"/>
                    </w:rPr>
                    <w:t>，</w:t>
                  </w:r>
                  <w:r>
                    <w:rPr>
                      <w:color w:val="auto"/>
                    </w:rPr>
                    <w:t>导致雨水渗入等</w:t>
                  </w:r>
                </w:p>
              </w:tc>
              <w:tc>
                <w:tcPr>
                  <w:tcW w:w="1289" w:type="pct"/>
                  <w:tcBorders>
                    <w:tl2br w:val="nil"/>
                    <w:tr2bl w:val="nil"/>
                  </w:tcBorders>
                  <w:vAlign w:val="center"/>
                </w:tcPr>
                <w:p w14:paraId="278921F9">
                  <w:pPr>
                    <w:pStyle w:val="57"/>
                    <w:rPr>
                      <w:color w:val="auto"/>
                    </w:rPr>
                  </w:pPr>
                  <w:r>
                    <w:rPr>
                      <w:color w:val="auto"/>
                    </w:rPr>
                    <w:t>污染地下水、土壤</w:t>
                  </w:r>
                </w:p>
              </w:tc>
            </w:tr>
            <w:tr w14:paraId="3D18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9" w:type="pct"/>
                  <w:tcBorders>
                    <w:tl2br w:val="nil"/>
                    <w:tr2bl w:val="nil"/>
                  </w:tcBorders>
                  <w:vAlign w:val="center"/>
                </w:tcPr>
                <w:p w14:paraId="23F0223B">
                  <w:pPr>
                    <w:pStyle w:val="57"/>
                    <w:rPr>
                      <w:color w:val="auto"/>
                    </w:rPr>
                  </w:pPr>
                  <w:r>
                    <w:rPr>
                      <w:color w:val="auto"/>
                    </w:rPr>
                    <w:t>废气处理措施故障</w:t>
                  </w:r>
                </w:p>
              </w:tc>
              <w:tc>
                <w:tcPr>
                  <w:tcW w:w="599" w:type="pct"/>
                  <w:tcBorders>
                    <w:tl2br w:val="nil"/>
                    <w:tr2bl w:val="nil"/>
                  </w:tcBorders>
                  <w:vAlign w:val="center"/>
                </w:tcPr>
                <w:p w14:paraId="2F498B5B">
                  <w:pPr>
                    <w:pStyle w:val="57"/>
                    <w:rPr>
                      <w:color w:val="auto"/>
                    </w:rPr>
                  </w:pPr>
                  <w:r>
                    <w:rPr>
                      <w:color w:val="auto"/>
                    </w:rPr>
                    <w:t>事故排放</w:t>
                  </w:r>
                </w:p>
              </w:tc>
              <w:tc>
                <w:tcPr>
                  <w:tcW w:w="2191" w:type="pct"/>
                  <w:tcBorders>
                    <w:tl2br w:val="nil"/>
                    <w:tr2bl w:val="nil"/>
                  </w:tcBorders>
                  <w:vAlign w:val="center"/>
                </w:tcPr>
                <w:p w14:paraId="3F2672B7">
                  <w:pPr>
                    <w:pStyle w:val="57"/>
                    <w:rPr>
                      <w:color w:val="auto"/>
                    </w:rPr>
                  </w:pPr>
                  <w:r>
                    <w:rPr>
                      <w:color w:val="auto"/>
                    </w:rPr>
                    <w:t>废气处理设施发生故障</w:t>
                  </w:r>
                  <w:r>
                    <w:rPr>
                      <w:rFonts w:hint="eastAsia"/>
                      <w:color w:val="auto"/>
                    </w:rPr>
                    <w:t>，</w:t>
                  </w:r>
                  <w:r>
                    <w:rPr>
                      <w:color w:val="auto"/>
                    </w:rPr>
                    <w:t>废气未经处理后排放</w:t>
                  </w:r>
                  <w:r>
                    <w:rPr>
                      <w:rFonts w:hint="eastAsia"/>
                      <w:color w:val="auto"/>
                    </w:rPr>
                    <w:t>，</w:t>
                  </w:r>
                  <w:r>
                    <w:rPr>
                      <w:color w:val="auto"/>
                    </w:rPr>
                    <w:t>会对周围的环境空气带来一定程度的不利影响</w:t>
                  </w:r>
                </w:p>
              </w:tc>
              <w:tc>
                <w:tcPr>
                  <w:tcW w:w="1289" w:type="pct"/>
                  <w:tcBorders>
                    <w:tl2br w:val="nil"/>
                    <w:tr2bl w:val="nil"/>
                  </w:tcBorders>
                  <w:vAlign w:val="center"/>
                </w:tcPr>
                <w:p w14:paraId="1B1FC8D9">
                  <w:pPr>
                    <w:pStyle w:val="57"/>
                    <w:rPr>
                      <w:color w:val="auto"/>
                    </w:rPr>
                  </w:pPr>
                  <w:r>
                    <w:rPr>
                      <w:color w:val="auto"/>
                    </w:rPr>
                    <w:t>污染周边大气环境</w:t>
                  </w:r>
                </w:p>
              </w:tc>
            </w:tr>
          </w:tbl>
          <w:p w14:paraId="1F76F330">
            <w:pPr>
              <w:adjustRightInd w:val="0"/>
              <w:snapToGrid w:val="0"/>
              <w:ind w:firstLine="480"/>
              <w:rPr>
                <w:color w:val="auto"/>
              </w:rPr>
            </w:pPr>
            <w:r>
              <w:rPr>
                <w:color w:val="auto"/>
              </w:rPr>
              <w:t>（3）</w:t>
            </w:r>
            <w:r>
              <w:rPr>
                <w:rFonts w:hint="eastAsia" w:ascii="宋体" w:hAnsi="宋体" w:cs="宋体"/>
                <w:color w:val="auto"/>
                <w:kern w:val="0"/>
              </w:rPr>
              <w:t>环境风险影响分析</w:t>
            </w:r>
          </w:p>
          <w:p w14:paraId="297D329F">
            <w:pPr>
              <w:widowControl/>
              <w:ind w:firstLine="480"/>
              <w:jc w:val="left"/>
              <w:rPr>
                <w:color w:val="auto"/>
              </w:rPr>
            </w:pPr>
            <w:r>
              <w:rPr>
                <w:color w:val="auto"/>
                <w:kern w:val="0"/>
              </w:rPr>
              <w:t>1</w:t>
            </w:r>
            <w:r>
              <w:rPr>
                <w:rFonts w:hint="eastAsia" w:ascii="宋体" w:hAnsi="宋体" w:cs="宋体"/>
                <w:color w:val="auto"/>
                <w:kern w:val="0"/>
              </w:rPr>
              <w:t>）泄漏风险分析</w:t>
            </w:r>
          </w:p>
          <w:p w14:paraId="33E3AFF1">
            <w:pPr>
              <w:widowControl/>
              <w:ind w:firstLine="480"/>
              <w:jc w:val="left"/>
              <w:rPr>
                <w:color w:val="auto"/>
              </w:rPr>
            </w:pPr>
            <w:r>
              <w:rPr>
                <w:rFonts w:hint="eastAsia" w:ascii="宋体" w:hAnsi="宋体" w:cs="宋体"/>
                <w:color w:val="auto"/>
                <w:kern w:val="0"/>
              </w:rPr>
              <w:t>使用过程中最大泄漏事故为机油、油墨、墨水等原料泄漏；发生泄漏的源项为盛放容器的破损、人为操作失误等，导致泄漏。发生泄漏时，若未能及时采取措施收集容易通过雨水管网或污水管网，进入外界环境，对周围环境造成污染。泄漏的液体流经未经采取防渗措施或硬化的地面，可能会透过地面渗入地下，污染地下水。</w:t>
            </w:r>
          </w:p>
          <w:p w14:paraId="12CBC994">
            <w:pPr>
              <w:widowControl/>
              <w:ind w:firstLine="480"/>
              <w:jc w:val="left"/>
              <w:rPr>
                <w:color w:val="auto"/>
              </w:rPr>
            </w:pPr>
            <w:r>
              <w:rPr>
                <w:color w:val="auto"/>
                <w:kern w:val="0"/>
              </w:rPr>
              <w:t>2</w:t>
            </w:r>
            <w:r>
              <w:rPr>
                <w:rFonts w:hint="eastAsia" w:ascii="宋体" w:hAnsi="宋体" w:cs="宋体"/>
                <w:color w:val="auto"/>
                <w:kern w:val="0"/>
              </w:rPr>
              <w:t>）火灾爆炸事故风险分析</w:t>
            </w:r>
          </w:p>
          <w:p w14:paraId="20CFC43C">
            <w:pPr>
              <w:widowControl/>
              <w:ind w:firstLine="480"/>
              <w:jc w:val="left"/>
              <w:rPr>
                <w:color w:val="auto"/>
              </w:rPr>
            </w:pPr>
            <w:r>
              <w:rPr>
                <w:rFonts w:hint="eastAsia" w:ascii="宋体" w:hAnsi="宋体" w:cs="宋体"/>
                <w:color w:val="auto"/>
                <w:kern w:val="0"/>
              </w:rPr>
              <w:t>项目在生产过程中使用的机油、塑料粒子、油性墨水属于可燃性物质，可能会引发火灾。假如发生火灾或爆炸事故，物料燃烧会产生大量的燃烧废气，废气中的污染物主要为一氧化碳、二氧化碳等，对周围环境空气会造成一定影响。另外，若是未收集好消防废水，事故中的有毒有害物质会随消防废水直接进入水体，对附近水体造成造成污染。</w:t>
            </w:r>
          </w:p>
          <w:p w14:paraId="6B3A7DA2">
            <w:pPr>
              <w:widowControl/>
              <w:ind w:firstLine="480"/>
              <w:jc w:val="left"/>
              <w:rPr>
                <w:color w:val="auto"/>
              </w:rPr>
            </w:pPr>
            <w:r>
              <w:rPr>
                <w:color w:val="auto"/>
                <w:kern w:val="0"/>
              </w:rPr>
              <w:t>（5）环境风险防范措及应急要求</w:t>
            </w:r>
          </w:p>
          <w:p w14:paraId="722B0C7E">
            <w:pPr>
              <w:widowControl/>
              <w:ind w:firstLine="480"/>
              <w:jc w:val="left"/>
              <w:rPr>
                <w:color w:val="auto"/>
              </w:rPr>
            </w:pPr>
            <w:r>
              <w:rPr>
                <w:color w:val="auto"/>
                <w:kern w:val="0"/>
              </w:rPr>
              <w:t>1）储运安全防范措施</w:t>
            </w:r>
          </w:p>
          <w:p w14:paraId="4C512B97">
            <w:pPr>
              <w:widowControl/>
              <w:ind w:firstLine="480"/>
              <w:jc w:val="left"/>
              <w:rPr>
                <w:color w:val="auto"/>
              </w:rPr>
            </w:pPr>
            <w:r>
              <w:rPr>
                <w:color w:val="auto"/>
                <w:kern w:val="0"/>
              </w:rPr>
              <w:t>对</w:t>
            </w:r>
            <w:r>
              <w:rPr>
                <w:rFonts w:hint="eastAsia"/>
                <w:color w:val="auto"/>
                <w:kern w:val="0"/>
              </w:rPr>
              <w:t>机油</w:t>
            </w:r>
            <w:r>
              <w:rPr>
                <w:color w:val="auto"/>
                <w:kern w:val="0"/>
              </w:rPr>
              <w:t>的贮存应引起足够的重视。应严格按照《常用化学危险品贮存通则》、《腐蚀性商品贮藏养护技术条件》、《毒害性商品贮藏养护技术条件》等标准、规范实施，原料分类、分区贮存，并制定申报登记、保管、领用、操作等严格规章制度；</w:t>
            </w:r>
          </w:p>
          <w:p w14:paraId="5CD691C8">
            <w:pPr>
              <w:widowControl/>
              <w:ind w:firstLine="480"/>
              <w:jc w:val="left"/>
              <w:rPr>
                <w:color w:val="auto"/>
              </w:rPr>
            </w:pPr>
            <w:r>
              <w:rPr>
                <w:color w:val="auto"/>
                <w:kern w:val="0"/>
              </w:rPr>
              <w:t>A、要求供应商提供国家标准规定的容器盛装所采购的原料，同时要求供应商提供所采购原料的安全储藏、搬运、使用等的相关文件；</w:t>
            </w:r>
          </w:p>
          <w:p w14:paraId="51ACBFFF">
            <w:pPr>
              <w:widowControl/>
              <w:ind w:firstLine="480"/>
              <w:jc w:val="left"/>
              <w:rPr>
                <w:color w:val="auto"/>
              </w:rPr>
            </w:pPr>
            <w:r>
              <w:rPr>
                <w:color w:val="auto"/>
                <w:kern w:val="0"/>
              </w:rPr>
              <w:t>B、</w:t>
            </w:r>
            <w:r>
              <w:rPr>
                <w:rFonts w:hint="eastAsia"/>
                <w:color w:val="auto"/>
                <w:kern w:val="0"/>
              </w:rPr>
              <w:t>暂存间</w:t>
            </w:r>
            <w:r>
              <w:rPr>
                <w:color w:val="auto"/>
                <w:kern w:val="0"/>
              </w:rPr>
              <w:t>耐火等级应符合国标相应标准要求，同时安装避雷设备；</w:t>
            </w:r>
          </w:p>
          <w:p w14:paraId="206D6E67">
            <w:pPr>
              <w:widowControl/>
              <w:ind w:firstLine="480"/>
              <w:jc w:val="left"/>
              <w:rPr>
                <w:color w:val="auto"/>
              </w:rPr>
            </w:pPr>
            <w:r>
              <w:rPr>
                <w:color w:val="auto"/>
                <w:kern w:val="0"/>
              </w:rPr>
              <w:t>C、安装必要通风设备，同时在通风设备上设置导除静电的接地装置，通风管采用非燃烧材料制作；</w:t>
            </w:r>
          </w:p>
          <w:p w14:paraId="211625DC">
            <w:pPr>
              <w:widowControl/>
              <w:ind w:firstLine="480"/>
              <w:jc w:val="left"/>
              <w:rPr>
                <w:color w:val="auto"/>
              </w:rPr>
            </w:pPr>
            <w:r>
              <w:rPr>
                <w:rFonts w:hint="eastAsia"/>
                <w:color w:val="auto"/>
                <w:kern w:val="0"/>
              </w:rPr>
              <w:t>D</w:t>
            </w:r>
            <w:r>
              <w:rPr>
                <w:color w:val="auto"/>
                <w:kern w:val="0"/>
              </w:rPr>
              <w:t>、装卸、搬运时应按有关规定进行，做到轻装、轻卸，严禁摔、碰、撞、击、拖拉、倾倒和滚动；</w:t>
            </w:r>
          </w:p>
          <w:p w14:paraId="08AADB41">
            <w:pPr>
              <w:widowControl/>
              <w:ind w:firstLine="480"/>
              <w:jc w:val="left"/>
              <w:rPr>
                <w:color w:val="auto"/>
              </w:rPr>
            </w:pPr>
            <w:r>
              <w:rPr>
                <w:rFonts w:hint="eastAsia"/>
                <w:color w:val="auto"/>
                <w:kern w:val="0"/>
              </w:rPr>
              <w:t>E</w:t>
            </w:r>
            <w:r>
              <w:rPr>
                <w:color w:val="auto"/>
                <w:kern w:val="0"/>
              </w:rPr>
              <w:t>、</w:t>
            </w:r>
            <w:r>
              <w:rPr>
                <w:rFonts w:hint="eastAsia"/>
                <w:color w:val="auto"/>
                <w:kern w:val="0"/>
              </w:rPr>
              <w:t>机油</w:t>
            </w:r>
            <w:r>
              <w:rPr>
                <w:color w:val="auto"/>
                <w:kern w:val="0"/>
              </w:rPr>
              <w:t>发生泄漏时应优先进行收集储存进入容器中，不得随意处置。</w:t>
            </w:r>
          </w:p>
          <w:p w14:paraId="1BA558DC">
            <w:pPr>
              <w:widowControl/>
              <w:ind w:firstLine="480"/>
              <w:jc w:val="left"/>
              <w:rPr>
                <w:color w:val="auto"/>
              </w:rPr>
            </w:pPr>
            <w:r>
              <w:rPr>
                <w:color w:val="auto"/>
                <w:kern w:val="0"/>
              </w:rPr>
              <w:t>2）泄漏风险防范措施</w:t>
            </w:r>
          </w:p>
          <w:p w14:paraId="05359F41">
            <w:pPr>
              <w:widowControl/>
              <w:ind w:firstLine="480"/>
              <w:jc w:val="left"/>
              <w:rPr>
                <w:color w:val="auto"/>
              </w:rPr>
            </w:pPr>
            <w:r>
              <w:rPr>
                <w:color w:val="auto"/>
                <w:kern w:val="0"/>
              </w:rPr>
              <w:t>A、项目生产车间地面均应使用混凝土硬化，对于危险废物</w:t>
            </w:r>
            <w:r>
              <w:rPr>
                <w:rFonts w:hint="eastAsia"/>
                <w:color w:val="auto"/>
                <w:kern w:val="0"/>
              </w:rPr>
              <w:t>暂存间</w:t>
            </w:r>
            <w:r>
              <w:rPr>
                <w:color w:val="auto"/>
                <w:kern w:val="0"/>
              </w:rPr>
              <w:t>都应做防渗处理。</w:t>
            </w:r>
          </w:p>
          <w:p w14:paraId="58E725EF">
            <w:pPr>
              <w:widowControl/>
              <w:ind w:firstLine="480"/>
              <w:jc w:val="left"/>
              <w:rPr>
                <w:color w:val="auto"/>
              </w:rPr>
            </w:pPr>
            <w:r>
              <w:rPr>
                <w:color w:val="auto"/>
                <w:kern w:val="0"/>
              </w:rPr>
              <w:t>B、建立安全管理制度：制定安全管理制度，明确责任、流程和标准，确保</w:t>
            </w:r>
            <w:r>
              <w:rPr>
                <w:rFonts w:hint="eastAsia"/>
                <w:color w:val="auto"/>
                <w:kern w:val="0"/>
              </w:rPr>
              <w:t>危险品</w:t>
            </w:r>
            <w:r>
              <w:rPr>
                <w:color w:val="auto"/>
                <w:kern w:val="0"/>
              </w:rPr>
              <w:t>的安全使用和管理。</w:t>
            </w:r>
          </w:p>
          <w:p w14:paraId="7A401A6C">
            <w:pPr>
              <w:widowControl/>
              <w:ind w:firstLine="480"/>
              <w:rPr>
                <w:color w:val="auto"/>
              </w:rPr>
            </w:pPr>
            <w:r>
              <w:rPr>
                <w:rFonts w:hint="eastAsia"/>
                <w:color w:val="auto"/>
                <w:kern w:val="0"/>
              </w:rPr>
              <w:t>C</w:t>
            </w:r>
            <w:r>
              <w:rPr>
                <w:color w:val="auto"/>
                <w:kern w:val="0"/>
              </w:rPr>
              <w:t>、生产车间及原料仓内应配备泡沫灭火器、消防砂箱和防毒面具等消防应急设备，并定期检查设备有效性；</w:t>
            </w:r>
          </w:p>
          <w:p w14:paraId="3167F409">
            <w:pPr>
              <w:widowControl/>
              <w:ind w:firstLine="480"/>
              <w:rPr>
                <w:color w:val="auto"/>
              </w:rPr>
            </w:pPr>
            <w:r>
              <w:rPr>
                <w:rFonts w:hint="eastAsia"/>
                <w:color w:val="auto"/>
                <w:kern w:val="0"/>
              </w:rPr>
              <w:t>D</w:t>
            </w:r>
            <w:r>
              <w:rPr>
                <w:color w:val="auto"/>
                <w:kern w:val="0"/>
              </w:rPr>
              <w:t>、在原料仓</w:t>
            </w:r>
            <w:r>
              <w:rPr>
                <w:rFonts w:hint="eastAsia"/>
                <w:color w:val="auto"/>
                <w:kern w:val="0"/>
              </w:rPr>
              <w:t>库、生产车间、成品仓库</w:t>
            </w:r>
            <w:r>
              <w:rPr>
                <w:color w:val="auto"/>
                <w:kern w:val="0"/>
              </w:rPr>
              <w:t>和</w:t>
            </w:r>
            <w:r>
              <w:rPr>
                <w:rFonts w:hint="eastAsia"/>
                <w:color w:val="auto"/>
                <w:kern w:val="0"/>
              </w:rPr>
              <w:t>危废暂存间</w:t>
            </w:r>
            <w:r>
              <w:rPr>
                <w:color w:val="auto"/>
                <w:kern w:val="0"/>
              </w:rPr>
              <w:t>地面铺设防渗防腐材料，一旦发生泄漏事故时，避免泄漏物质下渗，尽快封堵泄漏源；</w:t>
            </w:r>
          </w:p>
          <w:p w14:paraId="011D549B">
            <w:pPr>
              <w:adjustRightInd w:val="0"/>
              <w:snapToGrid w:val="0"/>
              <w:ind w:firstLine="480"/>
              <w:rPr>
                <w:color w:val="auto"/>
              </w:rPr>
            </w:pPr>
            <w:r>
              <w:rPr>
                <w:color w:val="auto"/>
              </w:rPr>
              <w:t>（4）小结</w:t>
            </w:r>
          </w:p>
          <w:p w14:paraId="6AB6CADE">
            <w:pPr>
              <w:adjustRightInd w:val="0"/>
              <w:snapToGrid w:val="0"/>
              <w:ind w:firstLine="480"/>
              <w:rPr>
                <w:color w:val="auto"/>
              </w:rPr>
            </w:pPr>
            <w:r>
              <w:rPr>
                <w:color w:val="auto"/>
              </w:rPr>
              <w:t>本项目危险物质数量与临界量比值</w:t>
            </w:r>
            <w:r>
              <w:rPr>
                <w:rFonts w:hint="eastAsia"/>
                <w:color w:val="auto"/>
              </w:rPr>
              <w:t>为</w:t>
            </w:r>
            <w:r>
              <w:rPr>
                <w:color w:val="auto"/>
              </w:rPr>
              <w:t>Q</w:t>
            </w:r>
            <w:r>
              <w:rPr>
                <w:rFonts w:hint="eastAsia"/>
                <w:color w:val="auto"/>
              </w:rPr>
              <w:t>=0.11589，</w:t>
            </w:r>
            <w:r>
              <w:rPr>
                <w:color w:val="auto"/>
              </w:rPr>
              <w:t>Q＜1</w:t>
            </w:r>
            <w:r>
              <w:rPr>
                <w:rFonts w:hint="eastAsia"/>
                <w:color w:val="auto"/>
              </w:rPr>
              <w:t>，</w:t>
            </w:r>
            <w:r>
              <w:rPr>
                <w:color w:val="auto"/>
              </w:rPr>
              <w:t>根据《建设项目环境风险评技术导则》（HJ169-2018）</w:t>
            </w:r>
            <w:r>
              <w:rPr>
                <w:rFonts w:hint="eastAsia"/>
                <w:color w:val="auto"/>
              </w:rPr>
              <w:t>，</w:t>
            </w:r>
            <w:r>
              <w:rPr>
                <w:color w:val="auto"/>
              </w:rPr>
              <w:t>本项目环境风险潜势为Ⅰ</w:t>
            </w:r>
            <w:r>
              <w:rPr>
                <w:rFonts w:hint="eastAsia"/>
                <w:color w:val="auto"/>
              </w:rPr>
              <w:t>，</w:t>
            </w:r>
            <w:r>
              <w:rPr>
                <w:color w:val="auto"/>
              </w:rPr>
              <w:t>通过采取相应的风险防范措施</w:t>
            </w:r>
            <w:r>
              <w:rPr>
                <w:rFonts w:hint="eastAsia"/>
                <w:color w:val="auto"/>
              </w:rPr>
              <w:t>，</w:t>
            </w:r>
            <w:r>
              <w:rPr>
                <w:color w:val="auto"/>
              </w:rPr>
              <w:t>项目的环境风险可控。一旦发生事故</w:t>
            </w:r>
            <w:r>
              <w:rPr>
                <w:rFonts w:hint="eastAsia"/>
                <w:color w:val="auto"/>
              </w:rPr>
              <w:t>，</w:t>
            </w:r>
            <w:r>
              <w:rPr>
                <w:color w:val="auto"/>
              </w:rPr>
              <w:t>建设单位应立即执行事故应急预案</w:t>
            </w:r>
            <w:r>
              <w:rPr>
                <w:rFonts w:hint="eastAsia"/>
                <w:color w:val="auto"/>
              </w:rPr>
              <w:t>，</w:t>
            </w:r>
            <w:r>
              <w:rPr>
                <w:color w:val="auto"/>
              </w:rPr>
              <w:t>采取合理的事故应急处理措施</w:t>
            </w:r>
            <w:r>
              <w:rPr>
                <w:rFonts w:hint="eastAsia"/>
                <w:color w:val="auto"/>
              </w:rPr>
              <w:t>，</w:t>
            </w:r>
            <w:r>
              <w:rPr>
                <w:color w:val="auto"/>
              </w:rPr>
              <w:t>将事故影响降到最低限度。</w:t>
            </w:r>
          </w:p>
          <w:p w14:paraId="4F46E1F8">
            <w:pPr>
              <w:adjustRightInd w:val="0"/>
              <w:snapToGrid w:val="0"/>
              <w:ind w:firstLine="482"/>
              <w:rPr>
                <w:b/>
                <w:bCs/>
                <w:color w:val="auto"/>
              </w:rPr>
            </w:pPr>
            <w:r>
              <w:rPr>
                <w:rFonts w:hint="eastAsia"/>
                <w:b/>
                <w:bCs/>
                <w:color w:val="auto"/>
              </w:rPr>
              <w:t>8、生态</w:t>
            </w:r>
          </w:p>
          <w:p w14:paraId="3A56B2E1">
            <w:pPr>
              <w:adjustRightInd w:val="0"/>
              <w:snapToGrid w:val="0"/>
              <w:ind w:firstLine="480"/>
              <w:rPr>
                <w:color w:val="auto"/>
              </w:rPr>
            </w:pPr>
            <w:r>
              <w:rPr>
                <w:rFonts w:hint="eastAsia"/>
                <w:color w:val="auto"/>
              </w:rPr>
              <w:t>本项目位于安徽省</w:t>
            </w:r>
            <w:r>
              <w:rPr>
                <w:rFonts w:hint="eastAsia"/>
                <w:color w:val="auto"/>
                <w:lang w:eastAsia="zh-CN"/>
              </w:rPr>
              <w:t>宿州市经济开发区陈河路与鞋</w:t>
            </w:r>
            <w:r>
              <w:rPr>
                <w:rFonts w:hint="eastAsia"/>
                <w:color w:val="auto"/>
              </w:rPr>
              <w:t>城八路交叉口东南角内，项目用地为工业用地且用地范围内且不存在生态环境保护目标，不会对周边生态环境造成明显影响。</w:t>
            </w:r>
          </w:p>
          <w:p w14:paraId="6E139F8D">
            <w:pPr>
              <w:tabs>
                <w:tab w:val="left" w:pos="7437"/>
              </w:tabs>
              <w:adjustRightInd w:val="0"/>
              <w:snapToGrid w:val="0"/>
              <w:ind w:firstLine="482"/>
              <w:jc w:val="left"/>
              <w:rPr>
                <w:b/>
                <w:color w:val="auto"/>
              </w:rPr>
            </w:pPr>
            <w:r>
              <w:rPr>
                <w:b/>
                <w:color w:val="auto"/>
              </w:rPr>
              <w:t>9、环保投资估算</w:t>
            </w:r>
          </w:p>
          <w:p w14:paraId="4BDE76D5">
            <w:pPr>
              <w:tabs>
                <w:tab w:val="left" w:pos="7437"/>
              </w:tabs>
              <w:adjustRightInd w:val="0"/>
              <w:snapToGrid w:val="0"/>
              <w:ind w:firstLine="480"/>
              <w:jc w:val="left"/>
              <w:rPr>
                <w:bCs/>
                <w:color w:val="auto"/>
              </w:rPr>
            </w:pPr>
            <w:r>
              <w:rPr>
                <w:bCs/>
                <w:color w:val="auto"/>
              </w:rPr>
              <w:t>项目总投资</w:t>
            </w:r>
            <w:r>
              <w:rPr>
                <w:color w:val="auto"/>
                <w:szCs w:val="21"/>
              </w:rPr>
              <w:t>1</w:t>
            </w:r>
            <w:r>
              <w:rPr>
                <w:rFonts w:hint="eastAsia"/>
                <w:color w:val="auto"/>
                <w:szCs w:val="21"/>
              </w:rPr>
              <w:t>0</w:t>
            </w:r>
            <w:r>
              <w:rPr>
                <w:color w:val="auto"/>
                <w:szCs w:val="21"/>
              </w:rPr>
              <w:t>000</w:t>
            </w:r>
            <w:r>
              <w:rPr>
                <w:bCs/>
                <w:color w:val="auto"/>
              </w:rPr>
              <w:t>万元，其中环保投资</w:t>
            </w:r>
            <w:r>
              <w:rPr>
                <w:rFonts w:hint="eastAsia"/>
                <w:bCs/>
                <w:color w:val="auto"/>
              </w:rPr>
              <w:t>57</w:t>
            </w:r>
            <w:r>
              <w:rPr>
                <w:bCs/>
                <w:color w:val="auto"/>
              </w:rPr>
              <w:t>万元，约占总投资</w:t>
            </w:r>
            <w:r>
              <w:rPr>
                <w:rFonts w:hint="eastAsia"/>
                <w:bCs/>
                <w:color w:val="auto"/>
              </w:rPr>
              <w:t>0.57</w:t>
            </w:r>
            <w:r>
              <w:rPr>
                <w:bCs/>
                <w:color w:val="auto"/>
              </w:rPr>
              <w:t>%，主要用于废水、废气、固体废物和噪声污染的治理。</w:t>
            </w:r>
          </w:p>
          <w:p w14:paraId="2CFD559D">
            <w:pPr>
              <w:pStyle w:val="58"/>
              <w:ind w:firstLine="422"/>
              <w:rPr>
                <w:color w:val="auto"/>
              </w:rPr>
            </w:pPr>
            <w:r>
              <w:rPr>
                <w:color w:val="auto"/>
              </w:rPr>
              <w:t>表4-2</w:t>
            </w:r>
            <w:r>
              <w:rPr>
                <w:rFonts w:hint="eastAsia"/>
                <w:color w:val="auto"/>
                <w:lang w:val="en-US" w:eastAsia="zh-CN"/>
              </w:rPr>
              <w:t>3</w:t>
            </w:r>
            <w:r>
              <w:rPr>
                <w:color w:val="auto"/>
              </w:rPr>
              <w:t>项目环保防治措施及投资估算表</w:t>
            </w:r>
          </w:p>
          <w:tbl>
            <w:tblPr>
              <w:tblStyle w:val="83"/>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2006"/>
              <w:gridCol w:w="4179"/>
              <w:gridCol w:w="1286"/>
            </w:tblGrid>
            <w:tr w14:paraId="75DC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98" w:type="pct"/>
                  <w:tcBorders>
                    <w:tl2br w:val="nil"/>
                    <w:tr2bl w:val="nil"/>
                  </w:tcBorders>
                  <w:vAlign w:val="center"/>
                </w:tcPr>
                <w:p w14:paraId="42094EC5">
                  <w:pPr>
                    <w:pStyle w:val="145"/>
                    <w:rPr>
                      <w:rFonts w:ascii="Calibri" w:hAnsi="Calibri"/>
                      <w:b/>
                      <w:bCs w:val="0"/>
                      <w:color w:val="auto"/>
                      <w:lang w:eastAsia="en-US"/>
                    </w:rPr>
                  </w:pPr>
                  <w:r>
                    <w:rPr>
                      <w:rFonts w:ascii="Calibri" w:hAnsi="Calibri"/>
                      <w:b/>
                      <w:bCs w:val="0"/>
                      <w:color w:val="auto"/>
                      <w:lang w:eastAsia="en-US"/>
                    </w:rPr>
                    <w:t>污染</w:t>
                  </w:r>
                </w:p>
                <w:p w14:paraId="04666BCD">
                  <w:pPr>
                    <w:pStyle w:val="145"/>
                    <w:rPr>
                      <w:rFonts w:ascii="Calibri" w:hAnsi="Calibri"/>
                      <w:b/>
                      <w:bCs w:val="0"/>
                      <w:color w:val="auto"/>
                      <w:lang w:eastAsia="en-US"/>
                    </w:rPr>
                  </w:pPr>
                  <w:r>
                    <w:rPr>
                      <w:rFonts w:ascii="Calibri" w:hAnsi="Calibri"/>
                      <w:b/>
                      <w:bCs w:val="0"/>
                      <w:color w:val="auto"/>
                      <w:lang w:eastAsia="en-US"/>
                    </w:rPr>
                    <w:t>类别</w:t>
                  </w:r>
                </w:p>
              </w:tc>
              <w:tc>
                <w:tcPr>
                  <w:tcW w:w="1208" w:type="pct"/>
                  <w:tcBorders>
                    <w:tl2br w:val="nil"/>
                    <w:tr2bl w:val="nil"/>
                  </w:tcBorders>
                  <w:vAlign w:val="center"/>
                </w:tcPr>
                <w:p w14:paraId="770A590E">
                  <w:pPr>
                    <w:pStyle w:val="145"/>
                    <w:rPr>
                      <w:rFonts w:ascii="Calibri" w:hAnsi="Calibri"/>
                      <w:b/>
                      <w:bCs w:val="0"/>
                      <w:color w:val="auto"/>
                      <w:lang w:eastAsia="en-US"/>
                    </w:rPr>
                  </w:pPr>
                  <w:r>
                    <w:rPr>
                      <w:rFonts w:ascii="Calibri" w:hAnsi="Calibri"/>
                      <w:b/>
                      <w:bCs w:val="0"/>
                      <w:color w:val="auto"/>
                      <w:lang w:eastAsia="en-US"/>
                    </w:rPr>
                    <w:t>污染防治对象</w:t>
                  </w:r>
                </w:p>
              </w:tc>
              <w:tc>
                <w:tcPr>
                  <w:tcW w:w="2517" w:type="pct"/>
                  <w:tcBorders>
                    <w:tl2br w:val="nil"/>
                    <w:tr2bl w:val="nil"/>
                  </w:tcBorders>
                  <w:vAlign w:val="center"/>
                </w:tcPr>
                <w:p w14:paraId="79D04E00">
                  <w:pPr>
                    <w:pStyle w:val="145"/>
                    <w:rPr>
                      <w:rFonts w:ascii="Calibri" w:hAnsi="Calibri"/>
                      <w:b/>
                      <w:bCs w:val="0"/>
                      <w:color w:val="auto"/>
                      <w:lang w:eastAsia="en-US"/>
                    </w:rPr>
                  </w:pPr>
                  <w:r>
                    <w:rPr>
                      <w:rFonts w:ascii="Calibri" w:hAnsi="Calibri"/>
                      <w:b/>
                      <w:bCs w:val="0"/>
                      <w:color w:val="auto"/>
                      <w:lang w:eastAsia="en-US"/>
                    </w:rPr>
                    <w:t>治理措施</w:t>
                  </w:r>
                </w:p>
              </w:tc>
              <w:tc>
                <w:tcPr>
                  <w:tcW w:w="775" w:type="pct"/>
                  <w:tcBorders>
                    <w:tl2br w:val="nil"/>
                    <w:tr2bl w:val="nil"/>
                  </w:tcBorders>
                  <w:vAlign w:val="center"/>
                </w:tcPr>
                <w:p w14:paraId="7AB97F1F">
                  <w:pPr>
                    <w:pStyle w:val="145"/>
                    <w:rPr>
                      <w:rFonts w:ascii="Calibri" w:hAnsi="Calibri"/>
                      <w:b/>
                      <w:bCs w:val="0"/>
                      <w:color w:val="auto"/>
                      <w:lang w:eastAsia="en-US"/>
                    </w:rPr>
                  </w:pPr>
                  <w:r>
                    <w:rPr>
                      <w:rFonts w:ascii="Calibri" w:hAnsi="Calibri"/>
                      <w:b/>
                      <w:bCs w:val="0"/>
                      <w:color w:val="auto"/>
                      <w:lang w:eastAsia="en-US"/>
                    </w:rPr>
                    <w:t>投资估算</w:t>
                  </w:r>
                </w:p>
                <w:p w14:paraId="585C1367">
                  <w:pPr>
                    <w:pStyle w:val="145"/>
                    <w:rPr>
                      <w:rFonts w:ascii="Calibri" w:hAnsi="Calibri"/>
                      <w:b/>
                      <w:bCs w:val="0"/>
                      <w:color w:val="auto"/>
                      <w:lang w:eastAsia="en-US"/>
                    </w:rPr>
                  </w:pPr>
                  <w:r>
                    <w:rPr>
                      <w:rFonts w:ascii="Calibri" w:hAnsi="Calibri"/>
                      <w:b/>
                      <w:bCs w:val="0"/>
                      <w:color w:val="auto"/>
                      <w:lang w:eastAsia="en-US"/>
                    </w:rPr>
                    <w:t>（万元）</w:t>
                  </w:r>
                </w:p>
              </w:tc>
            </w:tr>
            <w:tr w14:paraId="47739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98" w:type="pct"/>
                  <w:tcBorders>
                    <w:tl2br w:val="nil"/>
                    <w:tr2bl w:val="nil"/>
                  </w:tcBorders>
                  <w:vAlign w:val="center"/>
                </w:tcPr>
                <w:p w14:paraId="151273A8">
                  <w:pPr>
                    <w:pStyle w:val="145"/>
                    <w:rPr>
                      <w:rFonts w:ascii="Calibri" w:hAnsi="Calibri"/>
                      <w:color w:val="auto"/>
                      <w:lang w:eastAsia="en-US"/>
                    </w:rPr>
                  </w:pPr>
                  <w:r>
                    <w:rPr>
                      <w:rFonts w:ascii="Calibri" w:hAnsi="Calibri"/>
                      <w:color w:val="auto"/>
                      <w:lang w:eastAsia="en-US"/>
                    </w:rPr>
                    <w:t>废水</w:t>
                  </w:r>
                </w:p>
              </w:tc>
              <w:tc>
                <w:tcPr>
                  <w:tcW w:w="1208" w:type="pct"/>
                  <w:tcBorders>
                    <w:tl2br w:val="nil"/>
                    <w:tr2bl w:val="nil"/>
                  </w:tcBorders>
                  <w:vAlign w:val="center"/>
                </w:tcPr>
                <w:p w14:paraId="0C9A9C9D">
                  <w:pPr>
                    <w:pStyle w:val="145"/>
                    <w:rPr>
                      <w:rFonts w:ascii="Calibri" w:hAnsi="Calibri"/>
                      <w:color w:val="auto"/>
                      <w:lang w:eastAsia="en-US"/>
                    </w:rPr>
                  </w:pPr>
                  <w:r>
                    <w:rPr>
                      <w:rFonts w:ascii="Calibri" w:hAnsi="Calibri"/>
                      <w:color w:val="auto"/>
                      <w:lang w:eastAsia="en-US"/>
                    </w:rPr>
                    <w:t>生活污水</w:t>
                  </w:r>
                </w:p>
              </w:tc>
              <w:tc>
                <w:tcPr>
                  <w:tcW w:w="2517" w:type="pct"/>
                  <w:tcBorders>
                    <w:tl2br w:val="nil"/>
                    <w:tr2bl w:val="nil"/>
                  </w:tcBorders>
                  <w:vAlign w:val="center"/>
                </w:tcPr>
                <w:p w14:paraId="7D03C67A">
                  <w:pPr>
                    <w:pStyle w:val="145"/>
                    <w:rPr>
                      <w:rFonts w:ascii="Calibri" w:hAnsi="Calibri"/>
                      <w:color w:val="auto"/>
                      <w:lang w:eastAsia="en-US"/>
                    </w:rPr>
                  </w:pPr>
                  <w:r>
                    <w:rPr>
                      <w:rFonts w:hint="eastAsia" w:ascii="Calibri" w:hAnsi="Calibri"/>
                      <w:color w:val="auto"/>
                      <w:lang w:eastAsia="en-US"/>
                    </w:rPr>
                    <w:t>依托租赁厂区现有</w:t>
                  </w:r>
                  <w:r>
                    <w:rPr>
                      <w:rFonts w:ascii="Calibri" w:hAnsi="Calibri"/>
                      <w:color w:val="auto"/>
                      <w:lang w:eastAsia="en-US"/>
                    </w:rPr>
                    <w:t>化粪池</w:t>
                  </w:r>
                </w:p>
              </w:tc>
              <w:tc>
                <w:tcPr>
                  <w:tcW w:w="775" w:type="pct"/>
                  <w:tcBorders>
                    <w:tl2br w:val="nil"/>
                    <w:tr2bl w:val="nil"/>
                  </w:tcBorders>
                  <w:vAlign w:val="center"/>
                </w:tcPr>
                <w:p w14:paraId="7FBE0F5D">
                  <w:pPr>
                    <w:pStyle w:val="145"/>
                    <w:rPr>
                      <w:rFonts w:hint="eastAsia" w:ascii="Calibri" w:hAnsi="Calibri"/>
                      <w:color w:val="auto"/>
                      <w:lang w:eastAsia="en-US"/>
                    </w:rPr>
                  </w:pPr>
                  <w:r>
                    <w:rPr>
                      <w:rFonts w:hint="eastAsia" w:ascii="Calibri" w:hAnsi="Calibri"/>
                      <w:color w:val="auto"/>
                      <w:lang w:eastAsia="en-US"/>
                    </w:rPr>
                    <w:t>0</w:t>
                  </w:r>
                </w:p>
              </w:tc>
            </w:tr>
            <w:tr w14:paraId="4B36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98" w:type="pct"/>
                  <w:tcBorders>
                    <w:tl2br w:val="nil"/>
                    <w:tr2bl w:val="nil"/>
                  </w:tcBorders>
                  <w:vAlign w:val="center"/>
                </w:tcPr>
                <w:p w14:paraId="6D6D9F0D">
                  <w:pPr>
                    <w:pStyle w:val="145"/>
                    <w:rPr>
                      <w:rFonts w:ascii="Calibri" w:hAnsi="Calibri"/>
                      <w:color w:val="auto"/>
                      <w:lang w:eastAsia="en-US"/>
                    </w:rPr>
                  </w:pPr>
                  <w:r>
                    <w:rPr>
                      <w:rFonts w:ascii="Calibri" w:hAnsi="Calibri"/>
                      <w:color w:val="auto"/>
                      <w:lang w:eastAsia="en-US"/>
                    </w:rPr>
                    <w:t>废气</w:t>
                  </w:r>
                </w:p>
              </w:tc>
              <w:tc>
                <w:tcPr>
                  <w:tcW w:w="1208" w:type="pct"/>
                  <w:tcBorders>
                    <w:tl2br w:val="nil"/>
                    <w:tr2bl w:val="nil"/>
                  </w:tcBorders>
                  <w:vAlign w:val="center"/>
                </w:tcPr>
                <w:p w14:paraId="5FD6CFD0">
                  <w:pPr>
                    <w:pStyle w:val="145"/>
                    <w:rPr>
                      <w:rFonts w:ascii="Calibri" w:hAnsi="Calibri"/>
                      <w:color w:val="auto"/>
                      <w:lang w:eastAsia="en-US"/>
                    </w:rPr>
                  </w:pPr>
                  <w:r>
                    <w:rPr>
                      <w:rFonts w:ascii="Calibri" w:hAnsi="Calibri"/>
                      <w:color w:val="auto"/>
                      <w:lang w:eastAsia="en-US"/>
                    </w:rPr>
                    <w:t>注塑废气、热转印废气、印刷、烘干废气、注墨废气</w:t>
                  </w:r>
                </w:p>
              </w:tc>
              <w:tc>
                <w:tcPr>
                  <w:tcW w:w="2517" w:type="pct"/>
                  <w:tcBorders>
                    <w:tl2br w:val="nil"/>
                    <w:tr2bl w:val="nil"/>
                  </w:tcBorders>
                  <w:vAlign w:val="center"/>
                </w:tcPr>
                <w:p w14:paraId="3A07A39F">
                  <w:pPr>
                    <w:pStyle w:val="145"/>
                    <w:rPr>
                      <w:rFonts w:ascii="Calibri" w:hAnsi="Calibri"/>
                      <w:color w:val="auto"/>
                      <w:lang w:eastAsia="en-US"/>
                    </w:rPr>
                  </w:pPr>
                  <w:r>
                    <w:rPr>
                      <w:rFonts w:ascii="Calibri" w:hAnsi="Calibri"/>
                      <w:color w:val="auto"/>
                      <w:kern w:val="0"/>
                      <w:szCs w:val="21"/>
                      <w:lang w:eastAsia="en-US"/>
                    </w:rPr>
                    <w:t>注塑废气、热转印废气、印刷、烘干废气、注墨废气经风机引入“二级活性炭”废气处理装置处理，处理后废气经15m高（DA001）排气筒排放，风机风量为15000m³/h，收集效率为90%，处理效率为90%</w:t>
                  </w:r>
                </w:p>
              </w:tc>
              <w:tc>
                <w:tcPr>
                  <w:tcW w:w="775" w:type="pct"/>
                  <w:tcBorders>
                    <w:tl2br w:val="nil"/>
                    <w:tr2bl w:val="nil"/>
                  </w:tcBorders>
                  <w:vAlign w:val="center"/>
                </w:tcPr>
                <w:p w14:paraId="25CE74F8">
                  <w:pPr>
                    <w:pStyle w:val="145"/>
                    <w:rPr>
                      <w:rFonts w:ascii="Calibri" w:hAnsi="Calibri"/>
                      <w:color w:val="auto"/>
                      <w:lang w:eastAsia="en-US"/>
                    </w:rPr>
                  </w:pPr>
                  <w:r>
                    <w:rPr>
                      <w:rFonts w:hint="eastAsia" w:ascii="Calibri" w:hAnsi="Calibri"/>
                      <w:color w:val="auto"/>
                      <w:lang w:eastAsia="en-US"/>
                    </w:rPr>
                    <w:t>30</w:t>
                  </w:r>
                </w:p>
              </w:tc>
            </w:tr>
            <w:tr w14:paraId="2D95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8" w:type="pct"/>
                  <w:tcBorders>
                    <w:tl2br w:val="nil"/>
                    <w:tr2bl w:val="nil"/>
                  </w:tcBorders>
                  <w:vAlign w:val="center"/>
                </w:tcPr>
                <w:p w14:paraId="68735A29">
                  <w:pPr>
                    <w:pStyle w:val="145"/>
                    <w:rPr>
                      <w:rFonts w:ascii="Calibri" w:hAnsi="Calibri"/>
                      <w:color w:val="auto"/>
                      <w:lang w:eastAsia="en-US"/>
                    </w:rPr>
                  </w:pPr>
                  <w:r>
                    <w:rPr>
                      <w:rFonts w:ascii="Calibri" w:hAnsi="Calibri"/>
                      <w:color w:val="auto"/>
                      <w:lang w:eastAsia="en-US"/>
                    </w:rPr>
                    <w:t>噪声</w:t>
                  </w:r>
                </w:p>
              </w:tc>
              <w:tc>
                <w:tcPr>
                  <w:tcW w:w="1208" w:type="pct"/>
                  <w:tcBorders>
                    <w:tl2br w:val="nil"/>
                    <w:tr2bl w:val="nil"/>
                  </w:tcBorders>
                  <w:vAlign w:val="center"/>
                </w:tcPr>
                <w:p w14:paraId="43F2A7EF">
                  <w:pPr>
                    <w:pStyle w:val="145"/>
                    <w:rPr>
                      <w:rFonts w:ascii="Calibri" w:hAnsi="Calibri"/>
                      <w:color w:val="auto"/>
                      <w:lang w:eastAsia="en-US"/>
                    </w:rPr>
                  </w:pPr>
                  <w:r>
                    <w:rPr>
                      <w:rFonts w:ascii="Calibri" w:hAnsi="Calibri"/>
                      <w:color w:val="auto"/>
                      <w:lang w:eastAsia="en-US"/>
                    </w:rPr>
                    <w:t>设备噪声等</w:t>
                  </w:r>
                </w:p>
              </w:tc>
              <w:tc>
                <w:tcPr>
                  <w:tcW w:w="2517" w:type="pct"/>
                  <w:tcBorders>
                    <w:tl2br w:val="nil"/>
                    <w:tr2bl w:val="nil"/>
                  </w:tcBorders>
                  <w:vAlign w:val="center"/>
                </w:tcPr>
                <w:p w14:paraId="645DB1FB">
                  <w:pPr>
                    <w:pStyle w:val="145"/>
                    <w:rPr>
                      <w:rFonts w:ascii="Calibri" w:hAnsi="Calibri"/>
                      <w:color w:val="auto"/>
                      <w:lang w:eastAsia="en-US"/>
                    </w:rPr>
                  </w:pPr>
                  <w:r>
                    <w:rPr>
                      <w:rFonts w:ascii="Calibri" w:hAnsi="Calibri"/>
                      <w:color w:val="auto"/>
                      <w:lang w:eastAsia="en-US"/>
                    </w:rPr>
                    <w:t>消声、减振、密闭隔声、设备保养等</w:t>
                  </w:r>
                </w:p>
              </w:tc>
              <w:tc>
                <w:tcPr>
                  <w:tcW w:w="775" w:type="pct"/>
                  <w:tcBorders>
                    <w:tl2br w:val="nil"/>
                    <w:tr2bl w:val="nil"/>
                  </w:tcBorders>
                  <w:vAlign w:val="center"/>
                </w:tcPr>
                <w:p w14:paraId="5C34AEDA">
                  <w:pPr>
                    <w:pStyle w:val="145"/>
                    <w:rPr>
                      <w:rFonts w:ascii="Calibri" w:hAnsi="Calibri"/>
                      <w:color w:val="auto"/>
                      <w:lang w:eastAsia="en-US"/>
                    </w:rPr>
                  </w:pPr>
                  <w:r>
                    <w:rPr>
                      <w:rFonts w:hint="eastAsia" w:ascii="Calibri" w:hAnsi="Calibri"/>
                      <w:color w:val="auto"/>
                      <w:lang w:eastAsia="en-US"/>
                    </w:rPr>
                    <w:t>10</w:t>
                  </w:r>
                </w:p>
              </w:tc>
            </w:tr>
            <w:tr w14:paraId="177A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98" w:type="pct"/>
                  <w:vMerge w:val="restart"/>
                  <w:tcBorders>
                    <w:tl2br w:val="nil"/>
                    <w:tr2bl w:val="nil"/>
                  </w:tcBorders>
                  <w:vAlign w:val="center"/>
                </w:tcPr>
                <w:p w14:paraId="54E3D8FC">
                  <w:pPr>
                    <w:pStyle w:val="145"/>
                    <w:rPr>
                      <w:rFonts w:ascii="Calibri" w:hAnsi="Calibri"/>
                      <w:color w:val="auto"/>
                      <w:lang w:eastAsia="en-US"/>
                    </w:rPr>
                  </w:pPr>
                </w:p>
                <w:p w14:paraId="04D8C2DD">
                  <w:pPr>
                    <w:pStyle w:val="145"/>
                    <w:rPr>
                      <w:rFonts w:ascii="Calibri" w:hAnsi="Calibri"/>
                      <w:color w:val="auto"/>
                      <w:lang w:eastAsia="en-US"/>
                    </w:rPr>
                  </w:pPr>
                </w:p>
                <w:p w14:paraId="50378A88">
                  <w:pPr>
                    <w:pStyle w:val="145"/>
                    <w:rPr>
                      <w:rFonts w:ascii="Calibri" w:hAnsi="Calibri"/>
                      <w:color w:val="auto"/>
                      <w:lang w:eastAsia="en-US"/>
                    </w:rPr>
                  </w:pPr>
                  <w:r>
                    <w:rPr>
                      <w:rFonts w:ascii="Calibri" w:hAnsi="Calibri"/>
                      <w:color w:val="auto"/>
                      <w:lang w:eastAsia="en-US"/>
                    </w:rPr>
                    <w:t>固废</w:t>
                  </w:r>
                </w:p>
              </w:tc>
              <w:tc>
                <w:tcPr>
                  <w:tcW w:w="1208" w:type="pct"/>
                  <w:tcBorders>
                    <w:tl2br w:val="nil"/>
                    <w:tr2bl w:val="nil"/>
                  </w:tcBorders>
                  <w:vAlign w:val="center"/>
                </w:tcPr>
                <w:p w14:paraId="54F04E56">
                  <w:pPr>
                    <w:pStyle w:val="145"/>
                    <w:rPr>
                      <w:rFonts w:ascii="Calibri" w:hAnsi="Calibri"/>
                      <w:color w:val="auto"/>
                      <w:lang w:eastAsia="en-US"/>
                    </w:rPr>
                  </w:pPr>
                  <w:r>
                    <w:rPr>
                      <w:rFonts w:ascii="Calibri" w:hAnsi="Calibri"/>
                      <w:color w:val="auto"/>
                      <w:lang w:eastAsia="en-US"/>
                    </w:rPr>
                    <w:t>生活垃圾</w:t>
                  </w:r>
                </w:p>
              </w:tc>
              <w:tc>
                <w:tcPr>
                  <w:tcW w:w="2517" w:type="pct"/>
                  <w:tcBorders>
                    <w:tl2br w:val="nil"/>
                    <w:tr2bl w:val="nil"/>
                  </w:tcBorders>
                  <w:vAlign w:val="center"/>
                </w:tcPr>
                <w:p w14:paraId="3457B2C7">
                  <w:pPr>
                    <w:pStyle w:val="145"/>
                    <w:rPr>
                      <w:rFonts w:ascii="Calibri" w:hAnsi="Calibri"/>
                      <w:color w:val="auto"/>
                      <w:lang w:eastAsia="en-US"/>
                    </w:rPr>
                  </w:pPr>
                  <w:r>
                    <w:rPr>
                      <w:rFonts w:ascii="Calibri" w:hAnsi="Calibri"/>
                      <w:color w:val="auto"/>
                      <w:lang w:eastAsia="en-US"/>
                    </w:rPr>
                    <w:t>垃圾桶</w:t>
                  </w:r>
                </w:p>
              </w:tc>
              <w:tc>
                <w:tcPr>
                  <w:tcW w:w="775" w:type="pct"/>
                  <w:tcBorders>
                    <w:tl2br w:val="nil"/>
                    <w:tr2bl w:val="nil"/>
                  </w:tcBorders>
                  <w:vAlign w:val="center"/>
                </w:tcPr>
                <w:p w14:paraId="4CE4415B">
                  <w:pPr>
                    <w:pStyle w:val="145"/>
                    <w:rPr>
                      <w:rFonts w:ascii="Calibri" w:hAnsi="Calibri"/>
                      <w:color w:val="auto"/>
                      <w:lang w:eastAsia="en-US"/>
                    </w:rPr>
                  </w:pPr>
                  <w:r>
                    <w:rPr>
                      <w:rFonts w:hint="eastAsia" w:ascii="Calibri" w:hAnsi="Calibri"/>
                      <w:color w:val="auto"/>
                      <w:lang w:eastAsia="en-US"/>
                    </w:rPr>
                    <w:t>0.5</w:t>
                  </w:r>
                </w:p>
              </w:tc>
            </w:tr>
            <w:tr w14:paraId="4EE8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98" w:type="pct"/>
                  <w:vMerge w:val="continue"/>
                  <w:tcBorders>
                    <w:tl2br w:val="nil"/>
                    <w:tr2bl w:val="nil"/>
                  </w:tcBorders>
                  <w:vAlign w:val="center"/>
                </w:tcPr>
                <w:p w14:paraId="462AB8AF">
                  <w:pPr>
                    <w:pStyle w:val="145"/>
                    <w:rPr>
                      <w:rFonts w:ascii="Calibri" w:hAnsi="Calibri"/>
                      <w:color w:val="auto"/>
                      <w:lang w:eastAsia="en-US"/>
                    </w:rPr>
                  </w:pPr>
                </w:p>
              </w:tc>
              <w:tc>
                <w:tcPr>
                  <w:tcW w:w="1208" w:type="pct"/>
                  <w:tcBorders>
                    <w:tl2br w:val="nil"/>
                    <w:tr2bl w:val="nil"/>
                  </w:tcBorders>
                  <w:vAlign w:val="center"/>
                </w:tcPr>
                <w:p w14:paraId="7FD6963B">
                  <w:pPr>
                    <w:pStyle w:val="145"/>
                    <w:rPr>
                      <w:rFonts w:ascii="Calibri" w:hAnsi="Calibri"/>
                      <w:color w:val="auto"/>
                      <w:lang w:eastAsia="en-US"/>
                    </w:rPr>
                  </w:pPr>
                  <w:r>
                    <w:rPr>
                      <w:rFonts w:ascii="Calibri" w:hAnsi="Calibri"/>
                      <w:color w:val="auto"/>
                      <w:lang w:eastAsia="en-US"/>
                    </w:rPr>
                    <w:t>一般工业固体废物</w:t>
                  </w:r>
                </w:p>
              </w:tc>
              <w:tc>
                <w:tcPr>
                  <w:tcW w:w="2517" w:type="pct"/>
                  <w:tcBorders>
                    <w:tl2br w:val="nil"/>
                    <w:tr2bl w:val="nil"/>
                  </w:tcBorders>
                  <w:vAlign w:val="center"/>
                </w:tcPr>
                <w:p w14:paraId="49DA702C">
                  <w:pPr>
                    <w:pStyle w:val="145"/>
                    <w:rPr>
                      <w:rFonts w:ascii="Calibri" w:hAnsi="Calibri"/>
                      <w:color w:val="auto"/>
                      <w:lang w:eastAsia="en-US"/>
                    </w:rPr>
                  </w:pPr>
                  <w:r>
                    <w:rPr>
                      <w:rFonts w:ascii="Calibri" w:hAnsi="Calibri"/>
                      <w:color w:val="auto"/>
                      <w:lang w:eastAsia="en-US"/>
                    </w:rPr>
                    <w:t>建设</w:t>
                  </w:r>
                  <w:r>
                    <w:rPr>
                      <w:rFonts w:hint="eastAsia" w:ascii="Calibri" w:hAnsi="Calibri"/>
                      <w:color w:val="auto"/>
                      <w:lang w:eastAsia="en-US"/>
                    </w:rPr>
                    <w:t>20</w:t>
                  </w:r>
                  <w:r>
                    <w:rPr>
                      <w:rFonts w:ascii="Calibri" w:hAnsi="Calibri"/>
                      <w:color w:val="auto"/>
                      <w:lang w:eastAsia="en-US"/>
                    </w:rPr>
                    <w:t>m</w:t>
                  </w:r>
                  <w:r>
                    <w:rPr>
                      <w:rFonts w:ascii="Calibri" w:hAnsi="Calibri"/>
                      <w:color w:val="auto"/>
                      <w:vertAlign w:val="superscript"/>
                      <w:lang w:eastAsia="en-US"/>
                    </w:rPr>
                    <w:t>2</w:t>
                  </w:r>
                  <w:r>
                    <w:rPr>
                      <w:rFonts w:ascii="Calibri" w:hAnsi="Calibri"/>
                      <w:color w:val="auto"/>
                      <w:lang w:eastAsia="en-US"/>
                    </w:rPr>
                    <w:t>一般工业固体废物暂存间</w:t>
                  </w:r>
                </w:p>
              </w:tc>
              <w:tc>
                <w:tcPr>
                  <w:tcW w:w="775" w:type="pct"/>
                  <w:tcBorders>
                    <w:tl2br w:val="nil"/>
                    <w:tr2bl w:val="nil"/>
                  </w:tcBorders>
                  <w:vAlign w:val="center"/>
                </w:tcPr>
                <w:p w14:paraId="088754AA">
                  <w:pPr>
                    <w:pStyle w:val="145"/>
                    <w:rPr>
                      <w:rFonts w:ascii="Calibri" w:hAnsi="Calibri"/>
                      <w:color w:val="auto"/>
                      <w:lang w:eastAsia="en-US"/>
                    </w:rPr>
                  </w:pPr>
                  <w:r>
                    <w:rPr>
                      <w:rFonts w:hint="eastAsia" w:ascii="Calibri" w:hAnsi="Calibri"/>
                      <w:color w:val="auto"/>
                      <w:lang w:eastAsia="en-US"/>
                    </w:rPr>
                    <w:t>1.5</w:t>
                  </w:r>
                </w:p>
              </w:tc>
            </w:tr>
            <w:tr w14:paraId="23A9A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98" w:type="pct"/>
                  <w:vMerge w:val="continue"/>
                  <w:tcBorders>
                    <w:tl2br w:val="nil"/>
                    <w:tr2bl w:val="nil"/>
                  </w:tcBorders>
                  <w:vAlign w:val="center"/>
                </w:tcPr>
                <w:p w14:paraId="5CFB8D14">
                  <w:pPr>
                    <w:pStyle w:val="145"/>
                    <w:rPr>
                      <w:rFonts w:ascii="Calibri" w:hAnsi="Calibri"/>
                      <w:color w:val="auto"/>
                      <w:lang w:eastAsia="en-US"/>
                    </w:rPr>
                  </w:pPr>
                </w:p>
              </w:tc>
              <w:tc>
                <w:tcPr>
                  <w:tcW w:w="1208" w:type="pct"/>
                  <w:tcBorders>
                    <w:tl2br w:val="nil"/>
                    <w:tr2bl w:val="nil"/>
                  </w:tcBorders>
                  <w:vAlign w:val="center"/>
                </w:tcPr>
                <w:p w14:paraId="49629DBA">
                  <w:pPr>
                    <w:pStyle w:val="145"/>
                    <w:rPr>
                      <w:rFonts w:ascii="Calibri" w:hAnsi="Calibri"/>
                      <w:color w:val="auto"/>
                      <w:lang w:eastAsia="en-US"/>
                    </w:rPr>
                  </w:pPr>
                  <w:r>
                    <w:rPr>
                      <w:rFonts w:ascii="Calibri" w:hAnsi="Calibri"/>
                      <w:color w:val="auto"/>
                      <w:lang w:eastAsia="en-US"/>
                    </w:rPr>
                    <w:t>危险废物</w:t>
                  </w:r>
                </w:p>
              </w:tc>
              <w:tc>
                <w:tcPr>
                  <w:tcW w:w="2517" w:type="pct"/>
                  <w:tcBorders>
                    <w:tl2br w:val="nil"/>
                    <w:tr2bl w:val="nil"/>
                  </w:tcBorders>
                  <w:vAlign w:val="center"/>
                </w:tcPr>
                <w:p w14:paraId="4AFD7894">
                  <w:pPr>
                    <w:pStyle w:val="145"/>
                    <w:rPr>
                      <w:rFonts w:ascii="Calibri" w:hAnsi="Calibri"/>
                      <w:color w:val="auto"/>
                      <w:lang w:eastAsia="en-US"/>
                    </w:rPr>
                  </w:pPr>
                  <w:r>
                    <w:rPr>
                      <w:rFonts w:ascii="Calibri" w:hAnsi="Calibri"/>
                      <w:color w:val="auto"/>
                      <w:lang w:eastAsia="en-US"/>
                    </w:rPr>
                    <w:t>建设</w:t>
                  </w:r>
                  <w:r>
                    <w:rPr>
                      <w:rFonts w:hint="eastAsia" w:ascii="Calibri" w:hAnsi="Calibri"/>
                      <w:color w:val="auto"/>
                      <w:lang w:eastAsia="en-US"/>
                    </w:rPr>
                    <w:t>15</w:t>
                  </w:r>
                  <w:r>
                    <w:rPr>
                      <w:rFonts w:ascii="Calibri" w:hAnsi="Calibri"/>
                      <w:color w:val="auto"/>
                      <w:lang w:eastAsia="en-US"/>
                    </w:rPr>
                    <w:t>m</w:t>
                  </w:r>
                  <w:r>
                    <w:rPr>
                      <w:rFonts w:ascii="Calibri" w:hAnsi="Calibri"/>
                      <w:color w:val="auto"/>
                      <w:vertAlign w:val="superscript"/>
                      <w:lang w:eastAsia="en-US"/>
                    </w:rPr>
                    <w:t>2</w:t>
                  </w:r>
                  <w:r>
                    <w:rPr>
                      <w:rFonts w:ascii="Calibri" w:hAnsi="Calibri"/>
                      <w:color w:val="auto"/>
                      <w:lang w:eastAsia="en-US"/>
                    </w:rPr>
                    <w:t>危险废物暂存间</w:t>
                  </w:r>
                </w:p>
              </w:tc>
              <w:tc>
                <w:tcPr>
                  <w:tcW w:w="775" w:type="pct"/>
                  <w:tcBorders>
                    <w:tl2br w:val="nil"/>
                    <w:tr2bl w:val="nil"/>
                  </w:tcBorders>
                  <w:vAlign w:val="center"/>
                </w:tcPr>
                <w:p w14:paraId="32D4D31E">
                  <w:pPr>
                    <w:pStyle w:val="145"/>
                    <w:rPr>
                      <w:rFonts w:hint="eastAsia" w:ascii="Calibri" w:hAnsi="Calibri"/>
                      <w:color w:val="auto"/>
                      <w:lang w:eastAsia="en-US"/>
                    </w:rPr>
                  </w:pPr>
                  <w:r>
                    <w:rPr>
                      <w:rFonts w:hint="eastAsia" w:ascii="Calibri" w:hAnsi="Calibri"/>
                      <w:color w:val="auto"/>
                      <w:lang w:eastAsia="en-US"/>
                    </w:rPr>
                    <w:t>5</w:t>
                  </w:r>
                </w:p>
              </w:tc>
            </w:tr>
            <w:tr w14:paraId="751D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707" w:type="pct"/>
                  <w:gridSpan w:val="2"/>
                  <w:tcBorders>
                    <w:tl2br w:val="nil"/>
                    <w:tr2bl w:val="nil"/>
                  </w:tcBorders>
                  <w:vAlign w:val="center"/>
                </w:tcPr>
                <w:p w14:paraId="2E70CBB4">
                  <w:pPr>
                    <w:pStyle w:val="145"/>
                    <w:rPr>
                      <w:rFonts w:ascii="Calibri" w:hAnsi="Calibri"/>
                      <w:color w:val="auto"/>
                      <w:lang w:eastAsia="en-US"/>
                    </w:rPr>
                  </w:pPr>
                  <w:r>
                    <w:rPr>
                      <w:rFonts w:ascii="Calibri" w:hAnsi="Calibri"/>
                      <w:color w:val="auto"/>
                      <w:lang w:eastAsia="en-US"/>
                    </w:rPr>
                    <w:t>地下水、土壤</w:t>
                  </w:r>
                </w:p>
              </w:tc>
              <w:tc>
                <w:tcPr>
                  <w:tcW w:w="2517" w:type="pct"/>
                  <w:tcBorders>
                    <w:tl2br w:val="nil"/>
                    <w:tr2bl w:val="nil"/>
                  </w:tcBorders>
                  <w:vAlign w:val="center"/>
                </w:tcPr>
                <w:p w14:paraId="6423AD34">
                  <w:pPr>
                    <w:pStyle w:val="145"/>
                    <w:rPr>
                      <w:rFonts w:ascii="Calibri" w:hAnsi="Calibri"/>
                      <w:color w:val="auto"/>
                      <w:lang w:eastAsia="en-US"/>
                    </w:rPr>
                  </w:pPr>
                  <w:r>
                    <w:rPr>
                      <w:rFonts w:ascii="Calibri" w:hAnsi="Calibri"/>
                      <w:color w:val="auto"/>
                      <w:lang w:eastAsia="en-US"/>
                    </w:rPr>
                    <w:t>一般防渗、重点防渗</w:t>
                  </w:r>
                </w:p>
              </w:tc>
              <w:tc>
                <w:tcPr>
                  <w:tcW w:w="775" w:type="pct"/>
                  <w:tcBorders>
                    <w:tl2br w:val="nil"/>
                    <w:tr2bl w:val="nil"/>
                  </w:tcBorders>
                  <w:vAlign w:val="center"/>
                </w:tcPr>
                <w:p w14:paraId="542C456B">
                  <w:pPr>
                    <w:pStyle w:val="145"/>
                    <w:rPr>
                      <w:rFonts w:ascii="Calibri" w:hAnsi="Calibri"/>
                      <w:color w:val="auto"/>
                      <w:lang w:eastAsia="en-US"/>
                    </w:rPr>
                  </w:pPr>
                  <w:r>
                    <w:rPr>
                      <w:rFonts w:hint="eastAsia" w:ascii="Calibri" w:hAnsi="Calibri"/>
                      <w:color w:val="auto"/>
                      <w:lang w:eastAsia="en-US"/>
                    </w:rPr>
                    <w:t>10</w:t>
                  </w:r>
                </w:p>
              </w:tc>
            </w:tr>
            <w:tr w14:paraId="1B1D3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224" w:type="pct"/>
                  <w:gridSpan w:val="3"/>
                  <w:tcBorders>
                    <w:tl2br w:val="nil"/>
                    <w:tr2bl w:val="nil"/>
                  </w:tcBorders>
                  <w:vAlign w:val="center"/>
                </w:tcPr>
                <w:p w14:paraId="1A583261">
                  <w:pPr>
                    <w:pStyle w:val="145"/>
                    <w:rPr>
                      <w:rFonts w:ascii="Calibri" w:hAnsi="Calibri"/>
                      <w:color w:val="auto"/>
                      <w:lang w:eastAsia="en-US"/>
                    </w:rPr>
                  </w:pPr>
                  <w:r>
                    <w:rPr>
                      <w:rFonts w:ascii="Calibri" w:hAnsi="Calibri"/>
                      <w:color w:val="auto"/>
                      <w:lang w:eastAsia="en-US"/>
                    </w:rPr>
                    <w:t>合计</w:t>
                  </w:r>
                </w:p>
              </w:tc>
              <w:tc>
                <w:tcPr>
                  <w:tcW w:w="775" w:type="pct"/>
                  <w:tcBorders>
                    <w:tl2br w:val="nil"/>
                    <w:tr2bl w:val="nil"/>
                  </w:tcBorders>
                  <w:vAlign w:val="center"/>
                </w:tcPr>
                <w:p w14:paraId="50027667">
                  <w:pPr>
                    <w:pStyle w:val="145"/>
                    <w:rPr>
                      <w:rFonts w:ascii="Calibri" w:hAnsi="Calibri"/>
                      <w:color w:val="auto"/>
                      <w:lang w:eastAsia="en-US"/>
                    </w:rPr>
                  </w:pPr>
                  <w:r>
                    <w:rPr>
                      <w:rFonts w:hint="eastAsia" w:ascii="Calibri" w:hAnsi="Calibri"/>
                      <w:color w:val="auto"/>
                      <w:lang w:eastAsia="en-US"/>
                    </w:rPr>
                    <w:t>57</w:t>
                  </w:r>
                </w:p>
              </w:tc>
            </w:tr>
          </w:tbl>
          <w:p w14:paraId="3BE1E2FA">
            <w:pPr>
              <w:pStyle w:val="23"/>
              <w:ind w:left="0" w:leftChars="0" w:firstLine="0" w:firstLineChars="0"/>
              <w:rPr>
                <w:rFonts w:hint="eastAsia"/>
                <w:color w:val="auto"/>
              </w:rPr>
            </w:pPr>
          </w:p>
          <w:p w14:paraId="28F5DE07">
            <w:pPr>
              <w:pStyle w:val="23"/>
              <w:ind w:left="0" w:leftChars="0" w:firstLine="0" w:firstLineChars="0"/>
              <w:rPr>
                <w:rFonts w:hint="eastAsia"/>
                <w:color w:val="auto"/>
              </w:rPr>
            </w:pPr>
          </w:p>
          <w:p w14:paraId="68DA9340">
            <w:pPr>
              <w:pStyle w:val="14"/>
              <w:ind w:left="480"/>
              <w:rPr>
                <w:rFonts w:hint="eastAsia"/>
                <w:color w:val="auto"/>
              </w:rPr>
            </w:pPr>
          </w:p>
          <w:p w14:paraId="06227A16">
            <w:pPr>
              <w:pStyle w:val="14"/>
              <w:ind w:left="480"/>
              <w:rPr>
                <w:rFonts w:hint="eastAsia"/>
                <w:color w:val="auto"/>
              </w:rPr>
            </w:pPr>
          </w:p>
          <w:p w14:paraId="69BD6D24">
            <w:pPr>
              <w:pStyle w:val="14"/>
              <w:ind w:left="480"/>
              <w:rPr>
                <w:rFonts w:hint="eastAsia"/>
                <w:color w:val="auto"/>
              </w:rPr>
            </w:pPr>
          </w:p>
          <w:p w14:paraId="050C1FF7">
            <w:pPr>
              <w:pStyle w:val="14"/>
              <w:ind w:left="0" w:leftChars="0" w:firstLine="0" w:firstLineChars="0"/>
              <w:rPr>
                <w:color w:val="auto"/>
              </w:rPr>
            </w:pPr>
          </w:p>
        </w:tc>
      </w:tr>
      <w:tr w14:paraId="34C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9" w:hRule="atLeast"/>
        </w:trPr>
        <w:tc>
          <w:tcPr>
            <w:tcW w:w="760" w:type="dxa"/>
          </w:tcPr>
          <w:p w14:paraId="2CF7AD2B">
            <w:pPr>
              <w:adjustRightInd w:val="0"/>
              <w:snapToGrid w:val="0"/>
              <w:spacing w:line="240" w:lineRule="auto"/>
              <w:ind w:firstLine="0" w:firstLineChars="0"/>
              <w:rPr>
                <w:rFonts w:hint="eastAsia"/>
                <w:b/>
                <w:bCs/>
                <w:color w:val="auto"/>
              </w:rPr>
            </w:pPr>
          </w:p>
        </w:tc>
        <w:tc>
          <w:tcPr>
            <w:tcW w:w="8532" w:type="dxa"/>
            <w:vMerge w:val="continue"/>
          </w:tcPr>
          <w:p w14:paraId="164C5D61">
            <w:pPr>
              <w:pStyle w:val="79"/>
              <w:spacing w:before="24" w:after="24" w:line="360" w:lineRule="auto"/>
              <w:ind w:firstLine="480" w:firstLineChars="200"/>
              <w:rPr>
                <w:color w:val="auto"/>
              </w:rPr>
            </w:pPr>
          </w:p>
        </w:tc>
      </w:tr>
      <w:tr w14:paraId="1080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9" w:hRule="atLeast"/>
        </w:trPr>
        <w:tc>
          <w:tcPr>
            <w:tcW w:w="760" w:type="dxa"/>
            <w:vAlign w:val="center"/>
          </w:tcPr>
          <w:p w14:paraId="4E405023">
            <w:pPr>
              <w:spacing w:line="240" w:lineRule="auto"/>
              <w:ind w:firstLine="0" w:firstLineChars="0"/>
              <w:jc w:val="center"/>
              <w:rPr>
                <w:b/>
                <w:bCs/>
                <w:color w:val="auto"/>
              </w:rPr>
            </w:pPr>
            <w:r>
              <w:rPr>
                <w:rFonts w:hint="eastAsia"/>
                <w:b/>
                <w:bCs/>
                <w:color w:val="auto"/>
              </w:rPr>
              <w:t>运营</w:t>
            </w:r>
          </w:p>
          <w:p w14:paraId="24FCD9C5">
            <w:pPr>
              <w:spacing w:line="240" w:lineRule="auto"/>
              <w:ind w:firstLine="0" w:firstLineChars="0"/>
              <w:jc w:val="center"/>
              <w:rPr>
                <w:b/>
                <w:bCs/>
                <w:color w:val="auto"/>
              </w:rPr>
            </w:pPr>
            <w:r>
              <w:rPr>
                <w:rFonts w:hint="eastAsia"/>
                <w:b/>
                <w:bCs/>
                <w:color w:val="auto"/>
              </w:rPr>
              <w:t>期环</w:t>
            </w:r>
          </w:p>
          <w:p w14:paraId="2D2D04C7">
            <w:pPr>
              <w:spacing w:line="240" w:lineRule="auto"/>
              <w:ind w:firstLine="0" w:firstLineChars="0"/>
              <w:jc w:val="center"/>
              <w:rPr>
                <w:b/>
                <w:bCs/>
                <w:color w:val="auto"/>
              </w:rPr>
            </w:pPr>
            <w:r>
              <w:rPr>
                <w:rFonts w:hint="eastAsia"/>
                <w:b/>
                <w:bCs/>
                <w:color w:val="auto"/>
              </w:rPr>
              <w:t>境影</w:t>
            </w:r>
          </w:p>
          <w:p w14:paraId="72BFB456">
            <w:pPr>
              <w:spacing w:line="240" w:lineRule="auto"/>
              <w:ind w:firstLine="0" w:firstLineChars="0"/>
              <w:jc w:val="center"/>
              <w:rPr>
                <w:b/>
                <w:bCs/>
                <w:color w:val="auto"/>
              </w:rPr>
            </w:pPr>
            <w:r>
              <w:rPr>
                <w:rFonts w:hint="eastAsia"/>
                <w:b/>
                <w:bCs/>
                <w:color w:val="auto"/>
              </w:rPr>
              <w:t>响和</w:t>
            </w:r>
          </w:p>
          <w:p w14:paraId="75965374">
            <w:pPr>
              <w:spacing w:line="240" w:lineRule="auto"/>
              <w:ind w:firstLine="0" w:firstLineChars="0"/>
              <w:jc w:val="center"/>
              <w:rPr>
                <w:b/>
                <w:bCs/>
                <w:color w:val="auto"/>
              </w:rPr>
            </w:pPr>
            <w:r>
              <w:rPr>
                <w:rFonts w:hint="eastAsia"/>
                <w:b/>
                <w:bCs/>
                <w:color w:val="auto"/>
              </w:rPr>
              <w:t>保护</w:t>
            </w:r>
          </w:p>
          <w:p w14:paraId="69FFAB8F">
            <w:pPr>
              <w:spacing w:line="240" w:lineRule="auto"/>
              <w:ind w:firstLine="0" w:firstLineChars="0"/>
              <w:jc w:val="center"/>
              <w:rPr>
                <w:rFonts w:hint="eastAsia"/>
                <w:b/>
                <w:bCs/>
                <w:color w:val="auto"/>
              </w:rPr>
            </w:pPr>
            <w:r>
              <w:rPr>
                <w:rFonts w:hint="eastAsia"/>
                <w:b/>
                <w:bCs/>
                <w:color w:val="auto"/>
              </w:rPr>
              <w:t>措施</w:t>
            </w:r>
          </w:p>
        </w:tc>
        <w:tc>
          <w:tcPr>
            <w:tcW w:w="8532" w:type="dxa"/>
            <w:vMerge w:val="continue"/>
            <w:vAlign w:val="center"/>
          </w:tcPr>
          <w:p w14:paraId="4C752D92">
            <w:pPr>
              <w:pStyle w:val="14"/>
              <w:ind w:left="0" w:leftChars="0" w:firstLine="0" w:firstLineChars="0"/>
              <w:rPr>
                <w:color w:val="auto"/>
              </w:rPr>
            </w:pPr>
          </w:p>
        </w:tc>
      </w:tr>
    </w:tbl>
    <w:p w14:paraId="6D99A8D8">
      <w:pPr>
        <w:ind w:firstLine="560"/>
        <w:rPr>
          <w:rFonts w:ascii="宋体" w:cs="宋体"/>
          <w:color w:val="auto"/>
          <w:sz w:val="28"/>
          <w:szCs w:val="28"/>
        </w:rPr>
        <w:sectPr>
          <w:pgSz w:w="11906" w:h="16838"/>
          <w:pgMar w:top="1247" w:right="1417" w:bottom="1247" w:left="1304" w:header="397" w:footer="851" w:gutter="0"/>
          <w:cols w:space="720" w:num="1"/>
          <w:docGrid w:linePitch="312" w:charSpace="0"/>
        </w:sectPr>
      </w:pPr>
    </w:p>
    <w:p w14:paraId="7E2F7ED0">
      <w:pPr>
        <w:pStyle w:val="34"/>
        <w:ind w:firstLine="600"/>
        <w:jc w:val="center"/>
        <w:outlineLvl w:val="0"/>
        <w:rPr>
          <w:rFonts w:ascii="黑体" w:hAnsi="黑体" w:eastAsia="黑体"/>
          <w:snapToGrid w:val="0"/>
          <w:color w:val="auto"/>
          <w:sz w:val="30"/>
          <w:szCs w:val="30"/>
        </w:rPr>
      </w:pPr>
      <w:bookmarkStart w:id="5" w:name="_Toc70503423"/>
      <w:r>
        <w:rPr>
          <w:rFonts w:hint="eastAsia" w:ascii="黑体" w:hAnsi="黑体" w:eastAsia="黑体"/>
          <w:snapToGrid w:val="0"/>
          <w:color w:val="auto"/>
          <w:sz w:val="30"/>
          <w:szCs w:val="30"/>
        </w:rPr>
        <w:t>五、</w:t>
      </w:r>
      <w:bookmarkStart w:id="6" w:name="_Hlk54167917"/>
      <w:r>
        <w:rPr>
          <w:rFonts w:hint="eastAsia" w:ascii="黑体" w:hAnsi="黑体" w:eastAsia="黑体"/>
          <w:snapToGrid w:val="0"/>
          <w:color w:val="auto"/>
          <w:sz w:val="30"/>
          <w:szCs w:val="30"/>
        </w:rPr>
        <w:t>环境保护措施监督检查清单</w:t>
      </w:r>
      <w:bookmarkEnd w:id="5"/>
      <w:bookmarkEnd w:id="6"/>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11"/>
        <w:gridCol w:w="1348"/>
        <w:gridCol w:w="1154"/>
        <w:gridCol w:w="2711"/>
        <w:gridCol w:w="3192"/>
      </w:tblGrid>
      <w:tr w14:paraId="7E21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69D13F97">
            <w:pPr>
              <w:pStyle w:val="57"/>
              <w:rPr>
                <w:rFonts w:hint="eastAsia"/>
                <w:b/>
                <w:bCs w:val="0"/>
                <w:color w:val="auto"/>
                <w:sz w:val="24"/>
              </w:rPr>
            </w:pPr>
            <w:r>
              <w:rPr>
                <w:rFonts w:hint="eastAsia"/>
                <w:b/>
                <w:bCs w:val="0"/>
                <w:color w:val="auto"/>
                <w:sz w:val="24"/>
              </w:rPr>
              <w:t>内容</w:t>
            </w:r>
          </w:p>
          <w:p w14:paraId="44536DCF">
            <w:pPr>
              <w:pStyle w:val="57"/>
              <w:rPr>
                <w:b/>
                <w:bCs w:val="0"/>
                <w:color w:val="auto"/>
                <w:sz w:val="24"/>
              </w:rPr>
            </w:pPr>
            <w:r>
              <w:rPr>
                <w:rFonts w:hint="eastAsia"/>
                <w:b/>
                <w:bCs w:val="0"/>
                <w:color w:val="auto"/>
                <w:sz w:val="24"/>
              </w:rPr>
              <w:t>要素</w:t>
            </w:r>
          </w:p>
        </w:tc>
        <w:tc>
          <w:tcPr>
            <w:tcW w:w="708" w:type="pct"/>
            <w:tcBorders>
              <w:tl2br w:val="nil"/>
              <w:tr2bl w:val="nil"/>
            </w:tcBorders>
            <w:vAlign w:val="center"/>
          </w:tcPr>
          <w:p w14:paraId="1845D911">
            <w:pPr>
              <w:pStyle w:val="57"/>
              <w:rPr>
                <w:b/>
                <w:bCs w:val="0"/>
                <w:color w:val="auto"/>
                <w:sz w:val="24"/>
              </w:rPr>
            </w:pPr>
            <w:r>
              <w:rPr>
                <w:b/>
                <w:bCs w:val="0"/>
                <w:color w:val="auto"/>
                <w:sz w:val="24"/>
              </w:rPr>
              <w:t>排放源</w:t>
            </w:r>
          </w:p>
          <w:p w14:paraId="1362ECDD">
            <w:pPr>
              <w:pStyle w:val="57"/>
              <w:rPr>
                <w:b/>
                <w:bCs w:val="0"/>
                <w:color w:val="auto"/>
                <w:sz w:val="24"/>
              </w:rPr>
            </w:pPr>
            <w:r>
              <w:rPr>
                <w:b/>
                <w:bCs w:val="0"/>
                <w:color w:val="auto"/>
                <w:sz w:val="24"/>
              </w:rPr>
              <w:t>(编号)</w:t>
            </w:r>
            <w:r>
              <w:rPr>
                <w:rFonts w:hint="eastAsia"/>
                <w:b/>
                <w:bCs w:val="0"/>
                <w:color w:val="auto"/>
                <w:sz w:val="24"/>
              </w:rPr>
              <w:t>/污染源</w:t>
            </w:r>
          </w:p>
        </w:tc>
        <w:tc>
          <w:tcPr>
            <w:tcW w:w="606" w:type="pct"/>
            <w:tcBorders>
              <w:tl2br w:val="nil"/>
              <w:tr2bl w:val="nil"/>
            </w:tcBorders>
            <w:vAlign w:val="center"/>
          </w:tcPr>
          <w:p w14:paraId="0F84984C">
            <w:pPr>
              <w:pStyle w:val="57"/>
              <w:rPr>
                <w:b/>
                <w:bCs w:val="0"/>
                <w:color w:val="auto"/>
                <w:sz w:val="24"/>
              </w:rPr>
            </w:pPr>
            <w:r>
              <w:rPr>
                <w:b/>
                <w:bCs w:val="0"/>
                <w:color w:val="auto"/>
                <w:sz w:val="24"/>
              </w:rPr>
              <w:t>污染物</w:t>
            </w:r>
          </w:p>
          <w:p w14:paraId="4D614D56">
            <w:pPr>
              <w:pStyle w:val="57"/>
              <w:rPr>
                <w:b/>
                <w:bCs w:val="0"/>
                <w:color w:val="auto"/>
                <w:sz w:val="24"/>
              </w:rPr>
            </w:pPr>
            <w:r>
              <w:rPr>
                <w:rFonts w:hint="eastAsia"/>
                <w:b/>
                <w:bCs w:val="0"/>
                <w:color w:val="auto"/>
                <w:sz w:val="24"/>
              </w:rPr>
              <w:t>项目</w:t>
            </w:r>
          </w:p>
        </w:tc>
        <w:tc>
          <w:tcPr>
            <w:tcW w:w="1424" w:type="pct"/>
            <w:tcBorders>
              <w:tl2br w:val="nil"/>
              <w:tr2bl w:val="nil"/>
            </w:tcBorders>
            <w:vAlign w:val="center"/>
          </w:tcPr>
          <w:p w14:paraId="76A0E348">
            <w:pPr>
              <w:pStyle w:val="57"/>
              <w:rPr>
                <w:b/>
                <w:bCs w:val="0"/>
                <w:color w:val="auto"/>
                <w:sz w:val="24"/>
              </w:rPr>
            </w:pPr>
            <w:r>
              <w:rPr>
                <w:rFonts w:hint="eastAsia"/>
                <w:b/>
                <w:bCs w:val="0"/>
                <w:color w:val="auto"/>
                <w:sz w:val="24"/>
              </w:rPr>
              <w:t>环境保护措施</w:t>
            </w:r>
          </w:p>
        </w:tc>
        <w:tc>
          <w:tcPr>
            <w:tcW w:w="1677" w:type="pct"/>
            <w:tcBorders>
              <w:tl2br w:val="nil"/>
              <w:tr2bl w:val="nil"/>
            </w:tcBorders>
            <w:vAlign w:val="center"/>
          </w:tcPr>
          <w:p w14:paraId="3C96ADF6">
            <w:pPr>
              <w:pStyle w:val="57"/>
              <w:rPr>
                <w:b/>
                <w:bCs w:val="0"/>
                <w:color w:val="auto"/>
                <w:sz w:val="24"/>
              </w:rPr>
            </w:pPr>
            <w:r>
              <w:rPr>
                <w:rFonts w:hint="eastAsia"/>
                <w:b/>
                <w:bCs w:val="0"/>
                <w:color w:val="auto"/>
                <w:sz w:val="24"/>
              </w:rPr>
              <w:t>执行标准</w:t>
            </w:r>
          </w:p>
        </w:tc>
      </w:tr>
      <w:tr w14:paraId="0665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7851FB6C">
            <w:pPr>
              <w:pStyle w:val="57"/>
              <w:rPr>
                <w:rFonts w:hint="eastAsia"/>
                <w:color w:val="auto"/>
                <w:sz w:val="24"/>
              </w:rPr>
            </w:pPr>
            <w:r>
              <w:rPr>
                <w:rFonts w:hint="eastAsia"/>
                <w:color w:val="auto"/>
                <w:sz w:val="24"/>
              </w:rPr>
              <w:t>大气环境</w:t>
            </w:r>
          </w:p>
        </w:tc>
        <w:tc>
          <w:tcPr>
            <w:tcW w:w="708" w:type="pct"/>
            <w:tcBorders>
              <w:tl2br w:val="nil"/>
              <w:tr2bl w:val="nil"/>
            </w:tcBorders>
            <w:vAlign w:val="center"/>
          </w:tcPr>
          <w:p w14:paraId="7C55EEB3">
            <w:pPr>
              <w:pStyle w:val="57"/>
              <w:rPr>
                <w:color w:val="auto"/>
                <w:sz w:val="24"/>
              </w:rPr>
            </w:pPr>
            <w:r>
              <w:rPr>
                <w:rFonts w:hint="eastAsia"/>
                <w:color w:val="auto"/>
                <w:sz w:val="24"/>
              </w:rPr>
              <w:t>（DA001）注塑废气、热转印废气、印刷、烘干废气、注墨废气</w:t>
            </w:r>
          </w:p>
        </w:tc>
        <w:tc>
          <w:tcPr>
            <w:tcW w:w="606" w:type="pct"/>
            <w:tcBorders>
              <w:tl2br w:val="nil"/>
              <w:tr2bl w:val="nil"/>
            </w:tcBorders>
            <w:vAlign w:val="center"/>
          </w:tcPr>
          <w:p w14:paraId="1793062E">
            <w:pPr>
              <w:pStyle w:val="57"/>
              <w:rPr>
                <w:rFonts w:hint="eastAsia" w:eastAsia="宋体"/>
                <w:color w:val="auto"/>
                <w:sz w:val="24"/>
                <w:lang w:eastAsia="zh-CN"/>
              </w:rPr>
            </w:pPr>
            <w:r>
              <w:rPr>
                <w:color w:val="auto"/>
                <w:sz w:val="24"/>
              </w:rPr>
              <w:t>非甲烷总烃</w:t>
            </w:r>
          </w:p>
        </w:tc>
        <w:tc>
          <w:tcPr>
            <w:tcW w:w="1424" w:type="pct"/>
            <w:tcBorders>
              <w:tl2br w:val="nil"/>
              <w:tr2bl w:val="nil"/>
            </w:tcBorders>
            <w:vAlign w:val="center"/>
          </w:tcPr>
          <w:p w14:paraId="2BA65325">
            <w:pPr>
              <w:pStyle w:val="57"/>
              <w:rPr>
                <w:rFonts w:hint="eastAsia"/>
                <w:color w:val="auto"/>
                <w:sz w:val="24"/>
              </w:rPr>
            </w:pPr>
            <w:r>
              <w:rPr>
                <w:rFonts w:hint="eastAsia"/>
                <w:color w:val="auto"/>
                <w:sz w:val="24"/>
              </w:rPr>
              <w:t>注塑废气、热转印废气、印刷、烘干废气、注墨废气经集气罩收集后通过风机引入1套“二级活性炭”处理，处理效率为90%，处理后经1根15m高（DA001）排气筒排放</w:t>
            </w:r>
          </w:p>
        </w:tc>
        <w:tc>
          <w:tcPr>
            <w:tcW w:w="1677" w:type="pct"/>
            <w:tcBorders>
              <w:tl2br w:val="nil"/>
              <w:tr2bl w:val="nil"/>
            </w:tcBorders>
            <w:vAlign w:val="center"/>
          </w:tcPr>
          <w:p w14:paraId="0D93653F">
            <w:pPr>
              <w:pStyle w:val="57"/>
              <w:rPr>
                <w:rFonts w:hint="eastAsia"/>
                <w:color w:val="auto"/>
                <w:sz w:val="24"/>
              </w:rPr>
            </w:pPr>
            <w:r>
              <w:rPr>
                <w:rFonts w:hint="eastAsia"/>
                <w:color w:val="auto"/>
                <w:sz w:val="24"/>
              </w:rPr>
              <w:t>非甲烷总烃执行《合成树脂工业污染物排放标准》（GB31572-2015）中表5大气污染物特别排放限值及表9企业边界大气污染物浓度限值、安徽省地方标准《固定源挥发性有机物综合排放标准第6部分:其他行业》（DB34/4812.6-2024）表1挥发性有机物基本污染物项目排放限值及安徽省地方标准《固定源挥发性有机物综合排放标准第4部分:印刷工业》（DB34/4812.4-2024）较严值</w:t>
            </w:r>
          </w:p>
        </w:tc>
      </w:tr>
      <w:tr w14:paraId="0C6C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2B2FBA11">
            <w:pPr>
              <w:pStyle w:val="57"/>
              <w:rPr>
                <w:rFonts w:hint="eastAsia"/>
                <w:color w:val="auto"/>
                <w:sz w:val="24"/>
              </w:rPr>
            </w:pPr>
            <w:r>
              <w:rPr>
                <w:rFonts w:hint="eastAsia"/>
                <w:color w:val="auto"/>
                <w:sz w:val="24"/>
              </w:rPr>
              <w:t>地表水环境</w:t>
            </w:r>
          </w:p>
        </w:tc>
        <w:tc>
          <w:tcPr>
            <w:tcW w:w="708" w:type="pct"/>
            <w:tcBorders>
              <w:tl2br w:val="nil"/>
              <w:tr2bl w:val="nil"/>
            </w:tcBorders>
            <w:vAlign w:val="center"/>
          </w:tcPr>
          <w:p w14:paraId="2A31162E">
            <w:pPr>
              <w:pStyle w:val="57"/>
              <w:rPr>
                <w:color w:val="auto"/>
                <w:sz w:val="24"/>
              </w:rPr>
            </w:pPr>
            <w:r>
              <w:rPr>
                <w:color w:val="auto"/>
                <w:sz w:val="24"/>
              </w:rPr>
              <w:t>生活污水</w:t>
            </w:r>
          </w:p>
        </w:tc>
        <w:tc>
          <w:tcPr>
            <w:tcW w:w="606" w:type="pct"/>
            <w:tcBorders>
              <w:tl2br w:val="nil"/>
              <w:tr2bl w:val="nil"/>
            </w:tcBorders>
            <w:vAlign w:val="center"/>
          </w:tcPr>
          <w:p w14:paraId="5DF4C24E">
            <w:pPr>
              <w:pStyle w:val="57"/>
              <w:rPr>
                <w:rFonts w:hint="eastAsia"/>
                <w:color w:val="auto"/>
                <w:sz w:val="24"/>
              </w:rPr>
            </w:pPr>
            <w:r>
              <w:rPr>
                <w:rFonts w:hint="eastAsia"/>
                <w:color w:val="auto"/>
                <w:sz w:val="24"/>
              </w:rPr>
              <w:t>COD、BOD</w:t>
            </w:r>
            <w:r>
              <w:rPr>
                <w:rFonts w:hint="eastAsia"/>
                <w:color w:val="auto"/>
                <w:sz w:val="24"/>
                <w:vertAlign w:val="subscript"/>
              </w:rPr>
              <w:t>5</w:t>
            </w:r>
            <w:r>
              <w:rPr>
                <w:rFonts w:hint="eastAsia"/>
                <w:color w:val="auto"/>
                <w:sz w:val="24"/>
              </w:rPr>
              <w:t>、</w:t>
            </w:r>
          </w:p>
          <w:p w14:paraId="3FFC4CEC">
            <w:pPr>
              <w:pStyle w:val="57"/>
              <w:rPr>
                <w:color w:val="auto"/>
                <w:sz w:val="24"/>
              </w:rPr>
            </w:pPr>
            <w:r>
              <w:rPr>
                <w:rFonts w:hint="eastAsia"/>
                <w:color w:val="auto"/>
                <w:sz w:val="24"/>
              </w:rPr>
              <w:t>NH</w:t>
            </w:r>
            <w:r>
              <w:rPr>
                <w:rFonts w:hint="eastAsia"/>
                <w:color w:val="auto"/>
                <w:sz w:val="24"/>
                <w:vertAlign w:val="subscript"/>
              </w:rPr>
              <w:t>3</w:t>
            </w:r>
            <w:r>
              <w:rPr>
                <w:rFonts w:hint="eastAsia"/>
                <w:color w:val="auto"/>
                <w:sz w:val="24"/>
              </w:rPr>
              <w:t>-N、SS</w:t>
            </w:r>
          </w:p>
        </w:tc>
        <w:tc>
          <w:tcPr>
            <w:tcW w:w="1424" w:type="pct"/>
            <w:tcBorders>
              <w:tl2br w:val="nil"/>
              <w:tr2bl w:val="nil"/>
            </w:tcBorders>
            <w:vAlign w:val="center"/>
          </w:tcPr>
          <w:p w14:paraId="581471EA">
            <w:pPr>
              <w:pStyle w:val="57"/>
              <w:rPr>
                <w:rFonts w:hint="eastAsia"/>
                <w:color w:val="auto"/>
                <w:sz w:val="24"/>
              </w:rPr>
            </w:pPr>
            <w:r>
              <w:rPr>
                <w:rFonts w:hint="eastAsia"/>
                <w:color w:val="auto"/>
                <w:sz w:val="24"/>
              </w:rPr>
              <w:t>生活污水经化粪池预处理后达城南污水处理厂接管标准，接管城南污水处理厂处理，处理达标后排入运粮河</w:t>
            </w:r>
          </w:p>
        </w:tc>
        <w:tc>
          <w:tcPr>
            <w:tcW w:w="1677" w:type="pct"/>
            <w:tcBorders>
              <w:tl2br w:val="nil"/>
              <w:tr2bl w:val="nil"/>
            </w:tcBorders>
            <w:vAlign w:val="center"/>
          </w:tcPr>
          <w:p w14:paraId="65D310A4">
            <w:pPr>
              <w:pStyle w:val="57"/>
              <w:rPr>
                <w:rFonts w:hint="eastAsia"/>
                <w:color w:val="auto"/>
                <w:sz w:val="24"/>
              </w:rPr>
            </w:pPr>
            <w:r>
              <w:rPr>
                <w:rFonts w:hint="eastAsia"/>
                <w:color w:val="auto"/>
                <w:sz w:val="24"/>
              </w:rPr>
              <w:t>预处理达城南污水处理厂的接管标准</w:t>
            </w:r>
          </w:p>
        </w:tc>
      </w:tr>
      <w:tr w14:paraId="2B58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75A5617A">
            <w:pPr>
              <w:pStyle w:val="57"/>
              <w:rPr>
                <w:rFonts w:hint="eastAsia"/>
                <w:color w:val="auto"/>
                <w:sz w:val="24"/>
              </w:rPr>
            </w:pPr>
            <w:r>
              <w:rPr>
                <w:rFonts w:hint="eastAsia"/>
                <w:color w:val="auto"/>
                <w:sz w:val="24"/>
              </w:rPr>
              <w:t>声环境</w:t>
            </w:r>
          </w:p>
        </w:tc>
        <w:tc>
          <w:tcPr>
            <w:tcW w:w="708" w:type="pct"/>
            <w:tcBorders>
              <w:tl2br w:val="nil"/>
              <w:tr2bl w:val="nil"/>
            </w:tcBorders>
            <w:vAlign w:val="center"/>
          </w:tcPr>
          <w:p w14:paraId="3A866718">
            <w:pPr>
              <w:pStyle w:val="57"/>
              <w:rPr>
                <w:rFonts w:hint="eastAsia"/>
                <w:color w:val="auto"/>
                <w:sz w:val="24"/>
              </w:rPr>
            </w:pPr>
            <w:r>
              <w:rPr>
                <w:rFonts w:hint="eastAsia"/>
                <w:color w:val="auto"/>
                <w:sz w:val="24"/>
              </w:rPr>
              <w:t>生产设备</w:t>
            </w:r>
          </w:p>
        </w:tc>
        <w:tc>
          <w:tcPr>
            <w:tcW w:w="606" w:type="pct"/>
            <w:tcBorders>
              <w:tl2br w:val="nil"/>
              <w:tr2bl w:val="nil"/>
            </w:tcBorders>
            <w:vAlign w:val="center"/>
          </w:tcPr>
          <w:p w14:paraId="496F8F80">
            <w:pPr>
              <w:pStyle w:val="57"/>
              <w:rPr>
                <w:rFonts w:hint="eastAsia"/>
                <w:color w:val="auto"/>
                <w:sz w:val="24"/>
              </w:rPr>
            </w:pPr>
            <w:r>
              <w:rPr>
                <w:rFonts w:hint="eastAsia"/>
                <w:color w:val="auto"/>
                <w:sz w:val="24"/>
              </w:rPr>
              <w:t>/</w:t>
            </w:r>
          </w:p>
        </w:tc>
        <w:tc>
          <w:tcPr>
            <w:tcW w:w="1424" w:type="pct"/>
            <w:tcBorders>
              <w:tl2br w:val="nil"/>
              <w:tr2bl w:val="nil"/>
            </w:tcBorders>
            <w:vAlign w:val="center"/>
          </w:tcPr>
          <w:p w14:paraId="621BC5D5">
            <w:pPr>
              <w:pStyle w:val="57"/>
              <w:rPr>
                <w:rFonts w:hint="eastAsia"/>
                <w:color w:val="auto"/>
                <w:sz w:val="24"/>
              </w:rPr>
            </w:pPr>
            <w:r>
              <w:rPr>
                <w:rFonts w:hint="eastAsia"/>
                <w:color w:val="auto"/>
                <w:sz w:val="24"/>
              </w:rPr>
              <w:t>本项目噪声主要设备运行时的噪声，经减震降噪及距离衰减后，项目各厂界噪声排放能够满足《工业企业厂界环境噪声排放标准》（GB12348-2008）中的3类标准</w:t>
            </w:r>
          </w:p>
        </w:tc>
        <w:tc>
          <w:tcPr>
            <w:tcW w:w="1677" w:type="pct"/>
            <w:tcBorders>
              <w:tl2br w:val="nil"/>
              <w:tr2bl w:val="nil"/>
            </w:tcBorders>
            <w:vAlign w:val="center"/>
          </w:tcPr>
          <w:p w14:paraId="32171289">
            <w:pPr>
              <w:pStyle w:val="57"/>
              <w:wordWrap w:val="0"/>
              <w:rPr>
                <w:rFonts w:hint="eastAsia"/>
                <w:color w:val="auto"/>
                <w:sz w:val="24"/>
              </w:rPr>
            </w:pPr>
            <w:r>
              <w:rPr>
                <w:rFonts w:hint="eastAsia"/>
                <w:color w:val="auto"/>
                <w:sz w:val="24"/>
              </w:rPr>
              <w:t>《工业企业厂界环境噪声排放标准》（GB12348-2008）中3类标准要求</w:t>
            </w:r>
          </w:p>
        </w:tc>
      </w:tr>
      <w:tr w14:paraId="6F51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21349EA6">
            <w:pPr>
              <w:pStyle w:val="57"/>
              <w:rPr>
                <w:rFonts w:hint="eastAsia"/>
                <w:color w:val="auto"/>
                <w:sz w:val="24"/>
              </w:rPr>
            </w:pPr>
            <w:r>
              <w:rPr>
                <w:rFonts w:hint="eastAsia"/>
                <w:color w:val="auto"/>
                <w:sz w:val="24"/>
              </w:rPr>
              <w:t>电磁辐射</w:t>
            </w:r>
          </w:p>
        </w:tc>
        <w:tc>
          <w:tcPr>
            <w:tcW w:w="708" w:type="pct"/>
            <w:tcBorders>
              <w:tl2br w:val="nil"/>
              <w:tr2bl w:val="nil"/>
            </w:tcBorders>
            <w:vAlign w:val="center"/>
          </w:tcPr>
          <w:p w14:paraId="7B3F3CA6">
            <w:pPr>
              <w:pStyle w:val="57"/>
              <w:rPr>
                <w:rFonts w:hint="eastAsia"/>
                <w:color w:val="auto"/>
                <w:sz w:val="24"/>
              </w:rPr>
            </w:pPr>
            <w:r>
              <w:rPr>
                <w:rFonts w:hint="eastAsia"/>
                <w:color w:val="auto"/>
                <w:sz w:val="24"/>
              </w:rPr>
              <w:t>无</w:t>
            </w:r>
          </w:p>
        </w:tc>
        <w:tc>
          <w:tcPr>
            <w:tcW w:w="606" w:type="pct"/>
            <w:tcBorders>
              <w:tl2br w:val="nil"/>
              <w:tr2bl w:val="nil"/>
            </w:tcBorders>
            <w:vAlign w:val="center"/>
          </w:tcPr>
          <w:p w14:paraId="2366D4DA">
            <w:pPr>
              <w:pStyle w:val="57"/>
              <w:rPr>
                <w:rFonts w:hint="eastAsia"/>
                <w:color w:val="auto"/>
                <w:sz w:val="24"/>
              </w:rPr>
            </w:pPr>
            <w:r>
              <w:rPr>
                <w:rFonts w:hint="eastAsia"/>
                <w:color w:val="auto"/>
                <w:sz w:val="24"/>
              </w:rPr>
              <w:t>-</w:t>
            </w:r>
          </w:p>
        </w:tc>
        <w:tc>
          <w:tcPr>
            <w:tcW w:w="1424" w:type="pct"/>
            <w:tcBorders>
              <w:tl2br w:val="nil"/>
              <w:tr2bl w:val="nil"/>
            </w:tcBorders>
            <w:vAlign w:val="center"/>
          </w:tcPr>
          <w:p w14:paraId="3D6203A4">
            <w:pPr>
              <w:pStyle w:val="57"/>
              <w:rPr>
                <w:rFonts w:hint="eastAsia"/>
                <w:color w:val="auto"/>
                <w:sz w:val="24"/>
              </w:rPr>
            </w:pPr>
            <w:r>
              <w:rPr>
                <w:rFonts w:hint="eastAsia"/>
                <w:color w:val="auto"/>
                <w:sz w:val="24"/>
              </w:rPr>
              <w:t>-</w:t>
            </w:r>
          </w:p>
        </w:tc>
        <w:tc>
          <w:tcPr>
            <w:tcW w:w="1677" w:type="pct"/>
            <w:tcBorders>
              <w:tl2br w:val="nil"/>
              <w:tr2bl w:val="nil"/>
            </w:tcBorders>
            <w:vAlign w:val="center"/>
          </w:tcPr>
          <w:p w14:paraId="05EAC5A1">
            <w:pPr>
              <w:pStyle w:val="57"/>
              <w:rPr>
                <w:rFonts w:hint="eastAsia"/>
                <w:color w:val="auto"/>
                <w:sz w:val="24"/>
              </w:rPr>
            </w:pPr>
            <w:r>
              <w:rPr>
                <w:rFonts w:hint="eastAsia"/>
                <w:color w:val="auto"/>
                <w:sz w:val="24"/>
              </w:rPr>
              <w:t>-</w:t>
            </w:r>
          </w:p>
        </w:tc>
      </w:tr>
      <w:tr w14:paraId="6334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7B928AD7">
            <w:pPr>
              <w:pStyle w:val="57"/>
              <w:rPr>
                <w:color w:val="auto"/>
                <w:sz w:val="24"/>
              </w:rPr>
            </w:pPr>
            <w:r>
              <w:rPr>
                <w:color w:val="auto"/>
                <w:sz w:val="24"/>
              </w:rPr>
              <w:t>固体废物</w:t>
            </w:r>
          </w:p>
        </w:tc>
        <w:tc>
          <w:tcPr>
            <w:tcW w:w="4415" w:type="pct"/>
            <w:gridSpan w:val="4"/>
            <w:tcBorders>
              <w:tl2br w:val="nil"/>
              <w:tr2bl w:val="nil"/>
            </w:tcBorders>
            <w:vAlign w:val="center"/>
          </w:tcPr>
          <w:p w14:paraId="23DE0E48">
            <w:pPr>
              <w:pStyle w:val="57"/>
              <w:rPr>
                <w:rFonts w:hint="eastAsia"/>
                <w:color w:val="auto"/>
                <w:sz w:val="24"/>
              </w:rPr>
            </w:pPr>
            <w:r>
              <w:rPr>
                <w:rFonts w:hint="eastAsia"/>
                <w:color w:val="auto"/>
                <w:sz w:val="24"/>
              </w:rPr>
              <w:t>危险废物：废机油、废活性炭、废包装桶、废抹布委托有资单位进行处理处置；</w:t>
            </w:r>
          </w:p>
          <w:p w14:paraId="7EEC9439">
            <w:pPr>
              <w:pStyle w:val="57"/>
              <w:rPr>
                <w:color w:val="auto"/>
                <w:sz w:val="24"/>
              </w:rPr>
            </w:pPr>
            <w:r>
              <w:rPr>
                <w:rFonts w:hint="eastAsia"/>
                <w:color w:val="auto"/>
                <w:sz w:val="24"/>
              </w:rPr>
              <w:t>一般工业固体废物</w:t>
            </w:r>
            <w:r>
              <w:rPr>
                <w:rStyle w:val="45"/>
                <w:rFonts w:hint="eastAsia"/>
                <w:bCs w:val="0"/>
                <w:color w:val="auto"/>
                <w:kern w:val="0"/>
                <w:sz w:val="24"/>
              </w:rPr>
              <w:t>：</w:t>
            </w:r>
            <w:r>
              <w:rPr>
                <w:rFonts w:hint="eastAsia"/>
                <w:color w:val="auto"/>
                <w:sz w:val="24"/>
              </w:rPr>
              <w:t>废包装材料、边角料外售综合利用；生活垃圾交由环卫部门统一清运</w:t>
            </w:r>
          </w:p>
        </w:tc>
      </w:tr>
      <w:tr w14:paraId="25A9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04E86015">
            <w:pPr>
              <w:pStyle w:val="57"/>
              <w:rPr>
                <w:color w:val="auto"/>
                <w:sz w:val="24"/>
              </w:rPr>
            </w:pPr>
            <w:r>
              <w:rPr>
                <w:color w:val="auto"/>
                <w:sz w:val="24"/>
              </w:rPr>
              <w:t>土壤及地下水污染防治措施</w:t>
            </w:r>
          </w:p>
        </w:tc>
        <w:tc>
          <w:tcPr>
            <w:tcW w:w="4415" w:type="pct"/>
            <w:gridSpan w:val="4"/>
            <w:tcBorders>
              <w:tl2br w:val="nil"/>
              <w:tr2bl w:val="nil"/>
            </w:tcBorders>
            <w:vAlign w:val="center"/>
          </w:tcPr>
          <w:p w14:paraId="193D7DE0">
            <w:pPr>
              <w:widowControl/>
              <w:spacing w:line="240" w:lineRule="auto"/>
              <w:ind w:firstLine="480"/>
              <w:jc w:val="center"/>
              <w:rPr>
                <w:color w:val="auto"/>
              </w:rPr>
            </w:pPr>
            <w:r>
              <w:rPr>
                <w:rFonts w:hint="eastAsia"/>
                <w:bCs/>
                <w:color w:val="auto"/>
              </w:rPr>
              <w:t>①</w:t>
            </w:r>
            <w:r>
              <w:rPr>
                <w:color w:val="auto"/>
              </w:rPr>
              <w:t>危废仓库</w:t>
            </w:r>
            <w:r>
              <w:rPr>
                <w:rFonts w:hint="eastAsia"/>
                <w:bCs/>
                <w:color w:val="auto"/>
              </w:rPr>
              <w:t>采取重点防渗措施，要求Mb≥6.0m，K≤10</w:t>
            </w:r>
            <w:r>
              <w:rPr>
                <w:rFonts w:hint="eastAsia"/>
                <w:bCs/>
                <w:color w:val="auto"/>
                <w:vertAlign w:val="superscript"/>
              </w:rPr>
              <w:t>-7</w:t>
            </w:r>
            <w:r>
              <w:rPr>
                <w:rFonts w:hint="eastAsia"/>
                <w:bCs/>
                <w:color w:val="auto"/>
              </w:rPr>
              <w:t>cm/s；或参照GB18598执行②加强生产管理，减少废气的有组织和无组织排放，以减少废气污染物通过大气沉降落在地面，污染土壤。建设单位必须确保废气收集系统和净化装置的正常运行，定期检查废气收集装置、净化装置、排气筒；若废气收集系统和净化装置发生故障或效率降低时，建设单位必须及时修复③危险废物严格按要求进行处理处置，严禁随意倾倒、丢弃，应集中收集，专人管理，集中贮存，各类危险废物按性质不同分类进行贮存。危废暂存处应满足《危险废物贮存污染控制标准》（GB18597-2023）中标准，贮存场所要防风、防雨、防晒，并设计建造径流疏导系统、泄漏液体收集装置</w:t>
            </w:r>
          </w:p>
        </w:tc>
      </w:tr>
      <w:tr w14:paraId="0CF9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45AFBE7A">
            <w:pPr>
              <w:pStyle w:val="57"/>
              <w:rPr>
                <w:color w:val="auto"/>
                <w:sz w:val="24"/>
              </w:rPr>
            </w:pPr>
            <w:r>
              <w:rPr>
                <w:rFonts w:hint="eastAsia"/>
                <w:color w:val="auto"/>
                <w:sz w:val="24"/>
              </w:rPr>
              <w:t>生态保护措施</w:t>
            </w:r>
          </w:p>
        </w:tc>
        <w:tc>
          <w:tcPr>
            <w:tcW w:w="4415" w:type="pct"/>
            <w:gridSpan w:val="4"/>
            <w:tcBorders>
              <w:tl2br w:val="nil"/>
              <w:tr2bl w:val="nil"/>
            </w:tcBorders>
            <w:vAlign w:val="center"/>
          </w:tcPr>
          <w:p w14:paraId="219B995D">
            <w:pPr>
              <w:pStyle w:val="57"/>
              <w:rPr>
                <w:rFonts w:hint="eastAsia"/>
                <w:color w:val="auto"/>
                <w:sz w:val="24"/>
              </w:rPr>
            </w:pPr>
            <w:r>
              <w:rPr>
                <w:rFonts w:hint="eastAsia"/>
                <w:color w:val="auto"/>
                <w:sz w:val="24"/>
              </w:rPr>
              <w:t>无</w:t>
            </w:r>
          </w:p>
        </w:tc>
      </w:tr>
      <w:tr w14:paraId="7E2D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24900DD3">
            <w:pPr>
              <w:pStyle w:val="57"/>
              <w:rPr>
                <w:color w:val="auto"/>
                <w:sz w:val="24"/>
              </w:rPr>
            </w:pPr>
            <w:r>
              <w:rPr>
                <w:color w:val="auto"/>
                <w:sz w:val="24"/>
              </w:rPr>
              <w:t>环境风险防范措施</w:t>
            </w:r>
          </w:p>
        </w:tc>
        <w:tc>
          <w:tcPr>
            <w:tcW w:w="4415" w:type="pct"/>
            <w:gridSpan w:val="4"/>
            <w:tcBorders>
              <w:tl2br w:val="nil"/>
              <w:tr2bl w:val="nil"/>
            </w:tcBorders>
            <w:vAlign w:val="center"/>
          </w:tcPr>
          <w:p w14:paraId="64A52041">
            <w:pPr>
              <w:pStyle w:val="57"/>
              <w:rPr>
                <w:rFonts w:hint="eastAsia"/>
                <w:color w:val="auto"/>
                <w:sz w:val="24"/>
              </w:rPr>
            </w:pPr>
            <w:r>
              <w:rPr>
                <w:rFonts w:hint="eastAsia"/>
                <w:color w:val="auto"/>
                <w:sz w:val="24"/>
              </w:rPr>
              <w:t>①生产厂房、危废仓库禁止吸烟，远离火源、热源，无产生火花的条件，禁止明火作业，防止遇火发生燃烧；</w:t>
            </w:r>
          </w:p>
          <w:p w14:paraId="0C6D98D2">
            <w:pPr>
              <w:pStyle w:val="57"/>
              <w:rPr>
                <w:rFonts w:hint="eastAsia"/>
                <w:color w:val="auto"/>
                <w:sz w:val="24"/>
              </w:rPr>
            </w:pPr>
            <w:r>
              <w:rPr>
                <w:rFonts w:hint="eastAsia"/>
                <w:color w:val="auto"/>
                <w:sz w:val="24"/>
              </w:rPr>
              <w:t>②配备完善的消防器材如灭火器、消防沙和通风设备消防器材定期检查；</w:t>
            </w:r>
          </w:p>
          <w:p w14:paraId="2E2952C3">
            <w:pPr>
              <w:pStyle w:val="57"/>
              <w:rPr>
                <w:rFonts w:hint="eastAsia"/>
                <w:color w:val="auto"/>
                <w:sz w:val="24"/>
              </w:rPr>
            </w:pPr>
            <w:r>
              <w:rPr>
                <w:rFonts w:hint="eastAsia"/>
                <w:color w:val="auto"/>
                <w:sz w:val="24"/>
              </w:rPr>
              <w:t>③加强管理，确保废气处理设施正常运行，防止出现风机失效；如处理设备出现故障，应立即停止所有生产以减少废气排放，由专人检查、维修后恢复运行，活性炭及布袋需要及时更换、处理。</w:t>
            </w:r>
          </w:p>
          <w:p w14:paraId="204DC625">
            <w:pPr>
              <w:pStyle w:val="57"/>
              <w:rPr>
                <w:rFonts w:hint="eastAsia"/>
                <w:color w:val="auto"/>
                <w:sz w:val="24"/>
              </w:rPr>
            </w:pPr>
            <w:r>
              <w:rPr>
                <w:rFonts w:hint="eastAsia"/>
                <w:color w:val="auto"/>
                <w:sz w:val="24"/>
              </w:rPr>
              <w:t>④危险废物废机油、废活性炭暂存于危废仓库内，危废仓库严格按照《危险废物贮存污染控制标准》（GB18597-2023）的要求进行设计、建设和管理以防危险废物事故排放污染环境。定期对所贮存的危险废物包装容器及贮存设施进行检查，发现破损，应及时采取措施清理更换</w:t>
            </w:r>
          </w:p>
        </w:tc>
      </w:tr>
      <w:tr w14:paraId="709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584" w:type="pct"/>
            <w:tcBorders>
              <w:tl2br w:val="nil"/>
              <w:tr2bl w:val="nil"/>
            </w:tcBorders>
            <w:vAlign w:val="center"/>
          </w:tcPr>
          <w:p w14:paraId="52C03519">
            <w:pPr>
              <w:pStyle w:val="57"/>
              <w:rPr>
                <w:color w:val="auto"/>
                <w:sz w:val="24"/>
              </w:rPr>
            </w:pPr>
            <w:r>
              <w:rPr>
                <w:rFonts w:hint="eastAsia"/>
                <w:color w:val="auto"/>
                <w:sz w:val="24"/>
              </w:rPr>
              <w:t>其他环境管理要求</w:t>
            </w:r>
          </w:p>
        </w:tc>
        <w:tc>
          <w:tcPr>
            <w:tcW w:w="4415" w:type="pct"/>
            <w:gridSpan w:val="4"/>
            <w:tcBorders>
              <w:tl2br w:val="nil"/>
              <w:tr2bl w:val="nil"/>
            </w:tcBorders>
            <w:vAlign w:val="center"/>
          </w:tcPr>
          <w:p w14:paraId="0DCCA848">
            <w:pPr>
              <w:pStyle w:val="57"/>
              <w:rPr>
                <w:rFonts w:hint="eastAsia"/>
                <w:color w:val="auto"/>
                <w:sz w:val="24"/>
              </w:rPr>
            </w:pPr>
          </w:p>
          <w:p w14:paraId="237AB4FB">
            <w:pPr>
              <w:adjustRightInd w:val="0"/>
              <w:snapToGrid w:val="0"/>
              <w:spacing w:line="348" w:lineRule="auto"/>
              <w:ind w:firstLine="0" w:firstLineChars="0"/>
              <w:jc w:val="left"/>
              <w:rPr>
                <w:b/>
                <w:bCs/>
                <w:color w:val="auto"/>
              </w:rPr>
            </w:pPr>
            <w:r>
              <w:rPr>
                <w:b/>
                <w:bCs/>
                <w:color w:val="auto"/>
              </w:rPr>
              <w:t>1、排放口规范化及信息公开化</w:t>
            </w:r>
          </w:p>
          <w:p w14:paraId="5C8FDED9">
            <w:pPr>
              <w:ind w:firstLine="480"/>
              <w:rPr>
                <w:color w:val="auto"/>
              </w:rPr>
            </w:pPr>
            <w:r>
              <w:rPr>
                <w:color w:val="auto"/>
              </w:rPr>
              <w:t>根据《关于开展排放口规范化整治工作的通知》（环发〔1999〕24号）、《排污口规范化整治技术要求》（环监〔1996〕470号）、《固定污染源废气监测点位设置技术规范》（DB37/T3535-2019）等规定的要求，一切新建、改造、</w:t>
            </w:r>
            <w:r>
              <w:rPr>
                <w:rFonts w:hint="eastAsia"/>
                <w:color w:val="auto"/>
              </w:rPr>
              <w:t>技改</w:t>
            </w:r>
            <w:r>
              <w:rPr>
                <w:color w:val="auto"/>
              </w:rPr>
              <w:t>的排污单位以及限期治理的排污单位必须在建设污染治理设施的同时，建设规范化排放口。因此，建设项目产生的各类污染物的排放口必须规范化，并且规范化工作的完成必须与污染治理设施同步。</w:t>
            </w:r>
          </w:p>
          <w:p w14:paraId="46971901">
            <w:pPr>
              <w:ind w:firstLine="480"/>
              <w:rPr>
                <w:rFonts w:hint="eastAsia"/>
                <w:color w:val="auto"/>
              </w:rPr>
            </w:pPr>
            <w:r>
              <w:rPr>
                <w:color w:val="auto"/>
              </w:rPr>
              <w:t>1）废气排口</w:t>
            </w:r>
          </w:p>
          <w:p w14:paraId="70891BFA">
            <w:pPr>
              <w:ind w:firstLine="480"/>
              <w:rPr>
                <w:rFonts w:hint="eastAsia"/>
                <w:color w:val="auto"/>
              </w:rPr>
            </w:pPr>
            <w:r>
              <w:rPr>
                <w:color w:val="auto"/>
              </w:rPr>
              <w:t>应在醒目处设立环境保护图形标志牌，按要求加以标识。在适当位置设置便于采样、监测的采样口和采样平台。排污口规范化整治，应符合国家、省、市有关规定，并通过主管环保部门认证和验收。</w:t>
            </w:r>
          </w:p>
          <w:p w14:paraId="67906622">
            <w:pPr>
              <w:ind w:firstLine="480"/>
              <w:rPr>
                <w:rFonts w:hint="eastAsia"/>
                <w:color w:val="auto"/>
              </w:rPr>
            </w:pPr>
            <w:r>
              <w:rPr>
                <w:color w:val="auto"/>
              </w:rPr>
              <w:t>2）废水排口</w:t>
            </w:r>
          </w:p>
          <w:p w14:paraId="78651875">
            <w:pPr>
              <w:ind w:firstLine="480"/>
              <w:rPr>
                <w:rFonts w:hint="eastAsia"/>
                <w:color w:val="auto"/>
              </w:rPr>
            </w:pPr>
            <w:r>
              <w:rPr>
                <w:color w:val="auto"/>
              </w:rPr>
              <w:t>合理确定污水排放口位置，总排污口须设置环保标志牌，列入重点整治的污水排放口须安装流量计。</w:t>
            </w:r>
          </w:p>
          <w:p w14:paraId="36D3C606">
            <w:pPr>
              <w:ind w:firstLine="480"/>
              <w:rPr>
                <w:rFonts w:hint="eastAsia"/>
                <w:color w:val="auto"/>
              </w:rPr>
            </w:pPr>
            <w:r>
              <w:rPr>
                <w:color w:val="auto"/>
              </w:rPr>
              <w:t>3）固体废物贮存场所</w:t>
            </w:r>
          </w:p>
          <w:p w14:paraId="08D37EB5">
            <w:pPr>
              <w:ind w:firstLine="480"/>
              <w:rPr>
                <w:rFonts w:hint="eastAsia"/>
                <w:color w:val="auto"/>
              </w:rPr>
            </w:pPr>
            <w:r>
              <w:rPr>
                <w:color w:val="auto"/>
              </w:rPr>
              <w:t>一般工业固废暂存库应根据《环境保护图形标志－固体废物贮存（处置）场》（GB15562.2-1995）的要求设置环境保护图形标志，标志牌应设在与之功能相应的醒目处，标志牌必须保护持清晰、完整。当发现形象损坏、颜色污染或有变化、褪色等不符合本标准的情况，应及时修复或更换。检查时间至少每半年一次。</w:t>
            </w:r>
          </w:p>
          <w:p w14:paraId="72DABAB8">
            <w:pPr>
              <w:ind w:firstLine="480"/>
              <w:rPr>
                <w:rFonts w:hint="eastAsia"/>
                <w:color w:val="auto"/>
              </w:rPr>
            </w:pPr>
            <w:r>
              <w:rPr>
                <w:color w:val="auto"/>
              </w:rPr>
              <w:t>4）排污口立标管理</w:t>
            </w:r>
          </w:p>
          <w:p w14:paraId="088CFA39">
            <w:pPr>
              <w:ind w:firstLine="480"/>
              <w:rPr>
                <w:color w:val="auto"/>
              </w:rPr>
            </w:pPr>
            <w:r>
              <w:rPr>
                <w:color w:val="auto"/>
              </w:rPr>
              <w:t>污染物排放口，应按照国家《环境保护图形标志排放口（源）》（GB1556.2-1995）、《环境保护图形标志固体废物贮存（处置）场》（GB15562.2-1995）的规定，设置原国家环保总局统一制作的环境保护标志牌。</w:t>
            </w:r>
          </w:p>
          <w:p w14:paraId="2C1820EB">
            <w:pPr>
              <w:ind w:firstLine="480"/>
              <w:rPr>
                <w:color w:val="auto"/>
              </w:rPr>
            </w:pPr>
            <w:r>
              <w:rPr>
                <w:color w:val="auto"/>
              </w:rPr>
              <w:t>环境保护图形标志的形状及颜色见表5</w:t>
            </w:r>
            <w:r>
              <w:rPr>
                <w:rFonts w:hint="eastAsia"/>
                <w:color w:val="auto"/>
              </w:rPr>
              <w:t>-1</w:t>
            </w:r>
            <w:r>
              <w:rPr>
                <w:color w:val="auto"/>
              </w:rPr>
              <w:t>，环境保护图形符号见表5</w:t>
            </w:r>
            <w:r>
              <w:rPr>
                <w:rFonts w:hint="eastAsia"/>
                <w:color w:val="auto"/>
              </w:rPr>
              <w:t>-2</w:t>
            </w:r>
            <w:r>
              <w:rPr>
                <w:color w:val="auto"/>
              </w:rPr>
              <w:t>。</w:t>
            </w:r>
          </w:p>
          <w:p w14:paraId="75159670">
            <w:pPr>
              <w:pStyle w:val="58"/>
              <w:ind w:firstLine="422"/>
              <w:rPr>
                <w:color w:val="auto"/>
              </w:rPr>
            </w:pPr>
            <w:r>
              <w:rPr>
                <w:color w:val="auto"/>
              </w:rPr>
              <w:t>表5-1环境保护图形标志的形状及颜色</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2069"/>
              <w:gridCol w:w="2069"/>
              <w:gridCol w:w="2072"/>
            </w:tblGrid>
            <w:tr w14:paraId="78C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49" w:type="pct"/>
                  <w:tcBorders>
                    <w:tl2br w:val="nil"/>
                    <w:tr2bl w:val="nil"/>
                  </w:tcBorders>
                  <w:vAlign w:val="center"/>
                </w:tcPr>
                <w:p w14:paraId="33380E75">
                  <w:pPr>
                    <w:widowControl/>
                    <w:spacing w:line="240" w:lineRule="auto"/>
                    <w:ind w:firstLine="480"/>
                    <w:jc w:val="center"/>
                    <w:rPr>
                      <w:b/>
                      <w:bCs/>
                      <w:color w:val="auto"/>
                    </w:rPr>
                  </w:pPr>
                  <w:r>
                    <w:rPr>
                      <w:color w:val="auto"/>
                      <w:kern w:val="0"/>
                    </w:rPr>
                    <w:t>标志名称</w:t>
                  </w:r>
                </w:p>
              </w:tc>
              <w:tc>
                <w:tcPr>
                  <w:tcW w:w="1249" w:type="pct"/>
                  <w:tcBorders>
                    <w:tl2br w:val="nil"/>
                    <w:tr2bl w:val="nil"/>
                  </w:tcBorders>
                  <w:vAlign w:val="center"/>
                </w:tcPr>
                <w:p w14:paraId="33A07BB2">
                  <w:pPr>
                    <w:widowControl/>
                    <w:spacing w:line="240" w:lineRule="auto"/>
                    <w:ind w:firstLine="480"/>
                    <w:jc w:val="center"/>
                    <w:rPr>
                      <w:b/>
                      <w:bCs/>
                      <w:color w:val="auto"/>
                    </w:rPr>
                  </w:pPr>
                  <w:r>
                    <w:rPr>
                      <w:color w:val="auto"/>
                      <w:kern w:val="0"/>
                    </w:rPr>
                    <w:t>形状</w:t>
                  </w:r>
                </w:p>
              </w:tc>
              <w:tc>
                <w:tcPr>
                  <w:tcW w:w="1249" w:type="pct"/>
                  <w:tcBorders>
                    <w:tl2br w:val="nil"/>
                    <w:tr2bl w:val="nil"/>
                  </w:tcBorders>
                  <w:vAlign w:val="center"/>
                </w:tcPr>
                <w:p w14:paraId="0B05E859">
                  <w:pPr>
                    <w:tabs>
                      <w:tab w:val="left" w:pos="7770"/>
                    </w:tabs>
                    <w:adjustRightInd w:val="0"/>
                    <w:snapToGrid w:val="0"/>
                    <w:spacing w:line="240" w:lineRule="auto"/>
                    <w:ind w:firstLine="480"/>
                    <w:jc w:val="center"/>
                    <w:rPr>
                      <w:b/>
                      <w:bCs/>
                      <w:color w:val="auto"/>
                    </w:rPr>
                  </w:pPr>
                  <w:r>
                    <w:rPr>
                      <w:color w:val="auto"/>
                      <w:kern w:val="0"/>
                    </w:rPr>
                    <w:t>背景颜色</w:t>
                  </w:r>
                </w:p>
              </w:tc>
              <w:tc>
                <w:tcPr>
                  <w:tcW w:w="1250" w:type="pct"/>
                  <w:tcBorders>
                    <w:tl2br w:val="nil"/>
                    <w:tr2bl w:val="nil"/>
                  </w:tcBorders>
                  <w:vAlign w:val="center"/>
                </w:tcPr>
                <w:p w14:paraId="40483DC1">
                  <w:pPr>
                    <w:widowControl/>
                    <w:spacing w:line="240" w:lineRule="auto"/>
                    <w:ind w:firstLine="480"/>
                    <w:jc w:val="center"/>
                    <w:rPr>
                      <w:b/>
                      <w:bCs/>
                      <w:color w:val="auto"/>
                    </w:rPr>
                  </w:pPr>
                  <w:r>
                    <w:rPr>
                      <w:color w:val="auto"/>
                      <w:kern w:val="0"/>
                    </w:rPr>
                    <w:t>图形颜色</w:t>
                  </w:r>
                </w:p>
              </w:tc>
            </w:tr>
            <w:tr w14:paraId="1D2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Borders>
                    <w:tl2br w:val="nil"/>
                    <w:tr2bl w:val="nil"/>
                  </w:tcBorders>
                  <w:vAlign w:val="center"/>
                </w:tcPr>
                <w:p w14:paraId="5B36F023">
                  <w:pPr>
                    <w:widowControl/>
                    <w:spacing w:line="240" w:lineRule="auto"/>
                    <w:ind w:firstLine="480"/>
                    <w:jc w:val="center"/>
                    <w:rPr>
                      <w:b/>
                      <w:bCs/>
                      <w:color w:val="auto"/>
                    </w:rPr>
                  </w:pPr>
                  <w:r>
                    <w:rPr>
                      <w:color w:val="auto"/>
                      <w:kern w:val="0"/>
                    </w:rPr>
                    <w:t>警告标志</w:t>
                  </w:r>
                </w:p>
              </w:tc>
              <w:tc>
                <w:tcPr>
                  <w:tcW w:w="1249" w:type="pct"/>
                  <w:tcBorders>
                    <w:tl2br w:val="nil"/>
                    <w:tr2bl w:val="nil"/>
                  </w:tcBorders>
                  <w:vAlign w:val="center"/>
                </w:tcPr>
                <w:p w14:paraId="75F27CBF">
                  <w:pPr>
                    <w:widowControl/>
                    <w:spacing w:line="240" w:lineRule="auto"/>
                    <w:ind w:firstLine="480"/>
                    <w:jc w:val="center"/>
                    <w:rPr>
                      <w:b/>
                      <w:bCs/>
                      <w:color w:val="auto"/>
                    </w:rPr>
                  </w:pPr>
                  <w:r>
                    <w:rPr>
                      <w:color w:val="auto"/>
                      <w:kern w:val="0"/>
                    </w:rPr>
                    <w:t>三角形边框</w:t>
                  </w:r>
                </w:p>
              </w:tc>
              <w:tc>
                <w:tcPr>
                  <w:tcW w:w="1249" w:type="pct"/>
                  <w:tcBorders>
                    <w:tl2br w:val="nil"/>
                    <w:tr2bl w:val="nil"/>
                  </w:tcBorders>
                  <w:vAlign w:val="center"/>
                </w:tcPr>
                <w:p w14:paraId="68243DB0">
                  <w:pPr>
                    <w:widowControl/>
                    <w:spacing w:line="240" w:lineRule="auto"/>
                    <w:ind w:firstLine="480"/>
                    <w:jc w:val="center"/>
                    <w:rPr>
                      <w:b/>
                      <w:bCs/>
                      <w:color w:val="auto"/>
                    </w:rPr>
                  </w:pPr>
                  <w:r>
                    <w:rPr>
                      <w:color w:val="auto"/>
                      <w:kern w:val="0"/>
                    </w:rPr>
                    <w:t>黄色</w:t>
                  </w:r>
                </w:p>
              </w:tc>
              <w:tc>
                <w:tcPr>
                  <w:tcW w:w="1250" w:type="pct"/>
                  <w:tcBorders>
                    <w:tl2br w:val="nil"/>
                    <w:tr2bl w:val="nil"/>
                  </w:tcBorders>
                  <w:vAlign w:val="center"/>
                </w:tcPr>
                <w:p w14:paraId="04894434">
                  <w:pPr>
                    <w:widowControl/>
                    <w:spacing w:line="240" w:lineRule="auto"/>
                    <w:ind w:firstLine="480"/>
                    <w:jc w:val="center"/>
                    <w:rPr>
                      <w:b/>
                      <w:bCs/>
                      <w:color w:val="auto"/>
                    </w:rPr>
                  </w:pPr>
                  <w:r>
                    <w:rPr>
                      <w:color w:val="auto"/>
                      <w:kern w:val="0"/>
                    </w:rPr>
                    <w:t>黑色</w:t>
                  </w:r>
                </w:p>
              </w:tc>
            </w:tr>
            <w:tr w14:paraId="2F97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1249" w:type="pct"/>
                  <w:tcBorders>
                    <w:tl2br w:val="nil"/>
                    <w:tr2bl w:val="nil"/>
                  </w:tcBorders>
                  <w:vAlign w:val="center"/>
                </w:tcPr>
                <w:p w14:paraId="0BF21EC4">
                  <w:pPr>
                    <w:tabs>
                      <w:tab w:val="left" w:pos="7770"/>
                    </w:tabs>
                    <w:adjustRightInd w:val="0"/>
                    <w:snapToGrid w:val="0"/>
                    <w:spacing w:line="240" w:lineRule="auto"/>
                    <w:ind w:firstLine="480"/>
                    <w:jc w:val="center"/>
                    <w:rPr>
                      <w:color w:val="auto"/>
                    </w:rPr>
                  </w:pPr>
                  <w:r>
                    <w:rPr>
                      <w:color w:val="auto"/>
                    </w:rPr>
                    <w:t>提示标志</w:t>
                  </w:r>
                </w:p>
              </w:tc>
              <w:tc>
                <w:tcPr>
                  <w:tcW w:w="1249" w:type="pct"/>
                  <w:tcBorders>
                    <w:tl2br w:val="nil"/>
                    <w:tr2bl w:val="nil"/>
                  </w:tcBorders>
                  <w:vAlign w:val="center"/>
                </w:tcPr>
                <w:p w14:paraId="3457AA1B">
                  <w:pPr>
                    <w:tabs>
                      <w:tab w:val="left" w:pos="7770"/>
                    </w:tabs>
                    <w:adjustRightInd w:val="0"/>
                    <w:snapToGrid w:val="0"/>
                    <w:spacing w:line="240" w:lineRule="auto"/>
                    <w:ind w:firstLine="480"/>
                    <w:jc w:val="center"/>
                    <w:rPr>
                      <w:color w:val="auto"/>
                    </w:rPr>
                  </w:pPr>
                  <w:r>
                    <w:rPr>
                      <w:color w:val="auto"/>
                    </w:rPr>
                    <w:t>正方形边框</w:t>
                  </w:r>
                </w:p>
              </w:tc>
              <w:tc>
                <w:tcPr>
                  <w:tcW w:w="1249" w:type="pct"/>
                  <w:tcBorders>
                    <w:tl2br w:val="nil"/>
                    <w:tr2bl w:val="nil"/>
                  </w:tcBorders>
                  <w:vAlign w:val="center"/>
                </w:tcPr>
                <w:p w14:paraId="09229384">
                  <w:pPr>
                    <w:tabs>
                      <w:tab w:val="left" w:pos="7770"/>
                    </w:tabs>
                    <w:adjustRightInd w:val="0"/>
                    <w:snapToGrid w:val="0"/>
                    <w:spacing w:line="240" w:lineRule="auto"/>
                    <w:ind w:firstLine="480"/>
                    <w:jc w:val="center"/>
                    <w:rPr>
                      <w:color w:val="auto"/>
                    </w:rPr>
                  </w:pPr>
                  <w:r>
                    <w:rPr>
                      <w:color w:val="auto"/>
                    </w:rPr>
                    <w:t>绿色</w:t>
                  </w:r>
                </w:p>
              </w:tc>
              <w:tc>
                <w:tcPr>
                  <w:tcW w:w="1250" w:type="pct"/>
                  <w:tcBorders>
                    <w:tl2br w:val="nil"/>
                    <w:tr2bl w:val="nil"/>
                  </w:tcBorders>
                  <w:vAlign w:val="center"/>
                </w:tcPr>
                <w:p w14:paraId="1C4849AB">
                  <w:pPr>
                    <w:tabs>
                      <w:tab w:val="left" w:pos="7770"/>
                    </w:tabs>
                    <w:adjustRightInd w:val="0"/>
                    <w:snapToGrid w:val="0"/>
                    <w:spacing w:line="240" w:lineRule="auto"/>
                    <w:ind w:firstLine="480"/>
                    <w:jc w:val="center"/>
                    <w:rPr>
                      <w:color w:val="auto"/>
                    </w:rPr>
                  </w:pPr>
                  <w:r>
                    <w:rPr>
                      <w:color w:val="auto"/>
                    </w:rPr>
                    <w:t>白色</w:t>
                  </w:r>
                </w:p>
              </w:tc>
            </w:tr>
          </w:tbl>
          <w:p w14:paraId="3AFD15A4">
            <w:pPr>
              <w:pStyle w:val="58"/>
              <w:ind w:firstLine="422"/>
              <w:rPr>
                <w:color w:val="auto"/>
              </w:rPr>
            </w:pPr>
            <w:r>
              <w:rPr>
                <w:color w:val="auto"/>
              </w:rPr>
              <w:t>表5-2环境保护图形符号一览表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195"/>
              <w:gridCol w:w="1837"/>
              <w:gridCol w:w="1595"/>
              <w:gridCol w:w="1950"/>
            </w:tblGrid>
            <w:tr w14:paraId="503D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423" w:type="pct"/>
                  <w:tcBorders>
                    <w:tl2br w:val="nil"/>
                    <w:tr2bl w:val="nil"/>
                  </w:tcBorders>
                  <w:vAlign w:val="center"/>
                </w:tcPr>
                <w:p w14:paraId="5615B26A">
                  <w:pPr>
                    <w:pStyle w:val="57"/>
                    <w:rPr>
                      <w:b/>
                      <w:bCs w:val="0"/>
                      <w:color w:val="auto"/>
                    </w:rPr>
                  </w:pPr>
                  <w:r>
                    <w:rPr>
                      <w:b/>
                      <w:bCs w:val="0"/>
                      <w:color w:val="auto"/>
                    </w:rPr>
                    <w:t>序号</w:t>
                  </w:r>
                </w:p>
              </w:tc>
              <w:tc>
                <w:tcPr>
                  <w:tcW w:w="1325" w:type="pct"/>
                  <w:tcBorders>
                    <w:tl2br w:val="nil"/>
                    <w:tr2bl w:val="nil"/>
                  </w:tcBorders>
                  <w:vAlign w:val="center"/>
                </w:tcPr>
                <w:p w14:paraId="77629EDE">
                  <w:pPr>
                    <w:pStyle w:val="57"/>
                    <w:rPr>
                      <w:b/>
                      <w:bCs w:val="0"/>
                      <w:color w:val="auto"/>
                    </w:rPr>
                  </w:pPr>
                  <w:r>
                    <w:rPr>
                      <w:b/>
                      <w:bCs w:val="0"/>
                      <w:color w:val="auto"/>
                    </w:rPr>
                    <w:t>提示图形符号</w:t>
                  </w:r>
                </w:p>
              </w:tc>
              <w:tc>
                <w:tcPr>
                  <w:tcW w:w="1109" w:type="pct"/>
                  <w:tcBorders>
                    <w:tl2br w:val="nil"/>
                    <w:tr2bl w:val="nil"/>
                  </w:tcBorders>
                  <w:vAlign w:val="center"/>
                </w:tcPr>
                <w:p w14:paraId="5D287B82">
                  <w:pPr>
                    <w:pStyle w:val="57"/>
                    <w:rPr>
                      <w:b/>
                      <w:bCs w:val="0"/>
                      <w:color w:val="auto"/>
                    </w:rPr>
                  </w:pPr>
                  <w:r>
                    <w:rPr>
                      <w:b/>
                      <w:bCs w:val="0"/>
                      <w:color w:val="auto"/>
                    </w:rPr>
                    <w:t>警告图形符号</w:t>
                  </w:r>
                </w:p>
              </w:tc>
              <w:tc>
                <w:tcPr>
                  <w:tcW w:w="963" w:type="pct"/>
                  <w:tcBorders>
                    <w:tl2br w:val="nil"/>
                    <w:tr2bl w:val="nil"/>
                  </w:tcBorders>
                  <w:vAlign w:val="center"/>
                </w:tcPr>
                <w:p w14:paraId="38457F33">
                  <w:pPr>
                    <w:pStyle w:val="57"/>
                    <w:rPr>
                      <w:b/>
                      <w:bCs w:val="0"/>
                      <w:color w:val="auto"/>
                    </w:rPr>
                  </w:pPr>
                  <w:r>
                    <w:rPr>
                      <w:b/>
                      <w:bCs w:val="0"/>
                      <w:color w:val="auto"/>
                    </w:rPr>
                    <w:t>名称</w:t>
                  </w:r>
                </w:p>
              </w:tc>
              <w:tc>
                <w:tcPr>
                  <w:tcW w:w="1177" w:type="pct"/>
                  <w:tcBorders>
                    <w:tl2br w:val="nil"/>
                    <w:tr2bl w:val="nil"/>
                  </w:tcBorders>
                  <w:vAlign w:val="center"/>
                </w:tcPr>
                <w:p w14:paraId="42D18AEF">
                  <w:pPr>
                    <w:pStyle w:val="57"/>
                    <w:rPr>
                      <w:b/>
                      <w:bCs w:val="0"/>
                      <w:color w:val="auto"/>
                    </w:rPr>
                  </w:pPr>
                  <w:r>
                    <w:rPr>
                      <w:b/>
                      <w:bCs w:val="0"/>
                      <w:color w:val="auto"/>
                    </w:rPr>
                    <w:t>功能</w:t>
                  </w:r>
                </w:p>
              </w:tc>
            </w:tr>
            <w:tr w14:paraId="7D53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trPr>
              <w:tc>
                <w:tcPr>
                  <w:tcW w:w="423" w:type="pct"/>
                  <w:tcBorders>
                    <w:tl2br w:val="nil"/>
                    <w:tr2bl w:val="nil"/>
                  </w:tcBorders>
                  <w:vAlign w:val="center"/>
                </w:tcPr>
                <w:p w14:paraId="523C1AA2">
                  <w:pPr>
                    <w:pStyle w:val="57"/>
                    <w:rPr>
                      <w:color w:val="auto"/>
                    </w:rPr>
                  </w:pPr>
                  <w:r>
                    <w:rPr>
                      <w:color w:val="auto"/>
                    </w:rPr>
                    <w:t>1</w:t>
                  </w:r>
                </w:p>
              </w:tc>
              <w:tc>
                <w:tcPr>
                  <w:tcW w:w="1325" w:type="pct"/>
                  <w:tcBorders>
                    <w:tl2br w:val="nil"/>
                    <w:tr2bl w:val="nil"/>
                  </w:tcBorders>
                  <w:vAlign w:val="center"/>
                </w:tcPr>
                <w:p w14:paraId="24C4179E">
                  <w:pPr>
                    <w:pStyle w:val="57"/>
                    <w:rPr>
                      <w:color w:val="auto"/>
                    </w:rPr>
                  </w:pPr>
                  <w:r>
                    <w:rPr>
                      <w:color w:val="auto"/>
                    </w:rPr>
                    <w:drawing>
                      <wp:inline distT="0" distB="0" distL="0" distR="0">
                        <wp:extent cx="914400" cy="854075"/>
                        <wp:effectExtent l="19050" t="0" r="0" b="0"/>
                        <wp:docPr id="22"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0"/>
                                <pic:cNvPicPr>
                                  <a:picLocks noChangeAspect="1" noChangeArrowheads="1"/>
                                </pic:cNvPicPr>
                              </pic:nvPicPr>
                              <pic:blipFill>
                                <a:blip r:embed="rId28"/>
                                <a:srcRect/>
                                <a:stretch>
                                  <a:fillRect/>
                                </a:stretch>
                              </pic:blipFill>
                              <pic:spPr>
                                <a:xfrm>
                                  <a:off x="0" y="0"/>
                                  <a:ext cx="914400" cy="854075"/>
                                </a:xfrm>
                                <a:prstGeom prst="rect">
                                  <a:avLst/>
                                </a:prstGeom>
                                <a:noFill/>
                                <a:ln w="9525">
                                  <a:noFill/>
                                  <a:miter lim="800000"/>
                                  <a:headEnd/>
                                  <a:tailEnd/>
                                </a:ln>
                              </pic:spPr>
                            </pic:pic>
                          </a:graphicData>
                        </a:graphic>
                      </wp:inline>
                    </w:drawing>
                  </w:r>
                </w:p>
              </w:tc>
              <w:tc>
                <w:tcPr>
                  <w:tcW w:w="1109" w:type="pct"/>
                  <w:tcBorders>
                    <w:tl2br w:val="nil"/>
                    <w:tr2bl w:val="nil"/>
                  </w:tcBorders>
                  <w:vAlign w:val="center"/>
                </w:tcPr>
                <w:p w14:paraId="20A48AAB">
                  <w:pPr>
                    <w:pStyle w:val="57"/>
                    <w:rPr>
                      <w:color w:val="auto"/>
                    </w:rPr>
                  </w:pPr>
                  <w:r>
                    <w:rPr>
                      <w:color w:val="auto"/>
                    </w:rPr>
                    <w:drawing>
                      <wp:inline distT="0" distB="0" distL="0" distR="0">
                        <wp:extent cx="819785" cy="741680"/>
                        <wp:effectExtent l="19050" t="0" r="0" b="0"/>
                        <wp:docPr id="23"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1"/>
                                <pic:cNvPicPr>
                                  <a:picLocks noChangeAspect="1" noChangeArrowheads="1"/>
                                </pic:cNvPicPr>
                              </pic:nvPicPr>
                              <pic:blipFill>
                                <a:blip r:embed="rId29"/>
                                <a:srcRect/>
                                <a:stretch>
                                  <a:fillRect/>
                                </a:stretch>
                              </pic:blipFill>
                              <pic:spPr>
                                <a:xfrm>
                                  <a:off x="0" y="0"/>
                                  <a:ext cx="819785" cy="741680"/>
                                </a:xfrm>
                                <a:prstGeom prst="rect">
                                  <a:avLst/>
                                </a:prstGeom>
                                <a:noFill/>
                                <a:ln w="9525">
                                  <a:noFill/>
                                  <a:miter lim="800000"/>
                                  <a:headEnd/>
                                  <a:tailEnd/>
                                </a:ln>
                              </pic:spPr>
                            </pic:pic>
                          </a:graphicData>
                        </a:graphic>
                      </wp:inline>
                    </w:drawing>
                  </w:r>
                </w:p>
              </w:tc>
              <w:tc>
                <w:tcPr>
                  <w:tcW w:w="963" w:type="pct"/>
                  <w:tcBorders>
                    <w:tl2br w:val="nil"/>
                    <w:tr2bl w:val="nil"/>
                  </w:tcBorders>
                  <w:vAlign w:val="center"/>
                </w:tcPr>
                <w:p w14:paraId="4F604C91">
                  <w:pPr>
                    <w:pStyle w:val="57"/>
                    <w:rPr>
                      <w:color w:val="auto"/>
                    </w:rPr>
                  </w:pPr>
                  <w:r>
                    <w:rPr>
                      <w:color w:val="auto"/>
                    </w:rPr>
                    <w:t>废水排放口</w:t>
                  </w:r>
                </w:p>
              </w:tc>
              <w:tc>
                <w:tcPr>
                  <w:tcW w:w="1177" w:type="pct"/>
                  <w:tcBorders>
                    <w:tl2br w:val="nil"/>
                    <w:tr2bl w:val="nil"/>
                  </w:tcBorders>
                  <w:vAlign w:val="center"/>
                </w:tcPr>
                <w:p w14:paraId="3527B246">
                  <w:pPr>
                    <w:pStyle w:val="57"/>
                    <w:rPr>
                      <w:color w:val="auto"/>
                    </w:rPr>
                  </w:pPr>
                  <w:r>
                    <w:rPr>
                      <w:color w:val="auto"/>
                    </w:rPr>
                    <w:t>表示废水向外环境排放</w:t>
                  </w:r>
                </w:p>
              </w:tc>
            </w:tr>
            <w:tr w14:paraId="7549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423" w:type="pct"/>
                  <w:tcBorders>
                    <w:tl2br w:val="nil"/>
                    <w:tr2bl w:val="nil"/>
                  </w:tcBorders>
                  <w:vAlign w:val="center"/>
                </w:tcPr>
                <w:p w14:paraId="53741976">
                  <w:pPr>
                    <w:pStyle w:val="57"/>
                    <w:rPr>
                      <w:color w:val="auto"/>
                    </w:rPr>
                  </w:pPr>
                  <w:r>
                    <w:rPr>
                      <w:color w:val="auto"/>
                    </w:rPr>
                    <w:t>2</w:t>
                  </w:r>
                </w:p>
              </w:tc>
              <w:tc>
                <w:tcPr>
                  <w:tcW w:w="1325" w:type="pct"/>
                  <w:tcBorders>
                    <w:tl2br w:val="nil"/>
                    <w:tr2bl w:val="nil"/>
                  </w:tcBorders>
                  <w:vAlign w:val="center"/>
                </w:tcPr>
                <w:p w14:paraId="7B345C85">
                  <w:pPr>
                    <w:pStyle w:val="57"/>
                    <w:rPr>
                      <w:color w:val="auto"/>
                    </w:rPr>
                  </w:pPr>
                  <w:r>
                    <w:rPr>
                      <w:color w:val="auto"/>
                    </w:rPr>
                    <w:drawing>
                      <wp:inline distT="0" distB="0" distL="0" distR="0">
                        <wp:extent cx="905510" cy="836930"/>
                        <wp:effectExtent l="19050" t="0" r="8890" b="0"/>
                        <wp:docPr id="24"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2"/>
                                <pic:cNvPicPr>
                                  <a:picLocks noChangeAspect="1" noChangeArrowheads="1"/>
                                </pic:cNvPicPr>
                              </pic:nvPicPr>
                              <pic:blipFill>
                                <a:blip r:embed="rId30"/>
                                <a:srcRect/>
                                <a:stretch>
                                  <a:fillRect/>
                                </a:stretch>
                              </pic:blipFill>
                              <pic:spPr>
                                <a:xfrm>
                                  <a:off x="0" y="0"/>
                                  <a:ext cx="905510" cy="836930"/>
                                </a:xfrm>
                                <a:prstGeom prst="rect">
                                  <a:avLst/>
                                </a:prstGeom>
                                <a:noFill/>
                                <a:ln w="9525">
                                  <a:noFill/>
                                  <a:miter lim="800000"/>
                                  <a:headEnd/>
                                  <a:tailEnd/>
                                </a:ln>
                              </pic:spPr>
                            </pic:pic>
                          </a:graphicData>
                        </a:graphic>
                      </wp:inline>
                    </w:drawing>
                  </w:r>
                </w:p>
              </w:tc>
              <w:tc>
                <w:tcPr>
                  <w:tcW w:w="1109" w:type="pct"/>
                  <w:tcBorders>
                    <w:tl2br w:val="nil"/>
                    <w:tr2bl w:val="nil"/>
                  </w:tcBorders>
                  <w:vAlign w:val="center"/>
                </w:tcPr>
                <w:p w14:paraId="7BD910F8">
                  <w:pPr>
                    <w:pStyle w:val="57"/>
                    <w:rPr>
                      <w:color w:val="auto"/>
                    </w:rPr>
                  </w:pPr>
                  <w:r>
                    <w:rPr>
                      <w:color w:val="auto"/>
                    </w:rPr>
                    <w:drawing>
                      <wp:inline distT="0" distB="0" distL="0" distR="0">
                        <wp:extent cx="828040" cy="741680"/>
                        <wp:effectExtent l="19050" t="0" r="0" b="0"/>
                        <wp:docPr id="25"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3"/>
                                <pic:cNvPicPr>
                                  <a:picLocks noChangeAspect="1" noChangeArrowheads="1"/>
                                </pic:cNvPicPr>
                              </pic:nvPicPr>
                              <pic:blipFill>
                                <a:blip r:embed="rId31"/>
                                <a:srcRect/>
                                <a:stretch>
                                  <a:fillRect/>
                                </a:stretch>
                              </pic:blipFill>
                              <pic:spPr>
                                <a:xfrm>
                                  <a:off x="0" y="0"/>
                                  <a:ext cx="828040" cy="741680"/>
                                </a:xfrm>
                                <a:prstGeom prst="rect">
                                  <a:avLst/>
                                </a:prstGeom>
                                <a:noFill/>
                                <a:ln w="9525">
                                  <a:noFill/>
                                  <a:miter lim="800000"/>
                                  <a:headEnd/>
                                  <a:tailEnd/>
                                </a:ln>
                              </pic:spPr>
                            </pic:pic>
                          </a:graphicData>
                        </a:graphic>
                      </wp:inline>
                    </w:drawing>
                  </w:r>
                </w:p>
              </w:tc>
              <w:tc>
                <w:tcPr>
                  <w:tcW w:w="963" w:type="pct"/>
                  <w:tcBorders>
                    <w:tl2br w:val="nil"/>
                    <w:tr2bl w:val="nil"/>
                  </w:tcBorders>
                  <w:vAlign w:val="center"/>
                </w:tcPr>
                <w:p w14:paraId="33A95D92">
                  <w:pPr>
                    <w:pStyle w:val="57"/>
                    <w:rPr>
                      <w:color w:val="auto"/>
                    </w:rPr>
                  </w:pPr>
                  <w:r>
                    <w:rPr>
                      <w:color w:val="auto"/>
                    </w:rPr>
                    <w:t>废气排放口</w:t>
                  </w:r>
                </w:p>
              </w:tc>
              <w:tc>
                <w:tcPr>
                  <w:tcW w:w="1177" w:type="pct"/>
                  <w:tcBorders>
                    <w:tl2br w:val="nil"/>
                    <w:tr2bl w:val="nil"/>
                  </w:tcBorders>
                  <w:vAlign w:val="center"/>
                </w:tcPr>
                <w:p w14:paraId="1AA16D89">
                  <w:pPr>
                    <w:pStyle w:val="57"/>
                    <w:rPr>
                      <w:color w:val="auto"/>
                    </w:rPr>
                  </w:pPr>
                  <w:r>
                    <w:rPr>
                      <w:color w:val="auto"/>
                    </w:rPr>
                    <w:t>表示废气向大气环境排放</w:t>
                  </w:r>
                </w:p>
              </w:tc>
            </w:tr>
            <w:tr w14:paraId="741F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423" w:type="pct"/>
                  <w:tcBorders>
                    <w:tl2br w:val="nil"/>
                    <w:tr2bl w:val="nil"/>
                  </w:tcBorders>
                  <w:vAlign w:val="center"/>
                </w:tcPr>
                <w:p w14:paraId="11CBBF58">
                  <w:pPr>
                    <w:pStyle w:val="57"/>
                    <w:rPr>
                      <w:color w:val="auto"/>
                    </w:rPr>
                  </w:pPr>
                  <w:r>
                    <w:rPr>
                      <w:color w:val="auto"/>
                    </w:rPr>
                    <w:t>3</w:t>
                  </w:r>
                </w:p>
              </w:tc>
              <w:tc>
                <w:tcPr>
                  <w:tcW w:w="1325" w:type="pct"/>
                  <w:tcBorders>
                    <w:tl2br w:val="nil"/>
                    <w:tr2bl w:val="nil"/>
                  </w:tcBorders>
                  <w:vAlign w:val="center"/>
                </w:tcPr>
                <w:p w14:paraId="23583BF6">
                  <w:pPr>
                    <w:pStyle w:val="57"/>
                    <w:rPr>
                      <w:color w:val="auto"/>
                    </w:rPr>
                  </w:pPr>
                  <w:r>
                    <w:rPr>
                      <w:color w:val="auto"/>
                    </w:rPr>
                    <w:drawing>
                      <wp:inline distT="0" distB="0" distL="0" distR="0">
                        <wp:extent cx="905510" cy="845185"/>
                        <wp:effectExtent l="19050" t="0" r="8890" b="0"/>
                        <wp:docPr id="26"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4"/>
                                <pic:cNvPicPr>
                                  <a:picLocks noChangeAspect="1" noChangeArrowheads="1"/>
                                </pic:cNvPicPr>
                              </pic:nvPicPr>
                              <pic:blipFill>
                                <a:blip r:embed="rId32"/>
                                <a:srcRect/>
                                <a:stretch>
                                  <a:fillRect/>
                                </a:stretch>
                              </pic:blipFill>
                              <pic:spPr>
                                <a:xfrm>
                                  <a:off x="0" y="0"/>
                                  <a:ext cx="905510" cy="845185"/>
                                </a:xfrm>
                                <a:prstGeom prst="rect">
                                  <a:avLst/>
                                </a:prstGeom>
                                <a:noFill/>
                                <a:ln w="9525">
                                  <a:noFill/>
                                  <a:miter lim="800000"/>
                                  <a:headEnd/>
                                  <a:tailEnd/>
                                </a:ln>
                              </pic:spPr>
                            </pic:pic>
                          </a:graphicData>
                        </a:graphic>
                      </wp:inline>
                    </w:drawing>
                  </w:r>
                </w:p>
              </w:tc>
              <w:tc>
                <w:tcPr>
                  <w:tcW w:w="1109" w:type="pct"/>
                  <w:tcBorders>
                    <w:tl2br w:val="nil"/>
                    <w:tr2bl w:val="nil"/>
                  </w:tcBorders>
                  <w:vAlign w:val="center"/>
                </w:tcPr>
                <w:p w14:paraId="2907AA18">
                  <w:pPr>
                    <w:pStyle w:val="57"/>
                    <w:rPr>
                      <w:color w:val="auto"/>
                    </w:rPr>
                  </w:pPr>
                  <w:r>
                    <w:rPr>
                      <w:color w:val="auto"/>
                    </w:rPr>
                    <w:drawing>
                      <wp:inline distT="0" distB="0" distL="0" distR="0">
                        <wp:extent cx="828040" cy="741680"/>
                        <wp:effectExtent l="19050" t="0" r="0" b="0"/>
                        <wp:docPr id="27"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5"/>
                                <pic:cNvPicPr>
                                  <a:picLocks noChangeAspect="1" noChangeArrowheads="1"/>
                                </pic:cNvPicPr>
                              </pic:nvPicPr>
                              <pic:blipFill>
                                <a:blip r:embed="rId33"/>
                                <a:srcRect/>
                                <a:stretch>
                                  <a:fillRect/>
                                </a:stretch>
                              </pic:blipFill>
                              <pic:spPr>
                                <a:xfrm>
                                  <a:off x="0" y="0"/>
                                  <a:ext cx="828040" cy="741680"/>
                                </a:xfrm>
                                <a:prstGeom prst="rect">
                                  <a:avLst/>
                                </a:prstGeom>
                                <a:noFill/>
                                <a:ln w="9525">
                                  <a:noFill/>
                                  <a:miter lim="800000"/>
                                  <a:headEnd/>
                                  <a:tailEnd/>
                                </a:ln>
                              </pic:spPr>
                            </pic:pic>
                          </a:graphicData>
                        </a:graphic>
                      </wp:inline>
                    </w:drawing>
                  </w:r>
                </w:p>
              </w:tc>
              <w:tc>
                <w:tcPr>
                  <w:tcW w:w="963" w:type="pct"/>
                  <w:tcBorders>
                    <w:tl2br w:val="nil"/>
                    <w:tr2bl w:val="nil"/>
                  </w:tcBorders>
                  <w:vAlign w:val="center"/>
                </w:tcPr>
                <w:p w14:paraId="3F710832">
                  <w:pPr>
                    <w:pStyle w:val="57"/>
                    <w:rPr>
                      <w:color w:val="auto"/>
                    </w:rPr>
                  </w:pPr>
                  <w:r>
                    <w:rPr>
                      <w:color w:val="auto"/>
                    </w:rPr>
                    <w:t>一般固体废物</w:t>
                  </w:r>
                </w:p>
              </w:tc>
              <w:tc>
                <w:tcPr>
                  <w:tcW w:w="1177" w:type="pct"/>
                  <w:tcBorders>
                    <w:tl2br w:val="nil"/>
                    <w:tr2bl w:val="nil"/>
                  </w:tcBorders>
                  <w:vAlign w:val="center"/>
                </w:tcPr>
                <w:p w14:paraId="15A06C28">
                  <w:pPr>
                    <w:pStyle w:val="57"/>
                    <w:rPr>
                      <w:color w:val="auto"/>
                    </w:rPr>
                  </w:pPr>
                  <w:r>
                    <w:rPr>
                      <w:color w:val="auto"/>
                    </w:rPr>
                    <w:t>表示一般固体废物贮存、处置场</w:t>
                  </w:r>
                </w:p>
              </w:tc>
            </w:tr>
            <w:tr w14:paraId="05CE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3" w:type="pct"/>
                  <w:tcBorders>
                    <w:tl2br w:val="nil"/>
                    <w:tr2bl w:val="nil"/>
                  </w:tcBorders>
                  <w:vAlign w:val="center"/>
                </w:tcPr>
                <w:p w14:paraId="173D3643">
                  <w:pPr>
                    <w:pStyle w:val="57"/>
                    <w:rPr>
                      <w:color w:val="auto"/>
                    </w:rPr>
                  </w:pPr>
                  <w:r>
                    <w:rPr>
                      <w:color w:val="auto"/>
                    </w:rPr>
                    <w:t>4</w:t>
                  </w:r>
                </w:p>
              </w:tc>
              <w:tc>
                <w:tcPr>
                  <w:tcW w:w="1325" w:type="pct"/>
                  <w:tcBorders>
                    <w:tl2br w:val="nil"/>
                    <w:tr2bl w:val="nil"/>
                  </w:tcBorders>
                  <w:vAlign w:val="center"/>
                </w:tcPr>
                <w:p w14:paraId="3A15D22B">
                  <w:pPr>
                    <w:pStyle w:val="57"/>
                    <w:rPr>
                      <w:color w:val="auto"/>
                    </w:rPr>
                  </w:pPr>
                  <w:r>
                    <w:rPr>
                      <w:color w:val="auto"/>
                    </w:rPr>
                    <w:drawing>
                      <wp:inline distT="0" distB="0" distL="0" distR="0">
                        <wp:extent cx="914400" cy="914400"/>
                        <wp:effectExtent l="19050" t="0" r="0" b="0"/>
                        <wp:docPr id="28"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6"/>
                                <pic:cNvPicPr>
                                  <a:picLocks noChangeAspect="1" noChangeArrowheads="1"/>
                                </pic:cNvPicPr>
                              </pic:nvPicPr>
                              <pic:blipFill>
                                <a:blip r:embed="rId34"/>
                                <a:srcRect/>
                                <a:stretch>
                                  <a:fillRect/>
                                </a:stretch>
                              </pic:blipFill>
                              <pic:spPr>
                                <a:xfrm>
                                  <a:off x="0" y="0"/>
                                  <a:ext cx="914400" cy="914400"/>
                                </a:xfrm>
                                <a:prstGeom prst="rect">
                                  <a:avLst/>
                                </a:prstGeom>
                                <a:noFill/>
                                <a:ln w="9525">
                                  <a:noFill/>
                                  <a:miter lim="800000"/>
                                  <a:headEnd/>
                                  <a:tailEnd/>
                                </a:ln>
                              </pic:spPr>
                            </pic:pic>
                          </a:graphicData>
                        </a:graphic>
                      </wp:inline>
                    </w:drawing>
                  </w:r>
                </w:p>
              </w:tc>
              <w:tc>
                <w:tcPr>
                  <w:tcW w:w="1109" w:type="pct"/>
                  <w:tcBorders>
                    <w:tl2br w:val="nil"/>
                    <w:tr2bl w:val="nil"/>
                  </w:tcBorders>
                  <w:vAlign w:val="center"/>
                </w:tcPr>
                <w:p w14:paraId="1DE79C74">
                  <w:pPr>
                    <w:pStyle w:val="57"/>
                    <w:rPr>
                      <w:color w:val="auto"/>
                    </w:rPr>
                  </w:pPr>
                  <w:r>
                    <w:rPr>
                      <w:color w:val="auto"/>
                    </w:rPr>
                    <w:drawing>
                      <wp:inline distT="0" distB="0" distL="0" distR="0">
                        <wp:extent cx="828040" cy="741680"/>
                        <wp:effectExtent l="19050" t="0" r="0" b="0"/>
                        <wp:docPr id="29"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7"/>
                                <pic:cNvPicPr>
                                  <a:picLocks noChangeAspect="1" noChangeArrowheads="1"/>
                                </pic:cNvPicPr>
                              </pic:nvPicPr>
                              <pic:blipFill>
                                <a:blip r:embed="rId35"/>
                                <a:srcRect/>
                                <a:stretch>
                                  <a:fillRect/>
                                </a:stretch>
                              </pic:blipFill>
                              <pic:spPr>
                                <a:xfrm>
                                  <a:off x="0" y="0"/>
                                  <a:ext cx="828040" cy="741680"/>
                                </a:xfrm>
                                <a:prstGeom prst="rect">
                                  <a:avLst/>
                                </a:prstGeom>
                                <a:noFill/>
                                <a:ln w="9525">
                                  <a:noFill/>
                                  <a:miter lim="800000"/>
                                  <a:headEnd/>
                                  <a:tailEnd/>
                                </a:ln>
                              </pic:spPr>
                            </pic:pic>
                          </a:graphicData>
                        </a:graphic>
                      </wp:inline>
                    </w:drawing>
                  </w:r>
                </w:p>
              </w:tc>
              <w:tc>
                <w:tcPr>
                  <w:tcW w:w="963" w:type="pct"/>
                  <w:tcBorders>
                    <w:tl2br w:val="nil"/>
                    <w:tr2bl w:val="nil"/>
                  </w:tcBorders>
                  <w:vAlign w:val="center"/>
                </w:tcPr>
                <w:p w14:paraId="6666B05A">
                  <w:pPr>
                    <w:pStyle w:val="57"/>
                    <w:rPr>
                      <w:color w:val="auto"/>
                    </w:rPr>
                  </w:pPr>
                  <w:r>
                    <w:rPr>
                      <w:color w:val="auto"/>
                    </w:rPr>
                    <w:t>噪声排放源</w:t>
                  </w:r>
                </w:p>
              </w:tc>
              <w:tc>
                <w:tcPr>
                  <w:tcW w:w="1177" w:type="pct"/>
                  <w:tcBorders>
                    <w:tl2br w:val="nil"/>
                    <w:tr2bl w:val="nil"/>
                  </w:tcBorders>
                  <w:vAlign w:val="center"/>
                </w:tcPr>
                <w:p w14:paraId="2C4C79E6">
                  <w:pPr>
                    <w:pStyle w:val="57"/>
                    <w:rPr>
                      <w:color w:val="auto"/>
                    </w:rPr>
                  </w:pPr>
                  <w:r>
                    <w:rPr>
                      <w:color w:val="auto"/>
                    </w:rPr>
                    <w:t>表示噪声向外环境排放</w:t>
                  </w:r>
                </w:p>
              </w:tc>
            </w:tr>
            <w:tr w14:paraId="006A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423" w:type="pct"/>
                  <w:tcBorders>
                    <w:tl2br w:val="nil"/>
                    <w:tr2bl w:val="nil"/>
                  </w:tcBorders>
                  <w:vAlign w:val="center"/>
                </w:tcPr>
                <w:p w14:paraId="67DBDC98">
                  <w:pPr>
                    <w:pStyle w:val="57"/>
                    <w:rPr>
                      <w:color w:val="auto"/>
                    </w:rPr>
                  </w:pPr>
                  <w:r>
                    <w:rPr>
                      <w:color w:val="auto"/>
                    </w:rPr>
                    <w:t>5</w:t>
                  </w:r>
                </w:p>
              </w:tc>
              <w:tc>
                <w:tcPr>
                  <w:tcW w:w="1325" w:type="pct"/>
                  <w:tcBorders>
                    <w:tl2br w:val="nil"/>
                    <w:tr2bl w:val="nil"/>
                  </w:tcBorders>
                  <w:vAlign w:val="center"/>
                </w:tcPr>
                <w:p w14:paraId="6A15523E">
                  <w:pPr>
                    <w:pStyle w:val="57"/>
                    <w:rPr>
                      <w:color w:val="auto"/>
                    </w:rPr>
                  </w:pPr>
                  <w:r>
                    <w:rPr>
                      <w:color w:val="auto"/>
                    </w:rPr>
                    <w:t>/</w:t>
                  </w:r>
                </w:p>
              </w:tc>
              <w:tc>
                <w:tcPr>
                  <w:tcW w:w="1109" w:type="pct"/>
                  <w:tcBorders>
                    <w:tl2br w:val="nil"/>
                    <w:tr2bl w:val="nil"/>
                  </w:tcBorders>
                  <w:vAlign w:val="center"/>
                </w:tcPr>
                <w:p w14:paraId="1C634BD9">
                  <w:pPr>
                    <w:pStyle w:val="57"/>
                    <w:rPr>
                      <w:color w:val="auto"/>
                    </w:rPr>
                  </w:pPr>
                  <w:r>
                    <w:rPr>
                      <w:color w:val="auto"/>
                    </w:rPr>
                    <w:drawing>
                      <wp:inline distT="0" distB="0" distL="0" distR="0">
                        <wp:extent cx="828040" cy="750570"/>
                        <wp:effectExtent l="19050" t="0" r="0" b="0"/>
                        <wp:docPr id="30"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8"/>
                                <pic:cNvPicPr>
                                  <a:picLocks noChangeAspect="1" noChangeArrowheads="1"/>
                                </pic:cNvPicPr>
                              </pic:nvPicPr>
                              <pic:blipFill>
                                <a:blip r:embed="rId36"/>
                                <a:srcRect/>
                                <a:stretch>
                                  <a:fillRect/>
                                </a:stretch>
                              </pic:blipFill>
                              <pic:spPr>
                                <a:xfrm>
                                  <a:off x="0" y="0"/>
                                  <a:ext cx="828040" cy="750570"/>
                                </a:xfrm>
                                <a:prstGeom prst="rect">
                                  <a:avLst/>
                                </a:prstGeom>
                                <a:noFill/>
                                <a:ln w="9525">
                                  <a:noFill/>
                                  <a:miter lim="800000"/>
                                  <a:headEnd/>
                                  <a:tailEnd/>
                                </a:ln>
                              </pic:spPr>
                            </pic:pic>
                          </a:graphicData>
                        </a:graphic>
                      </wp:inline>
                    </w:drawing>
                  </w:r>
                </w:p>
              </w:tc>
              <w:tc>
                <w:tcPr>
                  <w:tcW w:w="963" w:type="pct"/>
                  <w:tcBorders>
                    <w:tl2br w:val="nil"/>
                    <w:tr2bl w:val="nil"/>
                  </w:tcBorders>
                  <w:vAlign w:val="center"/>
                </w:tcPr>
                <w:p w14:paraId="66A61215">
                  <w:pPr>
                    <w:pStyle w:val="57"/>
                    <w:rPr>
                      <w:color w:val="auto"/>
                    </w:rPr>
                  </w:pPr>
                  <w:r>
                    <w:rPr>
                      <w:color w:val="auto"/>
                    </w:rPr>
                    <w:t>危险废物</w:t>
                  </w:r>
                </w:p>
              </w:tc>
              <w:tc>
                <w:tcPr>
                  <w:tcW w:w="1177" w:type="pct"/>
                  <w:tcBorders>
                    <w:tl2br w:val="nil"/>
                    <w:tr2bl w:val="nil"/>
                  </w:tcBorders>
                  <w:vAlign w:val="center"/>
                </w:tcPr>
                <w:p w14:paraId="2D0D636D">
                  <w:pPr>
                    <w:pStyle w:val="57"/>
                    <w:rPr>
                      <w:color w:val="auto"/>
                    </w:rPr>
                  </w:pPr>
                  <w:r>
                    <w:rPr>
                      <w:color w:val="auto"/>
                    </w:rPr>
                    <w:t>表示危险废物贮存、处置场</w:t>
                  </w:r>
                </w:p>
              </w:tc>
            </w:tr>
          </w:tbl>
          <w:p w14:paraId="20AFD637">
            <w:pPr>
              <w:pStyle w:val="61"/>
              <w:numPr>
                <w:ilvl w:val="1"/>
                <w:numId w:val="0"/>
              </w:numPr>
              <w:snapToGrid w:val="0"/>
              <w:spacing w:line="348" w:lineRule="auto"/>
              <w:ind w:firstLine="482" w:firstLineChars="200"/>
              <w:rPr>
                <w:rFonts w:ascii="Times New Roman"/>
                <w:b/>
                <w:bCs/>
                <w:color w:val="auto"/>
              </w:rPr>
            </w:pPr>
            <w:r>
              <w:rPr>
                <w:rFonts w:ascii="Times New Roman"/>
                <w:b/>
                <w:bCs/>
                <w:color w:val="auto"/>
              </w:rPr>
              <w:t>2、与排污许可证制度衔接</w:t>
            </w:r>
          </w:p>
          <w:p w14:paraId="4FC62F38">
            <w:pPr>
              <w:widowControl/>
              <w:adjustRightInd w:val="0"/>
              <w:snapToGrid w:val="0"/>
              <w:ind w:firstLine="480"/>
              <w:rPr>
                <w:rFonts w:hint="eastAsia"/>
                <w:color w:val="auto"/>
              </w:rPr>
            </w:pPr>
            <w:r>
              <w:rPr>
                <w:color w:val="auto"/>
              </w:rPr>
              <w:t>根据《国务院办公厅关于印发控制污染物排放许可制实施方案的通知》（国办发〔2016〕81号）和《环境保护部关于印发〈</w:t>
            </w:r>
            <w:r>
              <w:rPr>
                <w:rFonts w:hint="eastAsia"/>
                <w:color w:val="auto"/>
              </w:rPr>
              <w:t>“</w:t>
            </w:r>
            <w:r>
              <w:rPr>
                <w:color w:val="auto"/>
              </w:rPr>
              <w:t>十三五</w:t>
            </w:r>
            <w:r>
              <w:rPr>
                <w:rFonts w:hint="eastAsia"/>
                <w:color w:val="auto"/>
              </w:rPr>
              <w:t>”</w:t>
            </w:r>
            <w:r>
              <w:rPr>
                <w:color w:val="auto"/>
              </w:rPr>
              <w:t>环境影响评价改革实施方案〉的通知》（环环评〔2016〕95号），环境影响评价制度是建设项目的环境准入门槛，是申请排污许可证的前提和重要依据。排污许可制是企事业单位生产运营期排污的法律依据，必须做好充分衔接工作，实现从污染预防到污染治理和排放控制的全程监管。</w:t>
            </w:r>
          </w:p>
          <w:p w14:paraId="25010D87">
            <w:pPr>
              <w:widowControl/>
              <w:adjustRightInd w:val="0"/>
              <w:snapToGrid w:val="0"/>
              <w:ind w:firstLine="480"/>
              <w:rPr>
                <w:color w:val="auto"/>
              </w:rPr>
            </w:pPr>
            <w:r>
              <w:rPr>
                <w:color w:val="auto"/>
              </w:rPr>
              <w:t>根据《安徽省生态环境厅关于统筹做好固定污染源排污许可日常监管工作的通知》（皖环发【2021】7号）中要求</w:t>
            </w:r>
            <w:r>
              <w:rPr>
                <w:rFonts w:hint="eastAsia"/>
                <w:color w:val="auto"/>
              </w:rPr>
              <w:t>“</w:t>
            </w:r>
            <w:r>
              <w:rPr>
                <w:color w:val="auto"/>
              </w:rPr>
              <w:t>（七）属于现行《固定污染源排污许可分类管理名录》内重点管理和简化管理的行业，建设单位在组织编制建设项目环境影响报告书（表）时，可结合相应行业排污许可证申请与核发技术规范，在环评文件中一并明确</w:t>
            </w:r>
            <w:r>
              <w:rPr>
                <w:rFonts w:hint="eastAsia"/>
                <w:color w:val="auto"/>
              </w:rPr>
              <w:t>“</w:t>
            </w:r>
            <w:r>
              <w:rPr>
                <w:color w:val="auto"/>
              </w:rPr>
              <w:t>建设项目环境影响评价与排污许可联动内容</w:t>
            </w:r>
            <w:r>
              <w:rPr>
                <w:rFonts w:hint="eastAsia"/>
                <w:color w:val="auto"/>
              </w:rPr>
              <w:t>”</w:t>
            </w:r>
            <w:r>
              <w:rPr>
                <w:color w:val="auto"/>
              </w:rPr>
              <w:t>和</w:t>
            </w:r>
            <w:r>
              <w:rPr>
                <w:rFonts w:hint="eastAsia"/>
                <w:color w:val="auto"/>
              </w:rPr>
              <w:t>“</w:t>
            </w:r>
            <w:r>
              <w:rPr>
                <w:color w:val="auto"/>
              </w:rPr>
              <w:t>建设项目排污许可申请与填报信息表</w:t>
            </w:r>
            <w:r>
              <w:rPr>
                <w:rFonts w:hint="eastAsia"/>
                <w:color w:val="auto"/>
              </w:rPr>
              <w:t>”</w:t>
            </w:r>
            <w:r>
              <w:rPr>
                <w:color w:val="auto"/>
              </w:rPr>
              <w:t>。建设单位在实际排污行为发生前申领排污许可证时，应按照项目实际建设情况，填报排污许可申请材料，在编制自主验收报告时，应专章分析排污许可管理要求的落实情况</w:t>
            </w:r>
            <w:r>
              <w:rPr>
                <w:rFonts w:hint="eastAsia"/>
                <w:color w:val="auto"/>
              </w:rPr>
              <w:t>”</w:t>
            </w:r>
            <w:r>
              <w:rPr>
                <w:color w:val="auto"/>
              </w:rPr>
              <w:t>。</w:t>
            </w:r>
          </w:p>
          <w:p w14:paraId="36F30699">
            <w:pPr>
              <w:adjustRightInd w:val="0"/>
              <w:snapToGrid w:val="0"/>
              <w:ind w:firstLine="480"/>
              <w:rPr>
                <w:bCs/>
                <w:color w:val="auto"/>
                <w:szCs w:val="32"/>
              </w:rPr>
            </w:pPr>
            <w:r>
              <w:rPr>
                <w:bCs/>
                <w:color w:val="auto"/>
                <w:szCs w:val="32"/>
              </w:rPr>
              <w:t>根据《国民经济行业分类》（GB/T4754-2017）（2019年修订）可知，</w:t>
            </w:r>
            <w:r>
              <w:rPr>
                <w:rFonts w:hint="eastAsia"/>
                <w:bCs/>
                <w:color w:val="auto"/>
                <w:szCs w:val="32"/>
              </w:rPr>
              <w:t>本项目</w:t>
            </w:r>
            <w:r>
              <w:rPr>
                <w:bCs/>
                <w:color w:val="auto"/>
                <w:szCs w:val="32"/>
              </w:rPr>
              <w:t>属于</w:t>
            </w:r>
            <w:r>
              <w:rPr>
                <w:rFonts w:hint="eastAsia"/>
                <w:bCs/>
                <w:color w:val="auto"/>
                <w:szCs w:val="32"/>
              </w:rPr>
              <w:t>“C2412笔的制造”、“</w:t>
            </w:r>
            <w:r>
              <w:rPr>
                <w:rFonts w:hint="eastAsia"/>
                <w:color w:val="auto"/>
              </w:rPr>
              <w:t>C2929塑料零件及其他塑料制品制造</w:t>
            </w:r>
            <w:r>
              <w:rPr>
                <w:rFonts w:hint="eastAsia"/>
                <w:bCs/>
                <w:color w:val="auto"/>
                <w:szCs w:val="32"/>
              </w:rPr>
              <w:t>”</w:t>
            </w:r>
            <w:r>
              <w:rPr>
                <w:bCs/>
                <w:color w:val="auto"/>
                <w:szCs w:val="32"/>
              </w:rPr>
              <w:t>。根据《固定污染源排污许可分类管理名录（2019年版）》，</w:t>
            </w:r>
            <w:r>
              <w:rPr>
                <w:rFonts w:hint="eastAsia"/>
                <w:bCs/>
                <w:color w:val="auto"/>
                <w:szCs w:val="32"/>
              </w:rPr>
              <w:t>本项目</w:t>
            </w:r>
            <w:r>
              <w:rPr>
                <w:bCs/>
                <w:color w:val="auto"/>
                <w:szCs w:val="32"/>
              </w:rPr>
              <w:t>属于</w:t>
            </w:r>
            <w:r>
              <w:rPr>
                <w:rFonts w:hint="eastAsia"/>
                <w:bCs/>
                <w:color w:val="auto"/>
                <w:szCs w:val="32"/>
              </w:rPr>
              <w:t>“</w:t>
            </w:r>
            <w:r>
              <w:rPr>
                <w:color w:val="auto"/>
              </w:rPr>
              <w:t>十九、文教、工美、体育和娱乐用品制造业24</w:t>
            </w:r>
            <w:r>
              <w:rPr>
                <w:rFonts w:hint="eastAsia"/>
                <w:color w:val="auto"/>
              </w:rPr>
              <w:t>，文教办公用品制造241，其他</w:t>
            </w:r>
            <w:r>
              <w:rPr>
                <w:rFonts w:hint="eastAsia"/>
                <w:bCs/>
                <w:color w:val="auto"/>
                <w:szCs w:val="32"/>
              </w:rPr>
              <w:t>”、“</w:t>
            </w:r>
            <w:r>
              <w:rPr>
                <w:color w:val="auto"/>
              </w:rPr>
              <w:t>二十四、橡胶和塑料制品业29</w:t>
            </w:r>
            <w:r>
              <w:rPr>
                <w:rFonts w:hint="eastAsia"/>
                <w:color w:val="auto"/>
              </w:rPr>
              <w:t>，塑料制品业292，塑料零件及其他塑料制品制造2929</w:t>
            </w:r>
            <w:r>
              <w:rPr>
                <w:rFonts w:hint="eastAsia"/>
                <w:bCs/>
                <w:color w:val="auto"/>
                <w:szCs w:val="32"/>
              </w:rPr>
              <w:t>”</w:t>
            </w:r>
            <w:r>
              <w:rPr>
                <w:bCs/>
                <w:color w:val="auto"/>
                <w:szCs w:val="32"/>
              </w:rPr>
              <w:t>。因此，项目建成后，排污许可管理类别为</w:t>
            </w:r>
            <w:r>
              <w:rPr>
                <w:rFonts w:hint="eastAsia"/>
                <w:bCs/>
                <w:color w:val="auto"/>
                <w:szCs w:val="32"/>
              </w:rPr>
              <w:t>“</w:t>
            </w:r>
            <w:r>
              <w:rPr>
                <w:bCs/>
                <w:color w:val="auto"/>
                <w:szCs w:val="32"/>
              </w:rPr>
              <w:t>登记管理</w:t>
            </w:r>
            <w:r>
              <w:rPr>
                <w:rFonts w:hint="eastAsia"/>
                <w:bCs/>
                <w:color w:val="auto"/>
                <w:szCs w:val="32"/>
              </w:rPr>
              <w:t>”</w:t>
            </w:r>
            <w:r>
              <w:rPr>
                <w:bCs/>
                <w:color w:val="auto"/>
                <w:szCs w:val="32"/>
              </w:rPr>
              <w:t>。</w:t>
            </w:r>
          </w:p>
          <w:p w14:paraId="061A1494">
            <w:pPr>
              <w:adjustRightInd w:val="0"/>
              <w:snapToGrid w:val="0"/>
              <w:ind w:firstLine="480"/>
              <w:rPr>
                <w:color w:val="auto"/>
              </w:rPr>
            </w:pPr>
            <w:r>
              <w:rPr>
                <w:rFonts w:hint="eastAsia"/>
                <w:color w:val="auto"/>
              </w:rPr>
              <w:t>本次项目</w:t>
            </w:r>
            <w:r>
              <w:rPr>
                <w:color w:val="auto"/>
              </w:rPr>
              <w:t>执行登记管理，要求企业在建成正式投产排污前申请排污许可手续。</w:t>
            </w:r>
          </w:p>
          <w:p w14:paraId="0CC8C5A2">
            <w:pPr>
              <w:widowControl/>
              <w:adjustRightInd w:val="0"/>
              <w:snapToGrid w:val="0"/>
              <w:spacing w:line="348" w:lineRule="auto"/>
              <w:ind w:firstLine="482"/>
              <w:jc w:val="left"/>
              <w:rPr>
                <w:b/>
                <w:bCs/>
                <w:color w:val="auto"/>
                <w:kern w:val="0"/>
              </w:rPr>
            </w:pPr>
            <w:r>
              <w:rPr>
                <w:b/>
                <w:bCs/>
                <w:color w:val="auto"/>
                <w:kern w:val="0"/>
              </w:rPr>
              <w:t>3、竣工环境保护设施验收</w:t>
            </w:r>
          </w:p>
          <w:p w14:paraId="468535BA">
            <w:pPr>
              <w:widowControl/>
              <w:adjustRightInd w:val="0"/>
              <w:snapToGrid w:val="0"/>
              <w:spacing w:line="348" w:lineRule="auto"/>
              <w:ind w:firstLine="480"/>
              <w:jc w:val="left"/>
              <w:rPr>
                <w:color w:val="auto"/>
                <w:kern w:val="0"/>
              </w:rPr>
            </w:pPr>
            <w:r>
              <w:rPr>
                <w:color w:val="auto"/>
                <w:kern w:val="0"/>
              </w:rPr>
              <w:t>根据《建设项目竣工环境保护验收暂行办法》的规定，建设项目竣工后，建设单位应当如实查验、监测、记载建设项目环境保护设施的建设和调试情况，编制验收监测报告。</w:t>
            </w:r>
          </w:p>
          <w:p w14:paraId="11427318">
            <w:pPr>
              <w:pStyle w:val="57"/>
              <w:rPr>
                <w:color w:val="auto"/>
                <w:sz w:val="24"/>
              </w:rPr>
            </w:pPr>
          </w:p>
          <w:p w14:paraId="12793FA5">
            <w:pPr>
              <w:pStyle w:val="57"/>
              <w:rPr>
                <w:color w:val="auto"/>
                <w:sz w:val="24"/>
              </w:rPr>
            </w:pPr>
          </w:p>
          <w:p w14:paraId="796904D7">
            <w:pPr>
              <w:pStyle w:val="57"/>
              <w:jc w:val="both"/>
              <w:rPr>
                <w:rFonts w:hint="eastAsia"/>
                <w:color w:val="auto"/>
                <w:sz w:val="24"/>
              </w:rPr>
            </w:pPr>
          </w:p>
          <w:p w14:paraId="6172E699">
            <w:pPr>
              <w:pStyle w:val="57"/>
              <w:jc w:val="both"/>
              <w:rPr>
                <w:rFonts w:hint="eastAsia"/>
                <w:color w:val="auto"/>
                <w:sz w:val="24"/>
              </w:rPr>
            </w:pPr>
          </w:p>
          <w:p w14:paraId="3AE6D74D">
            <w:pPr>
              <w:pStyle w:val="57"/>
              <w:jc w:val="both"/>
              <w:rPr>
                <w:rFonts w:hint="eastAsia"/>
                <w:color w:val="auto"/>
                <w:sz w:val="24"/>
              </w:rPr>
            </w:pPr>
          </w:p>
          <w:p w14:paraId="02159AC2">
            <w:pPr>
              <w:pStyle w:val="57"/>
              <w:jc w:val="both"/>
              <w:rPr>
                <w:rFonts w:hint="eastAsia"/>
                <w:color w:val="auto"/>
                <w:sz w:val="24"/>
              </w:rPr>
            </w:pPr>
          </w:p>
          <w:p w14:paraId="0FEB291C">
            <w:pPr>
              <w:pStyle w:val="57"/>
              <w:jc w:val="both"/>
              <w:rPr>
                <w:rFonts w:hint="eastAsia"/>
                <w:color w:val="auto"/>
                <w:sz w:val="24"/>
              </w:rPr>
            </w:pPr>
          </w:p>
          <w:p w14:paraId="0562A99B">
            <w:pPr>
              <w:pStyle w:val="57"/>
              <w:jc w:val="both"/>
              <w:rPr>
                <w:rFonts w:hint="eastAsia"/>
                <w:color w:val="auto"/>
                <w:sz w:val="24"/>
              </w:rPr>
            </w:pPr>
          </w:p>
          <w:p w14:paraId="4C365F67">
            <w:pPr>
              <w:pStyle w:val="57"/>
              <w:jc w:val="both"/>
              <w:rPr>
                <w:rFonts w:hint="eastAsia"/>
                <w:color w:val="auto"/>
                <w:sz w:val="24"/>
              </w:rPr>
            </w:pPr>
          </w:p>
          <w:p w14:paraId="30F5FB6B">
            <w:pPr>
              <w:pStyle w:val="57"/>
              <w:jc w:val="both"/>
              <w:rPr>
                <w:rFonts w:hint="eastAsia"/>
                <w:color w:val="auto"/>
                <w:sz w:val="24"/>
              </w:rPr>
            </w:pPr>
          </w:p>
          <w:p w14:paraId="2EF4F281">
            <w:pPr>
              <w:pStyle w:val="57"/>
              <w:jc w:val="both"/>
              <w:rPr>
                <w:rFonts w:hint="eastAsia"/>
                <w:color w:val="auto"/>
                <w:sz w:val="24"/>
              </w:rPr>
            </w:pPr>
          </w:p>
          <w:p w14:paraId="6D5801D7">
            <w:pPr>
              <w:pStyle w:val="57"/>
              <w:jc w:val="both"/>
              <w:rPr>
                <w:rFonts w:hint="eastAsia"/>
                <w:color w:val="auto"/>
                <w:sz w:val="24"/>
              </w:rPr>
            </w:pPr>
          </w:p>
          <w:p w14:paraId="5E632712">
            <w:pPr>
              <w:pStyle w:val="57"/>
              <w:jc w:val="both"/>
              <w:rPr>
                <w:rFonts w:hint="eastAsia"/>
                <w:color w:val="auto"/>
                <w:sz w:val="24"/>
              </w:rPr>
            </w:pPr>
          </w:p>
        </w:tc>
      </w:tr>
    </w:tbl>
    <w:p w14:paraId="3B4C34E7">
      <w:pPr>
        <w:pStyle w:val="34"/>
        <w:ind w:firstLine="480"/>
        <w:jc w:val="center"/>
        <w:outlineLvl w:val="0"/>
        <w:rPr>
          <w:rFonts w:ascii="黑体" w:hAnsi="黑体" w:eastAsia="黑体"/>
          <w:snapToGrid w:val="0"/>
          <w:color w:val="auto"/>
          <w:sz w:val="30"/>
          <w:szCs w:val="30"/>
        </w:rPr>
      </w:pPr>
      <w:r>
        <w:rPr>
          <w:snapToGrid w:val="0"/>
          <w:color w:val="auto"/>
        </w:rPr>
        <w:br w:type="page"/>
      </w:r>
      <w:bookmarkStart w:id="7" w:name="_Toc70503424"/>
      <w:r>
        <w:rPr>
          <w:rFonts w:hint="eastAsia" w:ascii="黑体" w:hAnsi="黑体" w:eastAsia="黑体"/>
          <w:snapToGrid w:val="0"/>
          <w:color w:val="auto"/>
          <w:sz w:val="30"/>
          <w:szCs w:val="30"/>
        </w:rPr>
        <w:t>六、结论</w:t>
      </w:r>
      <w:bookmarkEnd w:id="7"/>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D5D0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227CDCE">
            <w:pPr>
              <w:ind w:firstLine="480"/>
              <w:rPr>
                <w:rFonts w:ascii="宋体" w:cs="宋体"/>
                <w:color w:val="auto"/>
              </w:rPr>
            </w:pPr>
            <w:r>
              <w:rPr>
                <w:rFonts w:hint="eastAsia"/>
                <w:color w:val="auto"/>
              </w:rPr>
              <w:t>安徽名之尚文具有限公司鞋服装饰配件及文具生产项目符合国家和地方产业政策，只要严格落实本环境影响报告表提出的环保措施，确保本项目产生的污染物达标排放，从环境影响角度分析，本项目的建设可行。</w:t>
            </w:r>
          </w:p>
        </w:tc>
      </w:tr>
    </w:tbl>
    <w:p w14:paraId="0214925A">
      <w:pPr>
        <w:ind w:firstLine="480"/>
        <w:rPr>
          <w:rFonts w:ascii="宋体"/>
          <w:color w:val="auto"/>
        </w:rPr>
        <w:sectPr>
          <w:headerReference r:id="rId8" w:type="default"/>
          <w:footerReference r:id="rId9" w:type="default"/>
          <w:pgSz w:w="11906" w:h="16838"/>
          <w:pgMar w:top="1417" w:right="1247" w:bottom="1417" w:left="1247" w:header="283" w:footer="737" w:gutter="0"/>
          <w:cols w:space="720" w:num="1"/>
          <w:docGrid w:linePitch="312" w:charSpace="0"/>
        </w:sectPr>
      </w:pPr>
    </w:p>
    <w:p w14:paraId="419E25AC">
      <w:pPr>
        <w:pStyle w:val="34"/>
        <w:adjustRightInd w:val="0"/>
        <w:snapToGrid w:val="0"/>
        <w:spacing w:before="0" w:beforeAutospacing="0" w:after="0" w:afterAutospacing="0" w:line="240" w:lineRule="auto"/>
        <w:ind w:firstLine="1056" w:firstLineChars="330"/>
        <w:outlineLvl w:val="0"/>
        <w:rPr>
          <w:rFonts w:hint="eastAsia" w:ascii="黑体" w:hAnsi="黑体" w:eastAsia="黑体"/>
          <w:snapToGrid w:val="0"/>
          <w:color w:val="auto"/>
          <w:sz w:val="32"/>
          <w:szCs w:val="32"/>
        </w:rPr>
      </w:pPr>
      <w:bookmarkStart w:id="8" w:name="_Toc70503425"/>
      <w:r>
        <w:rPr>
          <w:rFonts w:hint="eastAsia" w:ascii="黑体" w:hAnsi="黑体" w:eastAsia="黑体"/>
          <w:snapToGrid w:val="0"/>
          <w:color w:val="auto"/>
          <w:sz w:val="32"/>
          <w:szCs w:val="32"/>
        </w:rPr>
        <w:t>附表</w:t>
      </w:r>
      <w:bookmarkEnd w:id="8"/>
    </w:p>
    <w:p w14:paraId="52CCF734">
      <w:pPr>
        <w:pStyle w:val="34"/>
        <w:adjustRightInd w:val="0"/>
        <w:snapToGrid w:val="0"/>
        <w:spacing w:before="0" w:beforeAutospacing="0" w:after="0" w:afterAutospacing="0" w:line="240" w:lineRule="auto"/>
        <w:ind w:firstLine="1254" w:firstLineChars="330"/>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37"/>
        <w:tblW w:w="138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29"/>
        <w:gridCol w:w="1735"/>
        <w:gridCol w:w="1229"/>
        <w:gridCol w:w="1696"/>
        <w:gridCol w:w="1555"/>
        <w:gridCol w:w="1379"/>
        <w:gridCol w:w="1815"/>
        <w:gridCol w:w="1471"/>
      </w:tblGrid>
      <w:tr w14:paraId="40BF8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tcBorders>
              <w:tl2br w:val="single" w:color="auto" w:sz="4" w:space="0"/>
            </w:tcBorders>
            <w:tcMar>
              <w:left w:w="28" w:type="dxa"/>
              <w:right w:w="28" w:type="dxa"/>
            </w:tcMar>
            <w:vAlign w:val="center"/>
          </w:tcPr>
          <w:p w14:paraId="4B60F886">
            <w:pPr>
              <w:pStyle w:val="57"/>
              <w:rPr>
                <w:b/>
                <w:bCs w:val="0"/>
                <w:color w:val="auto"/>
              </w:rPr>
            </w:pPr>
            <w:r>
              <w:rPr>
                <w:b/>
                <w:bCs w:val="0"/>
                <w:color w:val="auto"/>
              </w:rPr>
              <w:t>项目</w:t>
            </w:r>
          </w:p>
          <w:p w14:paraId="51C0AAC5">
            <w:pPr>
              <w:pStyle w:val="57"/>
              <w:jc w:val="both"/>
              <w:rPr>
                <w:b/>
                <w:bCs w:val="0"/>
                <w:color w:val="auto"/>
              </w:rPr>
            </w:pPr>
            <w:r>
              <w:rPr>
                <w:b/>
                <w:bCs w:val="0"/>
                <w:color w:val="auto"/>
              </w:rPr>
              <w:t>分类</w:t>
            </w:r>
          </w:p>
        </w:tc>
        <w:tc>
          <w:tcPr>
            <w:tcW w:w="1829" w:type="dxa"/>
            <w:tcMar>
              <w:left w:w="28" w:type="dxa"/>
              <w:right w:w="28" w:type="dxa"/>
            </w:tcMar>
            <w:vAlign w:val="center"/>
          </w:tcPr>
          <w:p w14:paraId="4D68E379">
            <w:pPr>
              <w:pStyle w:val="57"/>
              <w:rPr>
                <w:b/>
                <w:bCs w:val="0"/>
                <w:color w:val="auto"/>
              </w:rPr>
            </w:pPr>
            <w:r>
              <w:rPr>
                <w:b/>
                <w:bCs w:val="0"/>
                <w:color w:val="auto"/>
              </w:rPr>
              <w:t>污染物名称</w:t>
            </w:r>
          </w:p>
        </w:tc>
        <w:tc>
          <w:tcPr>
            <w:tcW w:w="1735" w:type="dxa"/>
            <w:tcMar>
              <w:left w:w="28" w:type="dxa"/>
              <w:right w:w="28" w:type="dxa"/>
            </w:tcMar>
            <w:vAlign w:val="center"/>
          </w:tcPr>
          <w:p w14:paraId="1FC60A9C">
            <w:pPr>
              <w:pStyle w:val="57"/>
              <w:rPr>
                <w:b/>
                <w:bCs w:val="0"/>
                <w:color w:val="auto"/>
              </w:rPr>
            </w:pPr>
            <w:r>
              <w:rPr>
                <w:b/>
                <w:bCs w:val="0"/>
                <w:color w:val="auto"/>
              </w:rPr>
              <w:t>现有工程</w:t>
            </w:r>
          </w:p>
          <w:p w14:paraId="774D5AEB">
            <w:pPr>
              <w:pStyle w:val="57"/>
              <w:rPr>
                <w:b/>
                <w:bCs w:val="0"/>
                <w:color w:val="auto"/>
              </w:rPr>
            </w:pPr>
            <w:r>
              <w:rPr>
                <w:b/>
                <w:bCs w:val="0"/>
                <w:color w:val="auto"/>
              </w:rPr>
              <w:t>排放量（固体废物产生量）</w:t>
            </w:r>
            <w:r>
              <w:rPr>
                <w:b/>
                <w:bCs w:val="0"/>
                <w:color w:val="auto"/>
              </w:rPr>
              <w:fldChar w:fldCharType="begin"/>
            </w:r>
            <w:r>
              <w:rPr>
                <w:b/>
                <w:bCs w:val="0"/>
                <w:color w:val="auto"/>
              </w:rPr>
              <w:instrText xml:space="preserve"> = 1 \* GB3 \* MERGEFORMAT </w:instrText>
            </w:r>
            <w:r>
              <w:rPr>
                <w:b/>
                <w:bCs w:val="0"/>
                <w:color w:val="auto"/>
              </w:rPr>
              <w:fldChar w:fldCharType="separate"/>
            </w:r>
            <w:r>
              <w:rPr>
                <w:rFonts w:hint="eastAsia"/>
                <w:b/>
                <w:bCs w:val="0"/>
                <w:color w:val="auto"/>
              </w:rPr>
              <w:t>①</w:t>
            </w:r>
            <w:r>
              <w:rPr>
                <w:b/>
                <w:bCs w:val="0"/>
                <w:color w:val="auto"/>
              </w:rPr>
              <w:fldChar w:fldCharType="end"/>
            </w:r>
          </w:p>
        </w:tc>
        <w:tc>
          <w:tcPr>
            <w:tcW w:w="1229" w:type="dxa"/>
            <w:tcMar>
              <w:left w:w="28" w:type="dxa"/>
              <w:right w:w="28" w:type="dxa"/>
            </w:tcMar>
            <w:vAlign w:val="center"/>
          </w:tcPr>
          <w:p w14:paraId="3D1849C6">
            <w:pPr>
              <w:pStyle w:val="57"/>
              <w:rPr>
                <w:b/>
                <w:bCs w:val="0"/>
                <w:color w:val="auto"/>
              </w:rPr>
            </w:pPr>
            <w:r>
              <w:rPr>
                <w:b/>
                <w:bCs w:val="0"/>
                <w:color w:val="auto"/>
              </w:rPr>
              <w:t>现有工程</w:t>
            </w:r>
          </w:p>
          <w:p w14:paraId="3A523D1B">
            <w:pPr>
              <w:pStyle w:val="57"/>
              <w:rPr>
                <w:b/>
                <w:bCs w:val="0"/>
                <w:color w:val="auto"/>
              </w:rPr>
            </w:pPr>
            <w:r>
              <w:rPr>
                <w:b/>
                <w:bCs w:val="0"/>
                <w:color w:val="auto"/>
              </w:rPr>
              <w:t>许可排放量</w:t>
            </w:r>
          </w:p>
          <w:p w14:paraId="42D424C4">
            <w:pPr>
              <w:pStyle w:val="57"/>
              <w:rPr>
                <w:b/>
                <w:bCs w:val="0"/>
                <w:color w:val="auto"/>
              </w:rPr>
            </w:pPr>
            <w:r>
              <w:rPr>
                <w:b/>
                <w:bCs w:val="0"/>
                <w:color w:val="auto"/>
              </w:rPr>
              <w:fldChar w:fldCharType="begin"/>
            </w:r>
            <w:r>
              <w:rPr>
                <w:b/>
                <w:bCs w:val="0"/>
                <w:color w:val="auto"/>
              </w:rPr>
              <w:instrText xml:space="preserve"> = 2 \* GB3 \* MERGEFORMAT </w:instrText>
            </w:r>
            <w:r>
              <w:rPr>
                <w:b/>
                <w:bCs w:val="0"/>
                <w:color w:val="auto"/>
              </w:rPr>
              <w:fldChar w:fldCharType="separate"/>
            </w:r>
            <w:r>
              <w:rPr>
                <w:rFonts w:hint="eastAsia"/>
                <w:b/>
                <w:bCs w:val="0"/>
                <w:color w:val="auto"/>
              </w:rPr>
              <w:t>②</w:t>
            </w:r>
            <w:r>
              <w:rPr>
                <w:b/>
                <w:bCs w:val="0"/>
                <w:color w:val="auto"/>
              </w:rPr>
              <w:fldChar w:fldCharType="end"/>
            </w:r>
          </w:p>
        </w:tc>
        <w:tc>
          <w:tcPr>
            <w:tcW w:w="1696" w:type="dxa"/>
            <w:tcMar>
              <w:left w:w="28" w:type="dxa"/>
              <w:right w:w="28" w:type="dxa"/>
            </w:tcMar>
            <w:vAlign w:val="center"/>
          </w:tcPr>
          <w:p w14:paraId="297DCE25">
            <w:pPr>
              <w:pStyle w:val="57"/>
              <w:rPr>
                <w:b/>
                <w:bCs w:val="0"/>
                <w:color w:val="auto"/>
              </w:rPr>
            </w:pPr>
            <w:r>
              <w:rPr>
                <w:b/>
                <w:bCs w:val="0"/>
                <w:color w:val="auto"/>
              </w:rPr>
              <w:t>在建工程</w:t>
            </w:r>
          </w:p>
          <w:p w14:paraId="6EDA5A74">
            <w:pPr>
              <w:pStyle w:val="57"/>
              <w:rPr>
                <w:b/>
                <w:bCs w:val="0"/>
                <w:color w:val="auto"/>
              </w:rPr>
            </w:pPr>
            <w:r>
              <w:rPr>
                <w:b/>
                <w:bCs w:val="0"/>
                <w:color w:val="auto"/>
              </w:rPr>
              <w:t>排放量（固体废物产生量）</w:t>
            </w:r>
            <w:r>
              <w:rPr>
                <w:b/>
                <w:bCs w:val="0"/>
                <w:color w:val="auto"/>
              </w:rPr>
              <w:fldChar w:fldCharType="begin"/>
            </w:r>
            <w:r>
              <w:rPr>
                <w:b/>
                <w:bCs w:val="0"/>
                <w:color w:val="auto"/>
              </w:rPr>
              <w:instrText xml:space="preserve"> = 3 \* GB3 \* MERGEFORMAT </w:instrText>
            </w:r>
            <w:r>
              <w:rPr>
                <w:b/>
                <w:bCs w:val="0"/>
                <w:color w:val="auto"/>
              </w:rPr>
              <w:fldChar w:fldCharType="separate"/>
            </w:r>
            <w:r>
              <w:rPr>
                <w:rFonts w:hint="eastAsia"/>
                <w:b/>
                <w:bCs w:val="0"/>
                <w:color w:val="auto"/>
              </w:rPr>
              <w:t>③</w:t>
            </w:r>
            <w:r>
              <w:rPr>
                <w:b/>
                <w:bCs w:val="0"/>
                <w:color w:val="auto"/>
              </w:rPr>
              <w:fldChar w:fldCharType="end"/>
            </w:r>
          </w:p>
        </w:tc>
        <w:tc>
          <w:tcPr>
            <w:tcW w:w="1555" w:type="dxa"/>
            <w:tcMar>
              <w:left w:w="28" w:type="dxa"/>
              <w:right w:w="28" w:type="dxa"/>
            </w:tcMar>
            <w:vAlign w:val="center"/>
          </w:tcPr>
          <w:p w14:paraId="72F7B403">
            <w:pPr>
              <w:pStyle w:val="57"/>
              <w:rPr>
                <w:b/>
                <w:bCs w:val="0"/>
                <w:color w:val="auto"/>
              </w:rPr>
            </w:pPr>
            <w:r>
              <w:rPr>
                <w:b/>
                <w:bCs w:val="0"/>
                <w:color w:val="auto"/>
              </w:rPr>
              <w:t>本项目</w:t>
            </w:r>
          </w:p>
          <w:p w14:paraId="41276362">
            <w:pPr>
              <w:pStyle w:val="57"/>
              <w:rPr>
                <w:b/>
                <w:bCs w:val="0"/>
                <w:color w:val="auto"/>
              </w:rPr>
            </w:pPr>
            <w:r>
              <w:rPr>
                <w:b/>
                <w:bCs w:val="0"/>
                <w:color w:val="auto"/>
              </w:rPr>
              <w:t>排放量（固体废物产生量）</w:t>
            </w:r>
            <w:r>
              <w:rPr>
                <w:b/>
                <w:bCs w:val="0"/>
                <w:color w:val="auto"/>
              </w:rPr>
              <w:fldChar w:fldCharType="begin"/>
            </w:r>
            <w:r>
              <w:rPr>
                <w:b/>
                <w:bCs w:val="0"/>
                <w:color w:val="auto"/>
              </w:rPr>
              <w:instrText xml:space="preserve"> = 4 \* GB3 \* MERGEFORMAT </w:instrText>
            </w:r>
            <w:r>
              <w:rPr>
                <w:b/>
                <w:bCs w:val="0"/>
                <w:color w:val="auto"/>
              </w:rPr>
              <w:fldChar w:fldCharType="separate"/>
            </w:r>
            <w:r>
              <w:rPr>
                <w:rFonts w:hint="eastAsia"/>
                <w:b/>
                <w:bCs w:val="0"/>
                <w:color w:val="auto"/>
              </w:rPr>
              <w:t>④</w:t>
            </w:r>
            <w:r>
              <w:rPr>
                <w:b/>
                <w:bCs w:val="0"/>
                <w:color w:val="auto"/>
              </w:rPr>
              <w:fldChar w:fldCharType="end"/>
            </w:r>
          </w:p>
        </w:tc>
        <w:tc>
          <w:tcPr>
            <w:tcW w:w="1379" w:type="dxa"/>
            <w:tcMar>
              <w:left w:w="28" w:type="dxa"/>
              <w:right w:w="28" w:type="dxa"/>
            </w:tcMar>
            <w:vAlign w:val="center"/>
          </w:tcPr>
          <w:p w14:paraId="5AB580A0">
            <w:pPr>
              <w:pStyle w:val="57"/>
              <w:rPr>
                <w:b/>
                <w:bCs w:val="0"/>
                <w:color w:val="auto"/>
              </w:rPr>
            </w:pPr>
            <w:r>
              <w:rPr>
                <w:b/>
                <w:bCs w:val="0"/>
                <w:color w:val="auto"/>
              </w:rPr>
              <w:t>以新带老削减量（新建项目不填）</w:t>
            </w:r>
            <w:r>
              <w:rPr>
                <w:b/>
                <w:bCs w:val="0"/>
                <w:color w:val="auto"/>
              </w:rPr>
              <w:fldChar w:fldCharType="begin"/>
            </w:r>
            <w:r>
              <w:rPr>
                <w:b/>
                <w:bCs w:val="0"/>
                <w:color w:val="auto"/>
              </w:rPr>
              <w:instrText xml:space="preserve"> = 5 \* GB3 \* MERGEFORMAT </w:instrText>
            </w:r>
            <w:r>
              <w:rPr>
                <w:b/>
                <w:bCs w:val="0"/>
                <w:color w:val="auto"/>
              </w:rPr>
              <w:fldChar w:fldCharType="separate"/>
            </w:r>
            <w:r>
              <w:rPr>
                <w:rFonts w:hint="eastAsia"/>
                <w:b/>
                <w:bCs w:val="0"/>
                <w:color w:val="auto"/>
              </w:rPr>
              <w:t>⑤</w:t>
            </w:r>
            <w:r>
              <w:rPr>
                <w:b/>
                <w:bCs w:val="0"/>
                <w:color w:val="auto"/>
              </w:rPr>
              <w:fldChar w:fldCharType="end"/>
            </w:r>
          </w:p>
        </w:tc>
        <w:tc>
          <w:tcPr>
            <w:tcW w:w="1815" w:type="dxa"/>
            <w:tcMar>
              <w:left w:w="28" w:type="dxa"/>
              <w:right w:w="28" w:type="dxa"/>
            </w:tcMar>
            <w:vAlign w:val="center"/>
          </w:tcPr>
          <w:p w14:paraId="068D83F3">
            <w:pPr>
              <w:pStyle w:val="57"/>
              <w:rPr>
                <w:b/>
                <w:bCs w:val="0"/>
                <w:color w:val="auto"/>
              </w:rPr>
            </w:pPr>
            <w:r>
              <w:rPr>
                <w:b/>
                <w:bCs w:val="0"/>
                <w:color w:val="auto"/>
              </w:rPr>
              <w:t>本项目建成后</w:t>
            </w:r>
          </w:p>
          <w:p w14:paraId="0003D8CC">
            <w:pPr>
              <w:pStyle w:val="57"/>
              <w:rPr>
                <w:b/>
                <w:bCs w:val="0"/>
                <w:color w:val="auto"/>
              </w:rPr>
            </w:pPr>
            <w:r>
              <w:rPr>
                <w:b/>
                <w:bCs w:val="0"/>
                <w:color w:val="auto"/>
              </w:rPr>
              <w:t>全厂排放量（固体废物产生量）</w:t>
            </w:r>
            <w:r>
              <w:rPr>
                <w:b/>
                <w:bCs w:val="0"/>
                <w:color w:val="auto"/>
              </w:rPr>
              <w:fldChar w:fldCharType="begin"/>
            </w:r>
            <w:r>
              <w:rPr>
                <w:b/>
                <w:bCs w:val="0"/>
                <w:color w:val="auto"/>
              </w:rPr>
              <w:instrText xml:space="preserve"> = 6 \* GB3 \* MERGEFORMAT </w:instrText>
            </w:r>
            <w:r>
              <w:rPr>
                <w:b/>
                <w:bCs w:val="0"/>
                <w:color w:val="auto"/>
              </w:rPr>
              <w:fldChar w:fldCharType="separate"/>
            </w:r>
            <w:r>
              <w:rPr>
                <w:rFonts w:hint="eastAsia"/>
                <w:b/>
                <w:bCs w:val="0"/>
                <w:color w:val="auto"/>
              </w:rPr>
              <w:t>⑥</w:t>
            </w:r>
            <w:r>
              <w:rPr>
                <w:b/>
                <w:bCs w:val="0"/>
                <w:color w:val="auto"/>
              </w:rPr>
              <w:fldChar w:fldCharType="end"/>
            </w:r>
          </w:p>
        </w:tc>
        <w:tc>
          <w:tcPr>
            <w:tcW w:w="1471" w:type="dxa"/>
            <w:tcMar>
              <w:left w:w="28" w:type="dxa"/>
              <w:right w:w="28" w:type="dxa"/>
            </w:tcMar>
            <w:vAlign w:val="center"/>
          </w:tcPr>
          <w:p w14:paraId="278D2AB2">
            <w:pPr>
              <w:pStyle w:val="57"/>
              <w:rPr>
                <w:b/>
                <w:bCs w:val="0"/>
                <w:color w:val="auto"/>
              </w:rPr>
            </w:pPr>
            <w:r>
              <w:rPr>
                <w:b/>
                <w:bCs w:val="0"/>
                <w:color w:val="auto"/>
              </w:rPr>
              <w:t>变化量</w:t>
            </w:r>
          </w:p>
          <w:p w14:paraId="7B0ACD97">
            <w:pPr>
              <w:pStyle w:val="57"/>
              <w:rPr>
                <w:b/>
                <w:bCs w:val="0"/>
                <w:color w:val="auto"/>
              </w:rPr>
            </w:pPr>
            <w:r>
              <w:rPr>
                <w:b/>
                <w:bCs w:val="0"/>
                <w:color w:val="auto"/>
              </w:rPr>
              <w:fldChar w:fldCharType="begin"/>
            </w:r>
            <w:r>
              <w:rPr>
                <w:b/>
                <w:bCs w:val="0"/>
                <w:color w:val="auto"/>
              </w:rPr>
              <w:instrText xml:space="preserve"> = 7 \* GB3 \* MERGEFORMAT </w:instrText>
            </w:r>
            <w:r>
              <w:rPr>
                <w:b/>
                <w:bCs w:val="0"/>
                <w:color w:val="auto"/>
              </w:rPr>
              <w:fldChar w:fldCharType="separate"/>
            </w:r>
            <w:r>
              <w:rPr>
                <w:rFonts w:hint="eastAsia"/>
                <w:b/>
                <w:bCs w:val="0"/>
                <w:color w:val="auto"/>
              </w:rPr>
              <w:t>⑦</w:t>
            </w:r>
            <w:r>
              <w:rPr>
                <w:b/>
                <w:bCs w:val="0"/>
                <w:color w:val="auto"/>
              </w:rPr>
              <w:fldChar w:fldCharType="end"/>
            </w:r>
          </w:p>
        </w:tc>
      </w:tr>
      <w:tr w14:paraId="0A501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72" w:type="dxa"/>
            <w:vAlign w:val="center"/>
          </w:tcPr>
          <w:p w14:paraId="2C154712">
            <w:pPr>
              <w:pStyle w:val="57"/>
              <w:rPr>
                <w:color w:val="auto"/>
              </w:rPr>
            </w:pPr>
            <w:r>
              <w:rPr>
                <w:color w:val="auto"/>
              </w:rPr>
              <w:t>废气</w:t>
            </w:r>
          </w:p>
        </w:tc>
        <w:tc>
          <w:tcPr>
            <w:tcW w:w="1829" w:type="dxa"/>
            <w:vAlign w:val="center"/>
          </w:tcPr>
          <w:p w14:paraId="078635DB">
            <w:pPr>
              <w:pStyle w:val="57"/>
              <w:rPr>
                <w:color w:val="auto"/>
              </w:rPr>
            </w:pPr>
            <w:r>
              <w:rPr>
                <w:rFonts w:hint="eastAsia"/>
                <w:color w:val="auto"/>
              </w:rPr>
              <w:t>非甲烷总烃</w:t>
            </w:r>
          </w:p>
        </w:tc>
        <w:tc>
          <w:tcPr>
            <w:tcW w:w="1735" w:type="dxa"/>
            <w:vAlign w:val="center"/>
          </w:tcPr>
          <w:p w14:paraId="16B46BB1">
            <w:pPr>
              <w:pStyle w:val="57"/>
              <w:rPr>
                <w:rFonts w:hint="eastAsia"/>
                <w:color w:val="auto"/>
              </w:rPr>
            </w:pPr>
            <w:r>
              <w:rPr>
                <w:rFonts w:hint="eastAsia"/>
                <w:color w:val="auto"/>
              </w:rPr>
              <w:t>0</w:t>
            </w:r>
          </w:p>
        </w:tc>
        <w:tc>
          <w:tcPr>
            <w:tcW w:w="1229" w:type="dxa"/>
            <w:vAlign w:val="center"/>
          </w:tcPr>
          <w:p w14:paraId="5A40B8BA">
            <w:pPr>
              <w:pStyle w:val="57"/>
              <w:rPr>
                <w:rFonts w:hint="eastAsia"/>
                <w:color w:val="auto"/>
              </w:rPr>
            </w:pPr>
            <w:r>
              <w:rPr>
                <w:rFonts w:hint="eastAsia"/>
                <w:color w:val="auto"/>
              </w:rPr>
              <w:t>0</w:t>
            </w:r>
          </w:p>
        </w:tc>
        <w:tc>
          <w:tcPr>
            <w:tcW w:w="1696" w:type="dxa"/>
            <w:vAlign w:val="center"/>
          </w:tcPr>
          <w:p w14:paraId="52AE5594">
            <w:pPr>
              <w:pStyle w:val="57"/>
              <w:rPr>
                <w:rFonts w:hint="eastAsia"/>
                <w:color w:val="auto"/>
              </w:rPr>
            </w:pPr>
            <w:r>
              <w:rPr>
                <w:rFonts w:hint="eastAsia"/>
                <w:color w:val="auto"/>
              </w:rPr>
              <w:t>0</w:t>
            </w:r>
          </w:p>
        </w:tc>
        <w:tc>
          <w:tcPr>
            <w:tcW w:w="1555" w:type="dxa"/>
            <w:vAlign w:val="center"/>
          </w:tcPr>
          <w:p w14:paraId="00CCB000">
            <w:pPr>
              <w:pStyle w:val="57"/>
              <w:rPr>
                <w:color w:val="auto"/>
              </w:rPr>
            </w:pPr>
            <w:r>
              <w:rPr>
                <w:rFonts w:hint="eastAsia"/>
                <w:color w:val="auto"/>
                <w:lang w:eastAsia="zh-CN"/>
              </w:rPr>
              <w:t>0.43</w:t>
            </w:r>
            <w:r>
              <w:rPr>
                <w:rFonts w:hint="eastAsia"/>
                <w:color w:val="auto"/>
              </w:rPr>
              <w:t>t/a</w:t>
            </w:r>
          </w:p>
        </w:tc>
        <w:tc>
          <w:tcPr>
            <w:tcW w:w="1379" w:type="dxa"/>
            <w:vAlign w:val="center"/>
          </w:tcPr>
          <w:p w14:paraId="248B229C">
            <w:pPr>
              <w:pStyle w:val="57"/>
              <w:rPr>
                <w:color w:val="auto"/>
              </w:rPr>
            </w:pPr>
            <w:r>
              <w:rPr>
                <w:rFonts w:hint="eastAsia"/>
                <w:color w:val="auto"/>
              </w:rPr>
              <w:t>0</w:t>
            </w:r>
          </w:p>
        </w:tc>
        <w:tc>
          <w:tcPr>
            <w:tcW w:w="1815" w:type="dxa"/>
            <w:vAlign w:val="center"/>
          </w:tcPr>
          <w:p w14:paraId="0C0828FF">
            <w:pPr>
              <w:pStyle w:val="57"/>
              <w:rPr>
                <w:color w:val="auto"/>
              </w:rPr>
            </w:pPr>
            <w:r>
              <w:rPr>
                <w:rFonts w:hint="eastAsia"/>
                <w:color w:val="auto"/>
                <w:lang w:eastAsia="zh-CN"/>
              </w:rPr>
              <w:t>0.43</w:t>
            </w:r>
            <w:r>
              <w:rPr>
                <w:rFonts w:hint="eastAsia"/>
                <w:color w:val="auto"/>
              </w:rPr>
              <w:t>t/a</w:t>
            </w:r>
          </w:p>
        </w:tc>
        <w:tc>
          <w:tcPr>
            <w:tcW w:w="1471" w:type="dxa"/>
            <w:vAlign w:val="center"/>
          </w:tcPr>
          <w:p w14:paraId="1507203B">
            <w:pPr>
              <w:pStyle w:val="57"/>
              <w:rPr>
                <w:color w:val="auto"/>
              </w:rPr>
            </w:pPr>
            <w:r>
              <w:rPr>
                <w:rFonts w:hint="eastAsia"/>
                <w:color w:val="auto"/>
              </w:rPr>
              <w:t>+</w:t>
            </w:r>
            <w:r>
              <w:rPr>
                <w:rFonts w:hint="eastAsia"/>
                <w:color w:val="auto"/>
                <w:lang w:eastAsia="zh-CN"/>
              </w:rPr>
              <w:t>0.43</w:t>
            </w:r>
            <w:r>
              <w:rPr>
                <w:rFonts w:hint="eastAsia"/>
                <w:color w:val="auto"/>
              </w:rPr>
              <w:t>t/a</w:t>
            </w:r>
          </w:p>
        </w:tc>
      </w:tr>
      <w:tr w14:paraId="44B9A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restart"/>
            <w:vAlign w:val="center"/>
          </w:tcPr>
          <w:p w14:paraId="4E43EC5B">
            <w:pPr>
              <w:pStyle w:val="57"/>
              <w:rPr>
                <w:color w:val="auto"/>
              </w:rPr>
            </w:pPr>
            <w:r>
              <w:rPr>
                <w:color w:val="auto"/>
              </w:rPr>
              <w:t>废水</w:t>
            </w:r>
          </w:p>
        </w:tc>
        <w:tc>
          <w:tcPr>
            <w:tcW w:w="1829" w:type="dxa"/>
            <w:vAlign w:val="center"/>
          </w:tcPr>
          <w:p w14:paraId="36742F40">
            <w:pPr>
              <w:pStyle w:val="57"/>
              <w:rPr>
                <w:rFonts w:hint="eastAsia"/>
                <w:color w:val="auto"/>
              </w:rPr>
            </w:pPr>
            <w:r>
              <w:rPr>
                <w:color w:val="auto"/>
              </w:rPr>
              <w:t>废水量</w:t>
            </w:r>
          </w:p>
        </w:tc>
        <w:tc>
          <w:tcPr>
            <w:tcW w:w="1735" w:type="dxa"/>
            <w:vAlign w:val="center"/>
          </w:tcPr>
          <w:p w14:paraId="6E960539">
            <w:pPr>
              <w:pStyle w:val="57"/>
              <w:rPr>
                <w:rFonts w:hint="eastAsia"/>
                <w:color w:val="auto"/>
              </w:rPr>
            </w:pPr>
            <w:r>
              <w:rPr>
                <w:rFonts w:hint="eastAsia"/>
                <w:color w:val="auto"/>
              </w:rPr>
              <w:t>0</w:t>
            </w:r>
          </w:p>
        </w:tc>
        <w:tc>
          <w:tcPr>
            <w:tcW w:w="1229" w:type="dxa"/>
            <w:vAlign w:val="center"/>
          </w:tcPr>
          <w:p w14:paraId="57902647">
            <w:pPr>
              <w:pStyle w:val="57"/>
              <w:rPr>
                <w:rFonts w:hint="eastAsia"/>
                <w:color w:val="auto"/>
              </w:rPr>
            </w:pPr>
            <w:r>
              <w:rPr>
                <w:rFonts w:hint="eastAsia"/>
                <w:color w:val="auto"/>
              </w:rPr>
              <w:t>0</w:t>
            </w:r>
          </w:p>
        </w:tc>
        <w:tc>
          <w:tcPr>
            <w:tcW w:w="1696" w:type="dxa"/>
            <w:vAlign w:val="center"/>
          </w:tcPr>
          <w:p w14:paraId="5245C6F0">
            <w:pPr>
              <w:pStyle w:val="57"/>
              <w:rPr>
                <w:rFonts w:hint="eastAsia"/>
                <w:color w:val="auto"/>
              </w:rPr>
            </w:pPr>
            <w:r>
              <w:rPr>
                <w:rFonts w:hint="eastAsia"/>
                <w:color w:val="auto"/>
              </w:rPr>
              <w:t>0</w:t>
            </w:r>
          </w:p>
        </w:tc>
        <w:tc>
          <w:tcPr>
            <w:tcW w:w="1555" w:type="dxa"/>
            <w:vAlign w:val="center"/>
          </w:tcPr>
          <w:p w14:paraId="40A3453F">
            <w:pPr>
              <w:pStyle w:val="57"/>
              <w:rPr>
                <w:rFonts w:hint="eastAsia"/>
                <w:color w:val="auto"/>
              </w:rPr>
            </w:pPr>
            <w:r>
              <w:rPr>
                <w:rFonts w:hint="eastAsia"/>
                <w:color w:val="auto"/>
              </w:rPr>
              <w:t>1152m</w:t>
            </w:r>
            <w:r>
              <w:rPr>
                <w:rFonts w:hint="eastAsia"/>
                <w:color w:val="auto"/>
                <w:vertAlign w:val="superscript"/>
              </w:rPr>
              <w:t>3</w:t>
            </w:r>
            <w:r>
              <w:rPr>
                <w:rFonts w:hint="eastAsia"/>
                <w:color w:val="auto"/>
              </w:rPr>
              <w:t>/</w:t>
            </w:r>
            <w:r>
              <w:rPr>
                <w:color w:val="auto"/>
              </w:rPr>
              <w:t>a</w:t>
            </w:r>
          </w:p>
        </w:tc>
        <w:tc>
          <w:tcPr>
            <w:tcW w:w="1379" w:type="dxa"/>
            <w:vAlign w:val="center"/>
          </w:tcPr>
          <w:p w14:paraId="5EE2C382">
            <w:pPr>
              <w:pStyle w:val="57"/>
              <w:rPr>
                <w:rFonts w:hint="eastAsia"/>
                <w:color w:val="auto"/>
              </w:rPr>
            </w:pPr>
            <w:r>
              <w:rPr>
                <w:rFonts w:hint="eastAsia"/>
                <w:color w:val="auto"/>
              </w:rPr>
              <w:t>0</w:t>
            </w:r>
          </w:p>
        </w:tc>
        <w:tc>
          <w:tcPr>
            <w:tcW w:w="1815" w:type="dxa"/>
            <w:vAlign w:val="center"/>
          </w:tcPr>
          <w:p w14:paraId="1EDADD2B">
            <w:pPr>
              <w:pStyle w:val="57"/>
              <w:rPr>
                <w:rFonts w:hint="eastAsia"/>
                <w:color w:val="auto"/>
              </w:rPr>
            </w:pPr>
            <w:r>
              <w:rPr>
                <w:rFonts w:hint="eastAsia"/>
                <w:color w:val="auto"/>
              </w:rPr>
              <w:t>1152m</w:t>
            </w:r>
            <w:r>
              <w:rPr>
                <w:rFonts w:hint="eastAsia"/>
                <w:color w:val="auto"/>
                <w:vertAlign w:val="superscript"/>
              </w:rPr>
              <w:t>3</w:t>
            </w:r>
            <w:r>
              <w:rPr>
                <w:rFonts w:hint="eastAsia"/>
                <w:color w:val="auto"/>
              </w:rPr>
              <w:t>/</w:t>
            </w:r>
            <w:r>
              <w:rPr>
                <w:color w:val="auto"/>
              </w:rPr>
              <w:t>a</w:t>
            </w:r>
          </w:p>
        </w:tc>
        <w:tc>
          <w:tcPr>
            <w:tcW w:w="1471" w:type="dxa"/>
            <w:vAlign w:val="center"/>
          </w:tcPr>
          <w:p w14:paraId="45293C2B">
            <w:pPr>
              <w:pStyle w:val="57"/>
              <w:rPr>
                <w:rFonts w:hint="eastAsia"/>
                <w:color w:val="auto"/>
              </w:rPr>
            </w:pPr>
            <w:r>
              <w:rPr>
                <w:color w:val="auto"/>
              </w:rPr>
              <w:t>+1152</w:t>
            </w:r>
            <w:r>
              <w:rPr>
                <w:rFonts w:hint="eastAsia"/>
                <w:color w:val="auto"/>
              </w:rPr>
              <w:t>m</w:t>
            </w:r>
            <w:r>
              <w:rPr>
                <w:rFonts w:hint="eastAsia"/>
                <w:color w:val="auto"/>
                <w:vertAlign w:val="superscript"/>
              </w:rPr>
              <w:t>3</w:t>
            </w:r>
            <w:r>
              <w:rPr>
                <w:color w:val="auto"/>
              </w:rPr>
              <w:t>/a</w:t>
            </w:r>
          </w:p>
        </w:tc>
      </w:tr>
      <w:tr w14:paraId="7C248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6A7C47CA">
            <w:pPr>
              <w:pStyle w:val="57"/>
              <w:rPr>
                <w:color w:val="auto"/>
              </w:rPr>
            </w:pPr>
          </w:p>
        </w:tc>
        <w:tc>
          <w:tcPr>
            <w:tcW w:w="1829" w:type="dxa"/>
            <w:vAlign w:val="center"/>
          </w:tcPr>
          <w:p w14:paraId="3C250866">
            <w:pPr>
              <w:pStyle w:val="57"/>
              <w:rPr>
                <w:rFonts w:hint="eastAsia"/>
                <w:color w:val="auto"/>
              </w:rPr>
            </w:pPr>
            <w:r>
              <w:rPr>
                <w:color w:val="auto"/>
              </w:rPr>
              <w:t>COD</w:t>
            </w:r>
          </w:p>
        </w:tc>
        <w:tc>
          <w:tcPr>
            <w:tcW w:w="1735" w:type="dxa"/>
            <w:vAlign w:val="center"/>
          </w:tcPr>
          <w:p w14:paraId="5417B4D0">
            <w:pPr>
              <w:pStyle w:val="57"/>
              <w:rPr>
                <w:rFonts w:hint="eastAsia"/>
                <w:color w:val="auto"/>
              </w:rPr>
            </w:pPr>
            <w:r>
              <w:rPr>
                <w:rFonts w:hint="eastAsia"/>
                <w:color w:val="auto"/>
              </w:rPr>
              <w:t>0</w:t>
            </w:r>
          </w:p>
        </w:tc>
        <w:tc>
          <w:tcPr>
            <w:tcW w:w="1229" w:type="dxa"/>
            <w:vAlign w:val="center"/>
          </w:tcPr>
          <w:p w14:paraId="5BB34951">
            <w:pPr>
              <w:pStyle w:val="57"/>
              <w:rPr>
                <w:rFonts w:hint="eastAsia"/>
                <w:color w:val="auto"/>
              </w:rPr>
            </w:pPr>
            <w:r>
              <w:rPr>
                <w:rFonts w:hint="eastAsia"/>
                <w:color w:val="auto"/>
              </w:rPr>
              <w:t>0</w:t>
            </w:r>
          </w:p>
        </w:tc>
        <w:tc>
          <w:tcPr>
            <w:tcW w:w="1696" w:type="dxa"/>
            <w:vAlign w:val="center"/>
          </w:tcPr>
          <w:p w14:paraId="6A4CE3F0">
            <w:pPr>
              <w:pStyle w:val="57"/>
              <w:rPr>
                <w:rFonts w:hint="eastAsia"/>
                <w:color w:val="auto"/>
              </w:rPr>
            </w:pPr>
            <w:r>
              <w:rPr>
                <w:rFonts w:hint="eastAsia"/>
                <w:color w:val="auto"/>
              </w:rPr>
              <w:t>0</w:t>
            </w:r>
          </w:p>
        </w:tc>
        <w:tc>
          <w:tcPr>
            <w:tcW w:w="1555" w:type="dxa"/>
            <w:vAlign w:val="center"/>
          </w:tcPr>
          <w:p w14:paraId="1F191CD3">
            <w:pPr>
              <w:pStyle w:val="57"/>
              <w:rPr>
                <w:rFonts w:hint="eastAsia"/>
                <w:color w:val="auto"/>
              </w:rPr>
            </w:pPr>
            <w:r>
              <w:rPr>
                <w:color w:val="auto"/>
              </w:rPr>
              <w:t>0.32</w:t>
            </w:r>
            <w:r>
              <w:rPr>
                <w:rFonts w:hint="eastAsia"/>
                <w:color w:val="auto"/>
              </w:rPr>
              <w:t>t/a</w:t>
            </w:r>
          </w:p>
        </w:tc>
        <w:tc>
          <w:tcPr>
            <w:tcW w:w="1379" w:type="dxa"/>
            <w:vAlign w:val="center"/>
          </w:tcPr>
          <w:p w14:paraId="4EF4DA61">
            <w:pPr>
              <w:pStyle w:val="57"/>
              <w:rPr>
                <w:rFonts w:hint="eastAsia"/>
                <w:color w:val="auto"/>
              </w:rPr>
            </w:pPr>
            <w:r>
              <w:rPr>
                <w:rFonts w:hint="eastAsia"/>
                <w:color w:val="auto"/>
              </w:rPr>
              <w:t>0</w:t>
            </w:r>
          </w:p>
        </w:tc>
        <w:tc>
          <w:tcPr>
            <w:tcW w:w="1815" w:type="dxa"/>
            <w:vAlign w:val="center"/>
          </w:tcPr>
          <w:p w14:paraId="4CD751A3">
            <w:pPr>
              <w:pStyle w:val="57"/>
              <w:rPr>
                <w:rFonts w:hint="eastAsia"/>
                <w:color w:val="auto"/>
              </w:rPr>
            </w:pPr>
            <w:r>
              <w:rPr>
                <w:color w:val="auto"/>
              </w:rPr>
              <w:t>0.32</w:t>
            </w:r>
            <w:r>
              <w:rPr>
                <w:rFonts w:hint="eastAsia"/>
                <w:color w:val="auto"/>
              </w:rPr>
              <w:t>t/a</w:t>
            </w:r>
          </w:p>
        </w:tc>
        <w:tc>
          <w:tcPr>
            <w:tcW w:w="1471" w:type="dxa"/>
            <w:vAlign w:val="center"/>
          </w:tcPr>
          <w:p w14:paraId="1CD04266">
            <w:pPr>
              <w:pStyle w:val="57"/>
              <w:rPr>
                <w:rFonts w:hint="eastAsia"/>
                <w:color w:val="auto"/>
              </w:rPr>
            </w:pPr>
            <w:r>
              <w:rPr>
                <w:color w:val="auto"/>
              </w:rPr>
              <w:t>0.32</w:t>
            </w:r>
            <w:r>
              <w:rPr>
                <w:rFonts w:hint="eastAsia"/>
                <w:color w:val="auto"/>
              </w:rPr>
              <w:t>t/a</w:t>
            </w:r>
          </w:p>
        </w:tc>
      </w:tr>
      <w:tr w14:paraId="7710F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6E7A0782">
            <w:pPr>
              <w:pStyle w:val="57"/>
              <w:rPr>
                <w:color w:val="auto"/>
              </w:rPr>
            </w:pPr>
          </w:p>
        </w:tc>
        <w:tc>
          <w:tcPr>
            <w:tcW w:w="1829" w:type="dxa"/>
            <w:vAlign w:val="center"/>
          </w:tcPr>
          <w:p w14:paraId="4FEF36DD">
            <w:pPr>
              <w:pStyle w:val="57"/>
              <w:rPr>
                <w:rFonts w:hint="eastAsia"/>
                <w:color w:val="auto"/>
              </w:rPr>
            </w:pPr>
            <w:r>
              <w:rPr>
                <w:color w:val="auto"/>
              </w:rPr>
              <w:t>BOD</w:t>
            </w:r>
          </w:p>
        </w:tc>
        <w:tc>
          <w:tcPr>
            <w:tcW w:w="1735" w:type="dxa"/>
            <w:vAlign w:val="center"/>
          </w:tcPr>
          <w:p w14:paraId="18A6AF1D">
            <w:pPr>
              <w:pStyle w:val="57"/>
              <w:rPr>
                <w:rFonts w:hint="eastAsia"/>
                <w:color w:val="auto"/>
              </w:rPr>
            </w:pPr>
            <w:r>
              <w:rPr>
                <w:rFonts w:hint="eastAsia"/>
                <w:color w:val="auto"/>
              </w:rPr>
              <w:t>0</w:t>
            </w:r>
          </w:p>
        </w:tc>
        <w:tc>
          <w:tcPr>
            <w:tcW w:w="1229" w:type="dxa"/>
            <w:vAlign w:val="center"/>
          </w:tcPr>
          <w:p w14:paraId="65F2C93C">
            <w:pPr>
              <w:pStyle w:val="57"/>
              <w:rPr>
                <w:rFonts w:hint="eastAsia"/>
                <w:color w:val="auto"/>
              </w:rPr>
            </w:pPr>
            <w:r>
              <w:rPr>
                <w:rFonts w:hint="eastAsia"/>
                <w:color w:val="auto"/>
              </w:rPr>
              <w:t>0</w:t>
            </w:r>
          </w:p>
        </w:tc>
        <w:tc>
          <w:tcPr>
            <w:tcW w:w="1696" w:type="dxa"/>
            <w:vAlign w:val="center"/>
          </w:tcPr>
          <w:p w14:paraId="28E452C1">
            <w:pPr>
              <w:pStyle w:val="57"/>
              <w:rPr>
                <w:rFonts w:hint="eastAsia"/>
                <w:color w:val="auto"/>
              </w:rPr>
            </w:pPr>
            <w:r>
              <w:rPr>
                <w:rFonts w:hint="eastAsia"/>
                <w:color w:val="auto"/>
              </w:rPr>
              <w:t>0</w:t>
            </w:r>
          </w:p>
        </w:tc>
        <w:tc>
          <w:tcPr>
            <w:tcW w:w="1555" w:type="dxa"/>
            <w:vAlign w:val="center"/>
          </w:tcPr>
          <w:p w14:paraId="5856BF3A">
            <w:pPr>
              <w:pStyle w:val="57"/>
              <w:rPr>
                <w:rFonts w:hint="eastAsia"/>
                <w:color w:val="auto"/>
              </w:rPr>
            </w:pPr>
            <w:r>
              <w:rPr>
                <w:color w:val="auto"/>
              </w:rPr>
              <w:t>0.207</w:t>
            </w:r>
            <w:r>
              <w:rPr>
                <w:rFonts w:hint="eastAsia"/>
                <w:color w:val="auto"/>
              </w:rPr>
              <w:t>t/a</w:t>
            </w:r>
          </w:p>
        </w:tc>
        <w:tc>
          <w:tcPr>
            <w:tcW w:w="1379" w:type="dxa"/>
            <w:vAlign w:val="center"/>
          </w:tcPr>
          <w:p w14:paraId="6CB8BEE5">
            <w:pPr>
              <w:pStyle w:val="57"/>
              <w:rPr>
                <w:rFonts w:hint="eastAsia"/>
                <w:color w:val="auto"/>
              </w:rPr>
            </w:pPr>
            <w:r>
              <w:rPr>
                <w:rFonts w:hint="eastAsia"/>
                <w:color w:val="auto"/>
              </w:rPr>
              <w:t>0</w:t>
            </w:r>
          </w:p>
        </w:tc>
        <w:tc>
          <w:tcPr>
            <w:tcW w:w="1815" w:type="dxa"/>
            <w:vAlign w:val="center"/>
          </w:tcPr>
          <w:p w14:paraId="4C167594">
            <w:pPr>
              <w:pStyle w:val="57"/>
              <w:rPr>
                <w:rFonts w:hint="eastAsia"/>
                <w:color w:val="auto"/>
              </w:rPr>
            </w:pPr>
            <w:r>
              <w:rPr>
                <w:color w:val="auto"/>
              </w:rPr>
              <w:t>0.207</w:t>
            </w:r>
            <w:r>
              <w:rPr>
                <w:rFonts w:hint="eastAsia"/>
                <w:color w:val="auto"/>
              </w:rPr>
              <w:t>t/a</w:t>
            </w:r>
          </w:p>
        </w:tc>
        <w:tc>
          <w:tcPr>
            <w:tcW w:w="1471" w:type="dxa"/>
            <w:vAlign w:val="center"/>
          </w:tcPr>
          <w:p w14:paraId="2C3B4F04">
            <w:pPr>
              <w:pStyle w:val="57"/>
              <w:rPr>
                <w:rFonts w:hint="eastAsia"/>
                <w:color w:val="auto"/>
              </w:rPr>
            </w:pPr>
            <w:r>
              <w:rPr>
                <w:color w:val="auto"/>
              </w:rPr>
              <w:t>0.207</w:t>
            </w:r>
            <w:r>
              <w:rPr>
                <w:rFonts w:hint="eastAsia"/>
                <w:color w:val="auto"/>
              </w:rPr>
              <w:t>t/a</w:t>
            </w:r>
          </w:p>
        </w:tc>
      </w:tr>
      <w:tr w14:paraId="6548C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15476485">
            <w:pPr>
              <w:pStyle w:val="57"/>
              <w:rPr>
                <w:color w:val="auto"/>
              </w:rPr>
            </w:pPr>
          </w:p>
        </w:tc>
        <w:tc>
          <w:tcPr>
            <w:tcW w:w="1829" w:type="dxa"/>
            <w:vAlign w:val="center"/>
          </w:tcPr>
          <w:p w14:paraId="5FA957BF">
            <w:pPr>
              <w:pStyle w:val="57"/>
              <w:rPr>
                <w:rFonts w:hint="eastAsia"/>
                <w:color w:val="auto"/>
              </w:rPr>
            </w:pPr>
            <w:r>
              <w:rPr>
                <w:color w:val="auto"/>
              </w:rPr>
              <w:t>SS</w:t>
            </w:r>
          </w:p>
        </w:tc>
        <w:tc>
          <w:tcPr>
            <w:tcW w:w="1735" w:type="dxa"/>
            <w:vAlign w:val="center"/>
          </w:tcPr>
          <w:p w14:paraId="504EDD57">
            <w:pPr>
              <w:pStyle w:val="57"/>
              <w:rPr>
                <w:rFonts w:hint="eastAsia"/>
                <w:color w:val="auto"/>
              </w:rPr>
            </w:pPr>
            <w:r>
              <w:rPr>
                <w:rFonts w:hint="eastAsia"/>
                <w:color w:val="auto"/>
              </w:rPr>
              <w:t>0</w:t>
            </w:r>
          </w:p>
        </w:tc>
        <w:tc>
          <w:tcPr>
            <w:tcW w:w="1229" w:type="dxa"/>
            <w:vAlign w:val="center"/>
          </w:tcPr>
          <w:p w14:paraId="5C46BC69">
            <w:pPr>
              <w:pStyle w:val="57"/>
              <w:rPr>
                <w:rFonts w:hint="eastAsia"/>
                <w:color w:val="auto"/>
              </w:rPr>
            </w:pPr>
            <w:r>
              <w:rPr>
                <w:rFonts w:hint="eastAsia"/>
                <w:color w:val="auto"/>
              </w:rPr>
              <w:t>0</w:t>
            </w:r>
          </w:p>
        </w:tc>
        <w:tc>
          <w:tcPr>
            <w:tcW w:w="1696" w:type="dxa"/>
            <w:vAlign w:val="center"/>
          </w:tcPr>
          <w:p w14:paraId="44E4F30E">
            <w:pPr>
              <w:pStyle w:val="57"/>
              <w:rPr>
                <w:rFonts w:hint="eastAsia"/>
                <w:color w:val="auto"/>
              </w:rPr>
            </w:pPr>
            <w:r>
              <w:rPr>
                <w:rFonts w:hint="eastAsia"/>
                <w:color w:val="auto"/>
              </w:rPr>
              <w:t>0</w:t>
            </w:r>
          </w:p>
        </w:tc>
        <w:tc>
          <w:tcPr>
            <w:tcW w:w="1555" w:type="dxa"/>
            <w:vAlign w:val="center"/>
          </w:tcPr>
          <w:p w14:paraId="005A74DE">
            <w:pPr>
              <w:pStyle w:val="57"/>
              <w:rPr>
                <w:rFonts w:hint="eastAsia"/>
                <w:color w:val="auto"/>
              </w:rPr>
            </w:pPr>
            <w:r>
              <w:rPr>
                <w:color w:val="auto"/>
              </w:rPr>
              <w:t>0.207</w:t>
            </w:r>
            <w:r>
              <w:rPr>
                <w:rFonts w:hint="eastAsia"/>
                <w:color w:val="auto"/>
              </w:rPr>
              <w:t>t/a</w:t>
            </w:r>
          </w:p>
        </w:tc>
        <w:tc>
          <w:tcPr>
            <w:tcW w:w="1379" w:type="dxa"/>
            <w:vAlign w:val="center"/>
          </w:tcPr>
          <w:p w14:paraId="46A2DB79">
            <w:pPr>
              <w:pStyle w:val="57"/>
              <w:rPr>
                <w:rFonts w:hint="eastAsia"/>
                <w:color w:val="auto"/>
              </w:rPr>
            </w:pPr>
            <w:r>
              <w:rPr>
                <w:rFonts w:hint="eastAsia"/>
                <w:color w:val="auto"/>
              </w:rPr>
              <w:t>0</w:t>
            </w:r>
          </w:p>
        </w:tc>
        <w:tc>
          <w:tcPr>
            <w:tcW w:w="1815" w:type="dxa"/>
            <w:vAlign w:val="center"/>
          </w:tcPr>
          <w:p w14:paraId="04B14723">
            <w:pPr>
              <w:pStyle w:val="57"/>
              <w:rPr>
                <w:rFonts w:hint="eastAsia"/>
                <w:color w:val="auto"/>
              </w:rPr>
            </w:pPr>
            <w:r>
              <w:rPr>
                <w:color w:val="auto"/>
              </w:rPr>
              <w:t>0.207</w:t>
            </w:r>
            <w:r>
              <w:rPr>
                <w:rFonts w:hint="eastAsia"/>
                <w:color w:val="auto"/>
              </w:rPr>
              <w:t>t/a</w:t>
            </w:r>
          </w:p>
        </w:tc>
        <w:tc>
          <w:tcPr>
            <w:tcW w:w="1471" w:type="dxa"/>
            <w:vAlign w:val="center"/>
          </w:tcPr>
          <w:p w14:paraId="762F3A66">
            <w:pPr>
              <w:pStyle w:val="57"/>
              <w:rPr>
                <w:rFonts w:hint="eastAsia"/>
                <w:color w:val="auto"/>
              </w:rPr>
            </w:pPr>
            <w:r>
              <w:rPr>
                <w:color w:val="auto"/>
              </w:rPr>
              <w:t>0.207</w:t>
            </w:r>
            <w:r>
              <w:rPr>
                <w:rFonts w:hint="eastAsia"/>
                <w:color w:val="auto"/>
              </w:rPr>
              <w:t>t/a</w:t>
            </w:r>
          </w:p>
        </w:tc>
      </w:tr>
      <w:tr w14:paraId="4B577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49A9537A">
            <w:pPr>
              <w:pStyle w:val="57"/>
              <w:rPr>
                <w:color w:val="auto"/>
              </w:rPr>
            </w:pPr>
          </w:p>
        </w:tc>
        <w:tc>
          <w:tcPr>
            <w:tcW w:w="1829" w:type="dxa"/>
            <w:vAlign w:val="center"/>
          </w:tcPr>
          <w:p w14:paraId="16F49B66">
            <w:pPr>
              <w:pStyle w:val="57"/>
              <w:rPr>
                <w:color w:val="auto"/>
              </w:rPr>
            </w:pPr>
            <w:r>
              <w:rPr>
                <w:color w:val="auto"/>
              </w:rPr>
              <w:t>NH</w:t>
            </w:r>
            <w:r>
              <w:rPr>
                <w:color w:val="auto"/>
                <w:vertAlign w:val="subscript"/>
              </w:rPr>
              <w:t>3</w:t>
            </w:r>
            <w:r>
              <w:rPr>
                <w:color w:val="auto"/>
              </w:rPr>
              <w:t>-N</w:t>
            </w:r>
          </w:p>
        </w:tc>
        <w:tc>
          <w:tcPr>
            <w:tcW w:w="1735" w:type="dxa"/>
            <w:vAlign w:val="center"/>
          </w:tcPr>
          <w:p w14:paraId="3A3DE066">
            <w:pPr>
              <w:pStyle w:val="57"/>
              <w:rPr>
                <w:rFonts w:hint="eastAsia"/>
                <w:color w:val="auto"/>
              </w:rPr>
            </w:pPr>
            <w:r>
              <w:rPr>
                <w:rFonts w:hint="eastAsia"/>
                <w:color w:val="auto"/>
              </w:rPr>
              <w:t>0</w:t>
            </w:r>
          </w:p>
        </w:tc>
        <w:tc>
          <w:tcPr>
            <w:tcW w:w="1229" w:type="dxa"/>
            <w:vAlign w:val="center"/>
          </w:tcPr>
          <w:p w14:paraId="3B4129A1">
            <w:pPr>
              <w:pStyle w:val="57"/>
              <w:rPr>
                <w:rFonts w:hint="eastAsia"/>
                <w:color w:val="auto"/>
              </w:rPr>
            </w:pPr>
            <w:r>
              <w:rPr>
                <w:rFonts w:hint="eastAsia"/>
                <w:color w:val="auto"/>
              </w:rPr>
              <w:t>0</w:t>
            </w:r>
          </w:p>
        </w:tc>
        <w:tc>
          <w:tcPr>
            <w:tcW w:w="1696" w:type="dxa"/>
            <w:vAlign w:val="center"/>
          </w:tcPr>
          <w:p w14:paraId="7A0C3C65">
            <w:pPr>
              <w:pStyle w:val="57"/>
              <w:rPr>
                <w:rFonts w:hint="eastAsia"/>
                <w:color w:val="auto"/>
              </w:rPr>
            </w:pPr>
            <w:r>
              <w:rPr>
                <w:rFonts w:hint="eastAsia"/>
                <w:color w:val="auto"/>
              </w:rPr>
              <w:t>0</w:t>
            </w:r>
          </w:p>
        </w:tc>
        <w:tc>
          <w:tcPr>
            <w:tcW w:w="1555" w:type="dxa"/>
            <w:vAlign w:val="center"/>
          </w:tcPr>
          <w:p w14:paraId="23DC680D">
            <w:pPr>
              <w:pStyle w:val="57"/>
              <w:rPr>
                <w:color w:val="auto"/>
              </w:rPr>
            </w:pPr>
            <w:r>
              <w:rPr>
                <w:color w:val="auto"/>
              </w:rPr>
              <w:t>0.028</w:t>
            </w:r>
            <w:r>
              <w:rPr>
                <w:rFonts w:hint="eastAsia"/>
                <w:color w:val="auto"/>
              </w:rPr>
              <w:t>t/a</w:t>
            </w:r>
          </w:p>
        </w:tc>
        <w:tc>
          <w:tcPr>
            <w:tcW w:w="1379" w:type="dxa"/>
            <w:vAlign w:val="center"/>
          </w:tcPr>
          <w:p w14:paraId="1C63B705">
            <w:pPr>
              <w:pStyle w:val="57"/>
              <w:rPr>
                <w:rFonts w:hint="eastAsia"/>
                <w:color w:val="auto"/>
              </w:rPr>
            </w:pPr>
            <w:r>
              <w:rPr>
                <w:rFonts w:hint="eastAsia"/>
                <w:color w:val="auto"/>
              </w:rPr>
              <w:t>0</w:t>
            </w:r>
          </w:p>
        </w:tc>
        <w:tc>
          <w:tcPr>
            <w:tcW w:w="1815" w:type="dxa"/>
            <w:vAlign w:val="center"/>
          </w:tcPr>
          <w:p w14:paraId="6B689AF5">
            <w:pPr>
              <w:pStyle w:val="57"/>
              <w:rPr>
                <w:color w:val="auto"/>
              </w:rPr>
            </w:pPr>
            <w:r>
              <w:rPr>
                <w:color w:val="auto"/>
              </w:rPr>
              <w:t>0.028</w:t>
            </w:r>
            <w:r>
              <w:rPr>
                <w:rFonts w:hint="eastAsia"/>
                <w:color w:val="auto"/>
              </w:rPr>
              <w:t>t/a</w:t>
            </w:r>
          </w:p>
        </w:tc>
        <w:tc>
          <w:tcPr>
            <w:tcW w:w="1471" w:type="dxa"/>
            <w:vAlign w:val="center"/>
          </w:tcPr>
          <w:p w14:paraId="6E0715F0">
            <w:pPr>
              <w:pStyle w:val="57"/>
              <w:rPr>
                <w:color w:val="auto"/>
              </w:rPr>
            </w:pPr>
            <w:r>
              <w:rPr>
                <w:color w:val="auto"/>
              </w:rPr>
              <w:t>0.028</w:t>
            </w:r>
            <w:r>
              <w:rPr>
                <w:rFonts w:hint="eastAsia"/>
                <w:color w:val="auto"/>
              </w:rPr>
              <w:t>t/a</w:t>
            </w:r>
          </w:p>
        </w:tc>
      </w:tr>
      <w:tr w14:paraId="1F7E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restart"/>
            <w:vAlign w:val="center"/>
          </w:tcPr>
          <w:p w14:paraId="353BB35E">
            <w:pPr>
              <w:pStyle w:val="57"/>
              <w:rPr>
                <w:color w:val="auto"/>
              </w:rPr>
            </w:pPr>
            <w:r>
              <w:rPr>
                <w:color w:val="auto"/>
              </w:rPr>
              <w:t>一般工业</w:t>
            </w:r>
          </w:p>
          <w:p w14:paraId="362B5D05">
            <w:pPr>
              <w:pStyle w:val="57"/>
              <w:rPr>
                <w:color w:val="auto"/>
              </w:rPr>
            </w:pPr>
            <w:r>
              <w:rPr>
                <w:color w:val="auto"/>
              </w:rPr>
              <w:t>固体废物</w:t>
            </w:r>
          </w:p>
        </w:tc>
        <w:tc>
          <w:tcPr>
            <w:tcW w:w="1829" w:type="dxa"/>
            <w:vAlign w:val="center"/>
          </w:tcPr>
          <w:p w14:paraId="3E66A774">
            <w:pPr>
              <w:pStyle w:val="57"/>
              <w:rPr>
                <w:rFonts w:hint="eastAsia"/>
                <w:color w:val="auto"/>
              </w:rPr>
            </w:pPr>
            <w:r>
              <w:rPr>
                <w:rFonts w:hint="eastAsia"/>
                <w:color w:val="auto"/>
              </w:rPr>
              <w:t>生活垃圾</w:t>
            </w:r>
          </w:p>
        </w:tc>
        <w:tc>
          <w:tcPr>
            <w:tcW w:w="1735" w:type="dxa"/>
            <w:vAlign w:val="center"/>
          </w:tcPr>
          <w:p w14:paraId="3A35563B">
            <w:pPr>
              <w:pStyle w:val="57"/>
              <w:rPr>
                <w:rFonts w:hint="eastAsia"/>
                <w:color w:val="auto"/>
              </w:rPr>
            </w:pPr>
            <w:r>
              <w:rPr>
                <w:rFonts w:hint="eastAsia"/>
                <w:color w:val="auto"/>
              </w:rPr>
              <w:t>0</w:t>
            </w:r>
          </w:p>
        </w:tc>
        <w:tc>
          <w:tcPr>
            <w:tcW w:w="1229" w:type="dxa"/>
            <w:vAlign w:val="center"/>
          </w:tcPr>
          <w:p w14:paraId="28B4E6A6">
            <w:pPr>
              <w:pStyle w:val="57"/>
              <w:rPr>
                <w:rFonts w:hint="eastAsia"/>
                <w:color w:val="auto"/>
              </w:rPr>
            </w:pPr>
            <w:r>
              <w:rPr>
                <w:rFonts w:hint="eastAsia"/>
                <w:color w:val="auto"/>
              </w:rPr>
              <w:t>0</w:t>
            </w:r>
          </w:p>
        </w:tc>
        <w:tc>
          <w:tcPr>
            <w:tcW w:w="1696" w:type="dxa"/>
            <w:vAlign w:val="center"/>
          </w:tcPr>
          <w:p w14:paraId="42616BB5">
            <w:pPr>
              <w:pStyle w:val="57"/>
              <w:rPr>
                <w:rFonts w:hint="eastAsia"/>
                <w:color w:val="auto"/>
              </w:rPr>
            </w:pPr>
            <w:r>
              <w:rPr>
                <w:rFonts w:hint="eastAsia"/>
                <w:color w:val="auto"/>
              </w:rPr>
              <w:t>0</w:t>
            </w:r>
          </w:p>
        </w:tc>
        <w:tc>
          <w:tcPr>
            <w:tcW w:w="1555" w:type="dxa"/>
            <w:vAlign w:val="center"/>
          </w:tcPr>
          <w:p w14:paraId="010E448E">
            <w:pPr>
              <w:pStyle w:val="57"/>
              <w:rPr>
                <w:color w:val="auto"/>
              </w:rPr>
            </w:pPr>
            <w:r>
              <w:rPr>
                <w:rFonts w:hint="eastAsia"/>
                <w:color w:val="auto"/>
              </w:rPr>
              <w:t>6t/a</w:t>
            </w:r>
          </w:p>
        </w:tc>
        <w:tc>
          <w:tcPr>
            <w:tcW w:w="1379" w:type="dxa"/>
            <w:vAlign w:val="center"/>
          </w:tcPr>
          <w:p w14:paraId="29BF510C">
            <w:pPr>
              <w:pStyle w:val="57"/>
              <w:rPr>
                <w:color w:val="auto"/>
              </w:rPr>
            </w:pPr>
            <w:r>
              <w:rPr>
                <w:rFonts w:hint="eastAsia"/>
                <w:color w:val="auto"/>
              </w:rPr>
              <w:t>0</w:t>
            </w:r>
          </w:p>
        </w:tc>
        <w:tc>
          <w:tcPr>
            <w:tcW w:w="1815" w:type="dxa"/>
            <w:vAlign w:val="center"/>
          </w:tcPr>
          <w:p w14:paraId="3148764E">
            <w:pPr>
              <w:pStyle w:val="57"/>
              <w:rPr>
                <w:color w:val="auto"/>
              </w:rPr>
            </w:pPr>
            <w:r>
              <w:rPr>
                <w:rFonts w:hint="eastAsia"/>
                <w:color w:val="auto"/>
              </w:rPr>
              <w:t>6t/a</w:t>
            </w:r>
          </w:p>
        </w:tc>
        <w:tc>
          <w:tcPr>
            <w:tcW w:w="1471" w:type="dxa"/>
            <w:vAlign w:val="center"/>
          </w:tcPr>
          <w:p w14:paraId="196723A9">
            <w:pPr>
              <w:pStyle w:val="57"/>
              <w:rPr>
                <w:color w:val="auto"/>
              </w:rPr>
            </w:pPr>
            <w:r>
              <w:rPr>
                <w:rFonts w:hint="eastAsia"/>
                <w:color w:val="auto"/>
              </w:rPr>
              <w:t>+6t/a</w:t>
            </w:r>
          </w:p>
        </w:tc>
      </w:tr>
      <w:tr w14:paraId="42B10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4A788E77">
            <w:pPr>
              <w:pStyle w:val="57"/>
              <w:rPr>
                <w:color w:val="auto"/>
              </w:rPr>
            </w:pPr>
          </w:p>
        </w:tc>
        <w:tc>
          <w:tcPr>
            <w:tcW w:w="1829" w:type="dxa"/>
            <w:vAlign w:val="center"/>
          </w:tcPr>
          <w:p w14:paraId="3B91F9FC">
            <w:pPr>
              <w:pStyle w:val="57"/>
              <w:rPr>
                <w:rFonts w:hint="eastAsia"/>
                <w:color w:val="auto"/>
              </w:rPr>
            </w:pPr>
            <w:r>
              <w:rPr>
                <w:rFonts w:hint="eastAsia"/>
                <w:color w:val="auto"/>
              </w:rPr>
              <w:t>废包装材料</w:t>
            </w:r>
          </w:p>
        </w:tc>
        <w:tc>
          <w:tcPr>
            <w:tcW w:w="1735" w:type="dxa"/>
            <w:vAlign w:val="center"/>
          </w:tcPr>
          <w:p w14:paraId="031BD69E">
            <w:pPr>
              <w:pStyle w:val="57"/>
              <w:rPr>
                <w:rFonts w:hint="eastAsia"/>
                <w:color w:val="auto"/>
              </w:rPr>
            </w:pPr>
            <w:r>
              <w:rPr>
                <w:rFonts w:hint="eastAsia"/>
                <w:color w:val="auto"/>
              </w:rPr>
              <w:t>0</w:t>
            </w:r>
          </w:p>
        </w:tc>
        <w:tc>
          <w:tcPr>
            <w:tcW w:w="1229" w:type="dxa"/>
            <w:vAlign w:val="center"/>
          </w:tcPr>
          <w:p w14:paraId="27BCAAD6">
            <w:pPr>
              <w:pStyle w:val="57"/>
              <w:rPr>
                <w:rFonts w:hint="eastAsia"/>
                <w:color w:val="auto"/>
              </w:rPr>
            </w:pPr>
            <w:r>
              <w:rPr>
                <w:rFonts w:hint="eastAsia"/>
                <w:color w:val="auto"/>
              </w:rPr>
              <w:t>0</w:t>
            </w:r>
          </w:p>
        </w:tc>
        <w:tc>
          <w:tcPr>
            <w:tcW w:w="1696" w:type="dxa"/>
            <w:vAlign w:val="center"/>
          </w:tcPr>
          <w:p w14:paraId="78E43736">
            <w:pPr>
              <w:pStyle w:val="57"/>
              <w:rPr>
                <w:rFonts w:hint="eastAsia"/>
                <w:color w:val="auto"/>
              </w:rPr>
            </w:pPr>
            <w:r>
              <w:rPr>
                <w:rFonts w:hint="eastAsia"/>
                <w:color w:val="auto"/>
              </w:rPr>
              <w:t>0</w:t>
            </w:r>
          </w:p>
        </w:tc>
        <w:tc>
          <w:tcPr>
            <w:tcW w:w="1555" w:type="dxa"/>
            <w:vAlign w:val="center"/>
          </w:tcPr>
          <w:p w14:paraId="70B3CDD5">
            <w:pPr>
              <w:pStyle w:val="57"/>
              <w:rPr>
                <w:color w:val="auto"/>
              </w:rPr>
            </w:pPr>
            <w:r>
              <w:rPr>
                <w:rFonts w:hint="eastAsia"/>
                <w:color w:val="auto"/>
              </w:rPr>
              <w:t>0.5t/a</w:t>
            </w:r>
          </w:p>
        </w:tc>
        <w:tc>
          <w:tcPr>
            <w:tcW w:w="1379" w:type="dxa"/>
            <w:vAlign w:val="center"/>
          </w:tcPr>
          <w:p w14:paraId="75CAFBCD">
            <w:pPr>
              <w:pStyle w:val="57"/>
              <w:rPr>
                <w:color w:val="auto"/>
              </w:rPr>
            </w:pPr>
            <w:r>
              <w:rPr>
                <w:rFonts w:hint="eastAsia"/>
                <w:color w:val="auto"/>
              </w:rPr>
              <w:t>0</w:t>
            </w:r>
          </w:p>
        </w:tc>
        <w:tc>
          <w:tcPr>
            <w:tcW w:w="1815" w:type="dxa"/>
            <w:vAlign w:val="center"/>
          </w:tcPr>
          <w:p w14:paraId="10579CCC">
            <w:pPr>
              <w:pStyle w:val="57"/>
              <w:rPr>
                <w:color w:val="auto"/>
              </w:rPr>
            </w:pPr>
            <w:r>
              <w:rPr>
                <w:rFonts w:hint="eastAsia"/>
                <w:color w:val="auto"/>
              </w:rPr>
              <w:t>0.5t/a</w:t>
            </w:r>
          </w:p>
        </w:tc>
        <w:tc>
          <w:tcPr>
            <w:tcW w:w="1471" w:type="dxa"/>
            <w:vAlign w:val="center"/>
          </w:tcPr>
          <w:p w14:paraId="590FEF77">
            <w:pPr>
              <w:pStyle w:val="57"/>
              <w:rPr>
                <w:color w:val="auto"/>
              </w:rPr>
            </w:pPr>
            <w:r>
              <w:rPr>
                <w:rFonts w:hint="eastAsia"/>
                <w:color w:val="auto"/>
              </w:rPr>
              <w:t>+0.5t/a</w:t>
            </w:r>
          </w:p>
        </w:tc>
      </w:tr>
      <w:tr w14:paraId="0A8F1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384D10A5">
            <w:pPr>
              <w:pStyle w:val="57"/>
              <w:rPr>
                <w:color w:val="auto"/>
              </w:rPr>
            </w:pPr>
          </w:p>
        </w:tc>
        <w:tc>
          <w:tcPr>
            <w:tcW w:w="1829" w:type="dxa"/>
            <w:vAlign w:val="center"/>
          </w:tcPr>
          <w:p w14:paraId="2E97DE02">
            <w:pPr>
              <w:pStyle w:val="57"/>
              <w:rPr>
                <w:color w:val="auto"/>
              </w:rPr>
            </w:pPr>
            <w:r>
              <w:rPr>
                <w:rFonts w:hint="eastAsia"/>
                <w:color w:val="auto"/>
              </w:rPr>
              <w:t>边角料</w:t>
            </w:r>
          </w:p>
        </w:tc>
        <w:tc>
          <w:tcPr>
            <w:tcW w:w="1735" w:type="dxa"/>
            <w:vAlign w:val="center"/>
          </w:tcPr>
          <w:p w14:paraId="28877471">
            <w:pPr>
              <w:pStyle w:val="57"/>
              <w:rPr>
                <w:rFonts w:hint="eastAsia"/>
                <w:color w:val="auto"/>
              </w:rPr>
            </w:pPr>
            <w:r>
              <w:rPr>
                <w:rFonts w:hint="eastAsia"/>
                <w:color w:val="auto"/>
              </w:rPr>
              <w:t>0</w:t>
            </w:r>
          </w:p>
        </w:tc>
        <w:tc>
          <w:tcPr>
            <w:tcW w:w="1229" w:type="dxa"/>
            <w:vAlign w:val="center"/>
          </w:tcPr>
          <w:p w14:paraId="54553A93">
            <w:pPr>
              <w:pStyle w:val="57"/>
              <w:rPr>
                <w:rFonts w:hint="eastAsia"/>
                <w:color w:val="auto"/>
              </w:rPr>
            </w:pPr>
            <w:r>
              <w:rPr>
                <w:rFonts w:hint="eastAsia"/>
                <w:color w:val="auto"/>
              </w:rPr>
              <w:t>0</w:t>
            </w:r>
          </w:p>
        </w:tc>
        <w:tc>
          <w:tcPr>
            <w:tcW w:w="1696" w:type="dxa"/>
            <w:vAlign w:val="center"/>
          </w:tcPr>
          <w:p w14:paraId="0C0469D1">
            <w:pPr>
              <w:pStyle w:val="57"/>
              <w:rPr>
                <w:rFonts w:hint="eastAsia"/>
                <w:color w:val="auto"/>
              </w:rPr>
            </w:pPr>
            <w:r>
              <w:rPr>
                <w:rFonts w:hint="eastAsia"/>
                <w:color w:val="auto"/>
              </w:rPr>
              <w:t>0</w:t>
            </w:r>
          </w:p>
        </w:tc>
        <w:tc>
          <w:tcPr>
            <w:tcW w:w="1555" w:type="dxa"/>
            <w:vAlign w:val="center"/>
          </w:tcPr>
          <w:p w14:paraId="78F0D10F">
            <w:pPr>
              <w:pStyle w:val="57"/>
              <w:rPr>
                <w:rFonts w:hint="eastAsia"/>
                <w:color w:val="auto"/>
                <w:szCs w:val="22"/>
              </w:rPr>
            </w:pPr>
            <w:r>
              <w:rPr>
                <w:rFonts w:hint="eastAsia"/>
                <w:color w:val="auto"/>
                <w:szCs w:val="22"/>
              </w:rPr>
              <w:t>1.5t/a</w:t>
            </w:r>
          </w:p>
        </w:tc>
        <w:tc>
          <w:tcPr>
            <w:tcW w:w="1379" w:type="dxa"/>
            <w:vAlign w:val="center"/>
          </w:tcPr>
          <w:p w14:paraId="2C37359C">
            <w:pPr>
              <w:pStyle w:val="57"/>
              <w:rPr>
                <w:rFonts w:hint="eastAsia"/>
                <w:color w:val="auto"/>
              </w:rPr>
            </w:pPr>
            <w:r>
              <w:rPr>
                <w:rFonts w:hint="eastAsia"/>
                <w:color w:val="auto"/>
              </w:rPr>
              <w:t>0</w:t>
            </w:r>
          </w:p>
        </w:tc>
        <w:tc>
          <w:tcPr>
            <w:tcW w:w="1815" w:type="dxa"/>
            <w:vAlign w:val="center"/>
          </w:tcPr>
          <w:p w14:paraId="735B1D32">
            <w:pPr>
              <w:pStyle w:val="57"/>
              <w:rPr>
                <w:rFonts w:hint="eastAsia"/>
                <w:color w:val="auto"/>
                <w:szCs w:val="22"/>
              </w:rPr>
            </w:pPr>
            <w:r>
              <w:rPr>
                <w:rFonts w:hint="eastAsia"/>
                <w:color w:val="auto"/>
                <w:szCs w:val="22"/>
              </w:rPr>
              <w:t>1.5t/a</w:t>
            </w:r>
          </w:p>
        </w:tc>
        <w:tc>
          <w:tcPr>
            <w:tcW w:w="1471" w:type="dxa"/>
            <w:vAlign w:val="center"/>
          </w:tcPr>
          <w:p w14:paraId="1A8EAFC6">
            <w:pPr>
              <w:pStyle w:val="57"/>
              <w:rPr>
                <w:rFonts w:hint="eastAsia"/>
                <w:color w:val="auto"/>
                <w:szCs w:val="22"/>
              </w:rPr>
            </w:pPr>
            <w:r>
              <w:rPr>
                <w:rFonts w:hint="eastAsia"/>
                <w:color w:val="auto"/>
                <w:szCs w:val="22"/>
              </w:rPr>
              <w:t>+1.5t/a</w:t>
            </w:r>
          </w:p>
        </w:tc>
      </w:tr>
      <w:tr w14:paraId="44C56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restart"/>
            <w:vAlign w:val="center"/>
          </w:tcPr>
          <w:p w14:paraId="3AC2A759">
            <w:pPr>
              <w:pStyle w:val="57"/>
              <w:rPr>
                <w:color w:val="auto"/>
              </w:rPr>
            </w:pPr>
            <w:r>
              <w:rPr>
                <w:color w:val="auto"/>
              </w:rPr>
              <w:t>危险废物</w:t>
            </w:r>
          </w:p>
        </w:tc>
        <w:tc>
          <w:tcPr>
            <w:tcW w:w="1829" w:type="dxa"/>
            <w:vAlign w:val="center"/>
          </w:tcPr>
          <w:p w14:paraId="73CA3786">
            <w:pPr>
              <w:pStyle w:val="57"/>
              <w:rPr>
                <w:color w:val="auto"/>
              </w:rPr>
            </w:pPr>
            <w:r>
              <w:rPr>
                <w:rFonts w:hint="eastAsia"/>
                <w:color w:val="auto"/>
              </w:rPr>
              <w:t>废机油</w:t>
            </w:r>
          </w:p>
        </w:tc>
        <w:tc>
          <w:tcPr>
            <w:tcW w:w="1735" w:type="dxa"/>
            <w:vAlign w:val="center"/>
          </w:tcPr>
          <w:p w14:paraId="487E900C">
            <w:pPr>
              <w:pStyle w:val="57"/>
              <w:rPr>
                <w:rFonts w:hint="eastAsia"/>
                <w:color w:val="auto"/>
              </w:rPr>
            </w:pPr>
            <w:r>
              <w:rPr>
                <w:rFonts w:hint="eastAsia"/>
                <w:color w:val="auto"/>
              </w:rPr>
              <w:t>0</w:t>
            </w:r>
          </w:p>
        </w:tc>
        <w:tc>
          <w:tcPr>
            <w:tcW w:w="1229" w:type="dxa"/>
            <w:vAlign w:val="center"/>
          </w:tcPr>
          <w:p w14:paraId="6052ADB6">
            <w:pPr>
              <w:pStyle w:val="57"/>
              <w:rPr>
                <w:rFonts w:hint="eastAsia"/>
                <w:color w:val="auto"/>
              </w:rPr>
            </w:pPr>
            <w:r>
              <w:rPr>
                <w:rFonts w:hint="eastAsia"/>
                <w:color w:val="auto"/>
              </w:rPr>
              <w:t>0</w:t>
            </w:r>
          </w:p>
        </w:tc>
        <w:tc>
          <w:tcPr>
            <w:tcW w:w="1696" w:type="dxa"/>
            <w:vAlign w:val="center"/>
          </w:tcPr>
          <w:p w14:paraId="2DDA7824">
            <w:pPr>
              <w:pStyle w:val="57"/>
              <w:rPr>
                <w:rFonts w:hint="eastAsia"/>
                <w:color w:val="auto"/>
              </w:rPr>
            </w:pPr>
            <w:r>
              <w:rPr>
                <w:rFonts w:hint="eastAsia"/>
                <w:color w:val="auto"/>
              </w:rPr>
              <w:t>0</w:t>
            </w:r>
          </w:p>
        </w:tc>
        <w:tc>
          <w:tcPr>
            <w:tcW w:w="1555" w:type="dxa"/>
            <w:vAlign w:val="center"/>
          </w:tcPr>
          <w:p w14:paraId="39123464">
            <w:pPr>
              <w:pStyle w:val="57"/>
              <w:rPr>
                <w:color w:val="auto"/>
              </w:rPr>
            </w:pPr>
            <w:r>
              <w:rPr>
                <w:rFonts w:hint="eastAsia"/>
                <w:color w:val="auto"/>
              </w:rPr>
              <w:t>0.1t/a</w:t>
            </w:r>
          </w:p>
        </w:tc>
        <w:tc>
          <w:tcPr>
            <w:tcW w:w="1379" w:type="dxa"/>
            <w:vAlign w:val="center"/>
          </w:tcPr>
          <w:p w14:paraId="265B0253">
            <w:pPr>
              <w:pStyle w:val="57"/>
              <w:rPr>
                <w:rFonts w:hint="eastAsia"/>
                <w:color w:val="auto"/>
              </w:rPr>
            </w:pPr>
            <w:r>
              <w:rPr>
                <w:rFonts w:hint="eastAsia"/>
                <w:color w:val="auto"/>
              </w:rPr>
              <w:t>0</w:t>
            </w:r>
          </w:p>
        </w:tc>
        <w:tc>
          <w:tcPr>
            <w:tcW w:w="1815" w:type="dxa"/>
            <w:vAlign w:val="center"/>
          </w:tcPr>
          <w:p w14:paraId="6466A8E4">
            <w:pPr>
              <w:pStyle w:val="57"/>
              <w:rPr>
                <w:color w:val="auto"/>
              </w:rPr>
            </w:pPr>
            <w:r>
              <w:rPr>
                <w:rFonts w:hint="eastAsia"/>
                <w:color w:val="auto"/>
              </w:rPr>
              <w:t>0.1t/a</w:t>
            </w:r>
          </w:p>
        </w:tc>
        <w:tc>
          <w:tcPr>
            <w:tcW w:w="1471" w:type="dxa"/>
            <w:vAlign w:val="center"/>
          </w:tcPr>
          <w:p w14:paraId="4538E193">
            <w:pPr>
              <w:pStyle w:val="57"/>
              <w:rPr>
                <w:rFonts w:hint="eastAsia"/>
                <w:color w:val="auto"/>
              </w:rPr>
            </w:pPr>
            <w:r>
              <w:rPr>
                <w:rFonts w:hint="eastAsia"/>
                <w:color w:val="auto"/>
              </w:rPr>
              <w:t>+0.1t/a</w:t>
            </w:r>
          </w:p>
        </w:tc>
      </w:tr>
      <w:tr w14:paraId="422D0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773E0BBA">
            <w:pPr>
              <w:pStyle w:val="57"/>
              <w:rPr>
                <w:color w:val="auto"/>
              </w:rPr>
            </w:pPr>
          </w:p>
        </w:tc>
        <w:tc>
          <w:tcPr>
            <w:tcW w:w="1829" w:type="dxa"/>
            <w:vAlign w:val="center"/>
          </w:tcPr>
          <w:p w14:paraId="5D9DA9A5">
            <w:pPr>
              <w:pStyle w:val="57"/>
              <w:rPr>
                <w:rFonts w:hint="eastAsia"/>
                <w:color w:val="auto"/>
              </w:rPr>
            </w:pPr>
            <w:r>
              <w:rPr>
                <w:rFonts w:hint="eastAsia"/>
                <w:color w:val="auto"/>
              </w:rPr>
              <w:t>废活性炭</w:t>
            </w:r>
          </w:p>
        </w:tc>
        <w:tc>
          <w:tcPr>
            <w:tcW w:w="1735" w:type="dxa"/>
            <w:vAlign w:val="center"/>
          </w:tcPr>
          <w:p w14:paraId="3E9D04BF">
            <w:pPr>
              <w:pStyle w:val="57"/>
              <w:rPr>
                <w:rFonts w:hint="eastAsia"/>
                <w:color w:val="auto"/>
              </w:rPr>
            </w:pPr>
            <w:r>
              <w:rPr>
                <w:rFonts w:hint="eastAsia"/>
                <w:color w:val="auto"/>
              </w:rPr>
              <w:t>0</w:t>
            </w:r>
          </w:p>
        </w:tc>
        <w:tc>
          <w:tcPr>
            <w:tcW w:w="1229" w:type="dxa"/>
            <w:vAlign w:val="center"/>
          </w:tcPr>
          <w:p w14:paraId="24D2751E">
            <w:pPr>
              <w:pStyle w:val="57"/>
              <w:rPr>
                <w:rFonts w:hint="eastAsia"/>
                <w:color w:val="auto"/>
              </w:rPr>
            </w:pPr>
            <w:r>
              <w:rPr>
                <w:rFonts w:hint="eastAsia"/>
                <w:color w:val="auto"/>
              </w:rPr>
              <w:t>0</w:t>
            </w:r>
          </w:p>
        </w:tc>
        <w:tc>
          <w:tcPr>
            <w:tcW w:w="1696" w:type="dxa"/>
            <w:vAlign w:val="center"/>
          </w:tcPr>
          <w:p w14:paraId="4C2685FD">
            <w:pPr>
              <w:pStyle w:val="57"/>
              <w:rPr>
                <w:rFonts w:hint="eastAsia"/>
                <w:color w:val="auto"/>
              </w:rPr>
            </w:pPr>
            <w:r>
              <w:rPr>
                <w:rFonts w:hint="eastAsia"/>
                <w:color w:val="auto"/>
              </w:rPr>
              <w:t>0</w:t>
            </w:r>
          </w:p>
        </w:tc>
        <w:tc>
          <w:tcPr>
            <w:tcW w:w="1555" w:type="dxa"/>
            <w:vAlign w:val="center"/>
          </w:tcPr>
          <w:p w14:paraId="17C1176B">
            <w:pPr>
              <w:pStyle w:val="57"/>
              <w:rPr>
                <w:rFonts w:hint="eastAsia"/>
                <w:color w:val="auto"/>
              </w:rPr>
            </w:pPr>
            <w:r>
              <w:rPr>
                <w:rFonts w:hint="eastAsia"/>
                <w:color w:val="auto"/>
                <w:lang w:eastAsia="zh-CN"/>
              </w:rPr>
              <w:t>19.45</w:t>
            </w:r>
            <w:r>
              <w:rPr>
                <w:rFonts w:hint="eastAsia"/>
                <w:color w:val="auto"/>
              </w:rPr>
              <w:t>t/a</w:t>
            </w:r>
          </w:p>
        </w:tc>
        <w:tc>
          <w:tcPr>
            <w:tcW w:w="1379" w:type="dxa"/>
            <w:vAlign w:val="center"/>
          </w:tcPr>
          <w:p w14:paraId="5052D729">
            <w:pPr>
              <w:pStyle w:val="57"/>
              <w:rPr>
                <w:rFonts w:hint="eastAsia"/>
                <w:color w:val="auto"/>
              </w:rPr>
            </w:pPr>
            <w:r>
              <w:rPr>
                <w:rFonts w:hint="eastAsia"/>
                <w:color w:val="auto"/>
              </w:rPr>
              <w:t>0</w:t>
            </w:r>
          </w:p>
        </w:tc>
        <w:tc>
          <w:tcPr>
            <w:tcW w:w="1815" w:type="dxa"/>
            <w:vAlign w:val="center"/>
          </w:tcPr>
          <w:p w14:paraId="7581241F">
            <w:pPr>
              <w:pStyle w:val="57"/>
              <w:rPr>
                <w:rFonts w:hint="eastAsia"/>
                <w:color w:val="auto"/>
              </w:rPr>
            </w:pPr>
            <w:r>
              <w:rPr>
                <w:rFonts w:hint="eastAsia"/>
                <w:color w:val="auto"/>
                <w:lang w:eastAsia="zh-CN"/>
              </w:rPr>
              <w:t>19.45</w:t>
            </w:r>
            <w:r>
              <w:rPr>
                <w:rFonts w:hint="eastAsia"/>
                <w:color w:val="auto"/>
              </w:rPr>
              <w:t>t/a</w:t>
            </w:r>
          </w:p>
        </w:tc>
        <w:tc>
          <w:tcPr>
            <w:tcW w:w="1471" w:type="dxa"/>
            <w:vAlign w:val="center"/>
          </w:tcPr>
          <w:p w14:paraId="4B5AC33D">
            <w:pPr>
              <w:pStyle w:val="57"/>
              <w:rPr>
                <w:rFonts w:hint="eastAsia"/>
                <w:color w:val="auto"/>
              </w:rPr>
            </w:pPr>
            <w:r>
              <w:rPr>
                <w:rFonts w:hint="eastAsia"/>
                <w:color w:val="auto"/>
              </w:rPr>
              <w:t>+</w:t>
            </w:r>
            <w:r>
              <w:rPr>
                <w:rFonts w:hint="eastAsia"/>
                <w:color w:val="auto"/>
                <w:lang w:eastAsia="zh-CN"/>
              </w:rPr>
              <w:t>19.45</w:t>
            </w:r>
            <w:r>
              <w:rPr>
                <w:rFonts w:hint="eastAsia"/>
                <w:color w:val="auto"/>
              </w:rPr>
              <w:t>t/a</w:t>
            </w:r>
          </w:p>
        </w:tc>
      </w:tr>
      <w:tr w14:paraId="0B1E6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17EF516A">
            <w:pPr>
              <w:pStyle w:val="57"/>
              <w:rPr>
                <w:color w:val="auto"/>
              </w:rPr>
            </w:pPr>
          </w:p>
        </w:tc>
        <w:tc>
          <w:tcPr>
            <w:tcW w:w="1829" w:type="dxa"/>
            <w:vAlign w:val="center"/>
          </w:tcPr>
          <w:p w14:paraId="132C77E9">
            <w:pPr>
              <w:pStyle w:val="57"/>
              <w:rPr>
                <w:rFonts w:hint="eastAsia"/>
                <w:color w:val="auto"/>
              </w:rPr>
            </w:pPr>
            <w:r>
              <w:rPr>
                <w:rFonts w:hint="eastAsia"/>
                <w:color w:val="auto"/>
              </w:rPr>
              <w:t>废包装桶</w:t>
            </w:r>
          </w:p>
        </w:tc>
        <w:tc>
          <w:tcPr>
            <w:tcW w:w="1735" w:type="dxa"/>
            <w:vAlign w:val="center"/>
          </w:tcPr>
          <w:p w14:paraId="15040D2B">
            <w:pPr>
              <w:pStyle w:val="57"/>
              <w:rPr>
                <w:rFonts w:hint="eastAsia"/>
                <w:color w:val="auto"/>
              </w:rPr>
            </w:pPr>
            <w:r>
              <w:rPr>
                <w:rFonts w:hint="eastAsia"/>
                <w:color w:val="auto"/>
              </w:rPr>
              <w:t>0</w:t>
            </w:r>
          </w:p>
        </w:tc>
        <w:tc>
          <w:tcPr>
            <w:tcW w:w="1229" w:type="dxa"/>
            <w:vAlign w:val="center"/>
          </w:tcPr>
          <w:p w14:paraId="2064C24E">
            <w:pPr>
              <w:pStyle w:val="57"/>
              <w:rPr>
                <w:rFonts w:hint="eastAsia"/>
                <w:color w:val="auto"/>
              </w:rPr>
            </w:pPr>
            <w:r>
              <w:rPr>
                <w:rFonts w:hint="eastAsia"/>
                <w:color w:val="auto"/>
              </w:rPr>
              <w:t>0</w:t>
            </w:r>
          </w:p>
        </w:tc>
        <w:tc>
          <w:tcPr>
            <w:tcW w:w="1696" w:type="dxa"/>
            <w:vAlign w:val="center"/>
          </w:tcPr>
          <w:p w14:paraId="11EEE916">
            <w:pPr>
              <w:pStyle w:val="57"/>
              <w:rPr>
                <w:rFonts w:hint="eastAsia"/>
                <w:color w:val="auto"/>
              </w:rPr>
            </w:pPr>
            <w:r>
              <w:rPr>
                <w:rFonts w:hint="eastAsia"/>
                <w:color w:val="auto"/>
              </w:rPr>
              <w:t>0</w:t>
            </w:r>
          </w:p>
        </w:tc>
        <w:tc>
          <w:tcPr>
            <w:tcW w:w="1555" w:type="dxa"/>
            <w:vAlign w:val="center"/>
          </w:tcPr>
          <w:p w14:paraId="70102417">
            <w:pPr>
              <w:pStyle w:val="57"/>
              <w:rPr>
                <w:color w:val="auto"/>
              </w:rPr>
            </w:pPr>
            <w:r>
              <w:rPr>
                <w:rFonts w:hint="eastAsia"/>
                <w:color w:val="auto"/>
              </w:rPr>
              <w:t>0.5t/a</w:t>
            </w:r>
          </w:p>
        </w:tc>
        <w:tc>
          <w:tcPr>
            <w:tcW w:w="1379" w:type="dxa"/>
            <w:vAlign w:val="center"/>
          </w:tcPr>
          <w:p w14:paraId="5A2FBCC2">
            <w:pPr>
              <w:pStyle w:val="57"/>
              <w:rPr>
                <w:color w:val="auto"/>
              </w:rPr>
            </w:pPr>
            <w:r>
              <w:rPr>
                <w:rFonts w:hint="eastAsia"/>
                <w:color w:val="auto"/>
              </w:rPr>
              <w:t>0</w:t>
            </w:r>
          </w:p>
        </w:tc>
        <w:tc>
          <w:tcPr>
            <w:tcW w:w="1815" w:type="dxa"/>
            <w:vAlign w:val="center"/>
          </w:tcPr>
          <w:p w14:paraId="52C99569">
            <w:pPr>
              <w:pStyle w:val="57"/>
              <w:rPr>
                <w:rFonts w:hint="eastAsia"/>
                <w:color w:val="auto"/>
              </w:rPr>
            </w:pPr>
            <w:r>
              <w:rPr>
                <w:rFonts w:hint="eastAsia"/>
                <w:color w:val="auto"/>
              </w:rPr>
              <w:t>0.5t/a</w:t>
            </w:r>
          </w:p>
        </w:tc>
        <w:tc>
          <w:tcPr>
            <w:tcW w:w="1471" w:type="dxa"/>
            <w:vAlign w:val="center"/>
          </w:tcPr>
          <w:p w14:paraId="68B9DDAA">
            <w:pPr>
              <w:pStyle w:val="57"/>
              <w:rPr>
                <w:rFonts w:hint="eastAsia"/>
                <w:color w:val="auto"/>
              </w:rPr>
            </w:pPr>
            <w:r>
              <w:rPr>
                <w:rFonts w:hint="eastAsia"/>
                <w:color w:val="auto"/>
              </w:rPr>
              <w:t>+0.5t/a</w:t>
            </w:r>
          </w:p>
        </w:tc>
      </w:tr>
      <w:tr w14:paraId="7D1C9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2" w:type="dxa"/>
            <w:vMerge w:val="continue"/>
            <w:vAlign w:val="center"/>
          </w:tcPr>
          <w:p w14:paraId="3AA7B3AE">
            <w:pPr>
              <w:pStyle w:val="57"/>
              <w:rPr>
                <w:color w:val="auto"/>
              </w:rPr>
            </w:pPr>
          </w:p>
        </w:tc>
        <w:tc>
          <w:tcPr>
            <w:tcW w:w="1829" w:type="dxa"/>
            <w:vAlign w:val="center"/>
          </w:tcPr>
          <w:p w14:paraId="4B7E50DF">
            <w:pPr>
              <w:pStyle w:val="57"/>
              <w:rPr>
                <w:color w:val="auto"/>
              </w:rPr>
            </w:pPr>
            <w:r>
              <w:rPr>
                <w:rFonts w:hint="eastAsia"/>
                <w:color w:val="auto"/>
              </w:rPr>
              <w:t>废抹布</w:t>
            </w:r>
          </w:p>
        </w:tc>
        <w:tc>
          <w:tcPr>
            <w:tcW w:w="1735" w:type="dxa"/>
            <w:vAlign w:val="center"/>
          </w:tcPr>
          <w:p w14:paraId="56432152">
            <w:pPr>
              <w:pStyle w:val="57"/>
              <w:rPr>
                <w:rFonts w:hint="eastAsia"/>
                <w:color w:val="auto"/>
              </w:rPr>
            </w:pPr>
            <w:r>
              <w:rPr>
                <w:rFonts w:hint="eastAsia"/>
                <w:color w:val="auto"/>
              </w:rPr>
              <w:t>0</w:t>
            </w:r>
          </w:p>
        </w:tc>
        <w:tc>
          <w:tcPr>
            <w:tcW w:w="1229" w:type="dxa"/>
            <w:vAlign w:val="center"/>
          </w:tcPr>
          <w:p w14:paraId="00FBB026">
            <w:pPr>
              <w:pStyle w:val="57"/>
              <w:rPr>
                <w:rFonts w:hint="eastAsia"/>
                <w:color w:val="auto"/>
              </w:rPr>
            </w:pPr>
            <w:r>
              <w:rPr>
                <w:rFonts w:hint="eastAsia"/>
                <w:color w:val="auto"/>
              </w:rPr>
              <w:t>0</w:t>
            </w:r>
          </w:p>
        </w:tc>
        <w:tc>
          <w:tcPr>
            <w:tcW w:w="1696" w:type="dxa"/>
            <w:vAlign w:val="center"/>
          </w:tcPr>
          <w:p w14:paraId="29FF0CF4">
            <w:pPr>
              <w:pStyle w:val="57"/>
              <w:rPr>
                <w:rFonts w:hint="eastAsia"/>
                <w:color w:val="auto"/>
              </w:rPr>
            </w:pPr>
            <w:r>
              <w:rPr>
                <w:rFonts w:hint="eastAsia"/>
                <w:color w:val="auto"/>
              </w:rPr>
              <w:t>0</w:t>
            </w:r>
          </w:p>
        </w:tc>
        <w:tc>
          <w:tcPr>
            <w:tcW w:w="1555" w:type="dxa"/>
            <w:vAlign w:val="center"/>
          </w:tcPr>
          <w:p w14:paraId="1CAC2330">
            <w:pPr>
              <w:pStyle w:val="57"/>
              <w:rPr>
                <w:color w:val="auto"/>
              </w:rPr>
            </w:pPr>
            <w:r>
              <w:rPr>
                <w:rFonts w:hint="eastAsia"/>
                <w:color w:val="auto"/>
              </w:rPr>
              <w:t>0.05t/a</w:t>
            </w:r>
          </w:p>
        </w:tc>
        <w:tc>
          <w:tcPr>
            <w:tcW w:w="1379" w:type="dxa"/>
            <w:vAlign w:val="center"/>
          </w:tcPr>
          <w:p w14:paraId="69C80975">
            <w:pPr>
              <w:pStyle w:val="57"/>
              <w:rPr>
                <w:color w:val="auto"/>
              </w:rPr>
            </w:pPr>
            <w:r>
              <w:rPr>
                <w:rFonts w:hint="eastAsia"/>
                <w:color w:val="auto"/>
              </w:rPr>
              <w:t>0</w:t>
            </w:r>
          </w:p>
        </w:tc>
        <w:tc>
          <w:tcPr>
            <w:tcW w:w="1815" w:type="dxa"/>
            <w:vAlign w:val="center"/>
          </w:tcPr>
          <w:p w14:paraId="7CB57903">
            <w:pPr>
              <w:pStyle w:val="57"/>
              <w:rPr>
                <w:rFonts w:hint="eastAsia"/>
                <w:color w:val="auto"/>
              </w:rPr>
            </w:pPr>
            <w:r>
              <w:rPr>
                <w:rFonts w:hint="eastAsia"/>
                <w:color w:val="auto"/>
              </w:rPr>
              <w:t>0.05t/a</w:t>
            </w:r>
          </w:p>
        </w:tc>
        <w:tc>
          <w:tcPr>
            <w:tcW w:w="1471" w:type="dxa"/>
            <w:vAlign w:val="center"/>
          </w:tcPr>
          <w:p w14:paraId="4063DD5D">
            <w:pPr>
              <w:pStyle w:val="57"/>
              <w:rPr>
                <w:rFonts w:hint="eastAsia"/>
                <w:color w:val="auto"/>
              </w:rPr>
            </w:pPr>
            <w:r>
              <w:rPr>
                <w:rFonts w:hint="eastAsia"/>
                <w:color w:val="auto"/>
              </w:rPr>
              <w:t>+0.05t/a</w:t>
            </w:r>
          </w:p>
        </w:tc>
      </w:tr>
    </w:tbl>
    <w:p w14:paraId="03E7CE36">
      <w:pPr>
        <w:ind w:firstLine="480"/>
        <w:rPr>
          <w:color w:val="auto"/>
        </w:rPr>
      </w:pPr>
    </w:p>
    <w:sectPr>
      <w:headerReference r:id="rId10" w:type="default"/>
      <w:footerReference r:id="rId11" w:type="default"/>
      <w:pgSz w:w="16783" w:h="11850" w:orient="landscape"/>
      <w:pgMar w:top="850" w:right="1417" w:bottom="850" w:left="1417" w:header="454" w:footer="680"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T5A56o02">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7B19">
    <w:pPr>
      <w:pStyle w:val="25"/>
      <w:ind w:right="360"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D8C59D">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13</w:t>
                          </w:r>
                          <w:r>
                            <w:rPr>
                              <w:rStyle w:val="41"/>
                              <w:rFonts w:ascii="宋体" w:hAnsi="宋体"/>
                              <w:sz w:val="26"/>
                              <w:szCs w:val="26"/>
                            </w:rPr>
                            <w:fldChar w:fldCharType="end"/>
                          </w:r>
                          <w:r>
                            <w:rPr>
                              <w:rStyle w:val="4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UmH00AgAAZQQAAA4AAABkcnMvZTJvRG9jLnhtbK1UzY7TMBC+I/EO&#10;lu80bReW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NSWaKXT89OP7&#10;6eev08M3Mn4bBWqsnyJuYxEZ2nemxdj09x6XkXdbOhV/wYjAD3mPF3lFGwiPjybjyWQIF4evPwA/&#10;e3xunQ/vhVEkGjl16F+SlR3WPnShfUjMps2qljL1UGrS5PT66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jFJh9NAIAAGUEAAAOAAAAAAAAAAEAIAAAAB8BAABkcnMvZTJvRG9jLnhtbFBL&#10;BQYAAAAABgAGAFkBAADFBQAAAAA=&#10;">
              <v:fill on="f" focussize="0,0"/>
              <v:stroke on="f" weight="0.5pt"/>
              <v:imagedata o:title=""/>
              <o:lock v:ext="edit" aspectratio="f"/>
              <v:textbox inset="0mm,0mm,0mm,0mm" style="mso-fit-shape-to-text:t;">
                <w:txbxContent>
                  <w:p w14:paraId="59D8C59D">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13</w:t>
                    </w:r>
                    <w:r>
                      <w:rPr>
                        <w:rStyle w:val="41"/>
                        <w:rFonts w:ascii="宋体" w:hAnsi="宋体"/>
                        <w:sz w:val="26"/>
                        <w:szCs w:val="26"/>
                      </w:rPr>
                      <w:fldChar w:fldCharType="end"/>
                    </w:r>
                    <w:r>
                      <w:rPr>
                        <w:rStyle w:val="41"/>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87D3">
    <w:pPr>
      <w:pStyle w:val="25"/>
      <w:ind w:right="360"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432954">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53</w:t>
                          </w:r>
                          <w:r>
                            <w:rPr>
                              <w:rStyle w:val="41"/>
                              <w:rFonts w:ascii="宋体" w:hAnsi="宋体"/>
                              <w:sz w:val="26"/>
                              <w:szCs w:val="26"/>
                            </w:rPr>
                            <w:fldChar w:fldCharType="end"/>
                          </w:r>
                          <w:r>
                            <w:rPr>
                              <w:rStyle w:val="4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Uab3UzAgAAZAQAAA4AAAAAAAAAAQAgAAAAHwEAAGRycy9lMm9Eb2MueG1sUEsF&#10;BgAAAAAGAAYAWQEAAMQFAAAAAA==&#10;">
              <v:fill on="f" focussize="0,0"/>
              <v:stroke on="f" weight="0.5pt"/>
              <v:imagedata o:title=""/>
              <o:lock v:ext="edit" aspectratio="f"/>
              <v:textbox inset="0mm,0mm,0mm,0mm" style="mso-fit-shape-to-text:t;">
                <w:txbxContent>
                  <w:p w14:paraId="4C432954">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53</w:t>
                    </w:r>
                    <w:r>
                      <w:rPr>
                        <w:rStyle w:val="41"/>
                        <w:rFonts w:ascii="宋体" w:hAnsi="宋体"/>
                        <w:sz w:val="26"/>
                        <w:szCs w:val="26"/>
                      </w:rPr>
                      <w:fldChar w:fldCharType="end"/>
                    </w:r>
                    <w:r>
                      <w:rPr>
                        <w:rStyle w:val="41"/>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3977">
    <w:pPr>
      <w:pStyle w:val="25"/>
      <w:ind w:right="360" w:firstLine="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D0790">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58</w:t>
                          </w:r>
                          <w:r>
                            <w:rPr>
                              <w:rStyle w:val="41"/>
                              <w:rFonts w:ascii="宋体" w:hAnsi="宋体"/>
                              <w:sz w:val="26"/>
                              <w:szCs w:val="26"/>
                            </w:rPr>
                            <w:fldChar w:fldCharType="end"/>
                          </w:r>
                          <w:r>
                            <w:rPr>
                              <w:rStyle w:val="4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xMzMzAgAAZA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xMzMzAgAAZAQAAA4AAAAAAAAAAQAgAAAAHwEAAGRycy9lMm9Eb2MueG1sUEsF&#10;BgAAAAAGAAYAWQEAAMQFAAAAAA==&#10;">
              <v:fill on="f" focussize="0,0"/>
              <v:stroke on="f" weight="0.5pt"/>
              <v:imagedata o:title=""/>
              <o:lock v:ext="edit" aspectratio="f"/>
              <v:textbox inset="0mm,0mm,0mm,0mm" style="mso-fit-shape-to-text:t;">
                <w:txbxContent>
                  <w:p w14:paraId="542D0790">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58</w:t>
                    </w:r>
                    <w:r>
                      <w:rPr>
                        <w:rStyle w:val="41"/>
                        <w:rFonts w:ascii="宋体" w:hAnsi="宋体"/>
                        <w:sz w:val="26"/>
                        <w:szCs w:val="26"/>
                      </w:rPr>
                      <w:fldChar w:fldCharType="end"/>
                    </w:r>
                    <w:r>
                      <w:rPr>
                        <w:rStyle w:val="41"/>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4C9A">
    <w:pPr>
      <w:pStyle w:val="2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C07E7">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59</w:t>
                          </w:r>
                          <w:r>
                            <w:rPr>
                              <w:rStyle w:val="41"/>
                              <w:rFonts w:ascii="宋体" w:hAnsi="宋体"/>
                              <w:sz w:val="26"/>
                              <w:szCs w:val="26"/>
                            </w:rPr>
                            <w:fldChar w:fldCharType="end"/>
                          </w:r>
                          <w:r>
                            <w:rPr>
                              <w:rStyle w:val="4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O59c0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yXQW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MHuW&#10;ha1+tDxCR3m8XR0C5EwqR1E6JdCdeMD0pT71mxLH+89zinr6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DufXNAIAAGUEAAAOAAAAAAAAAAEAIAAAAB8BAABkcnMvZTJvRG9jLnhtbFBL&#10;BQYAAAAABgAGAFkBAADFBQAAAAA=&#10;">
              <v:fill on="f" focussize="0,0"/>
              <v:stroke on="f" weight="0.5pt"/>
              <v:imagedata o:title=""/>
              <o:lock v:ext="edit" aspectratio="f"/>
              <v:textbox inset="0mm,0mm,0mm,0mm" style="mso-fit-shape-to-text:t;">
                <w:txbxContent>
                  <w:p w14:paraId="469C07E7">
                    <w:pPr>
                      <w:pStyle w:val="25"/>
                      <w:ind w:firstLine="560"/>
                      <w:rPr>
                        <w:rStyle w:val="41"/>
                        <w:rFonts w:ascii="宋体" w:hAnsi="宋体"/>
                        <w:sz w:val="28"/>
                        <w:szCs w:val="28"/>
                      </w:rPr>
                    </w:pPr>
                    <w:r>
                      <w:rPr>
                        <w:rStyle w:val="41"/>
                        <w:rFonts w:hint="eastAsia" w:ascii="宋体" w:hAnsi="宋体"/>
                        <w:sz w:val="28"/>
                        <w:szCs w:val="28"/>
                      </w:rPr>
                      <w:t>—</w:t>
                    </w:r>
                    <w:r>
                      <w:rPr>
                        <w:rStyle w:val="41"/>
                        <w:rFonts w:ascii="宋体" w:hAnsi="宋体"/>
                        <w:sz w:val="26"/>
                        <w:szCs w:val="26"/>
                      </w:rPr>
                      <w:fldChar w:fldCharType="begin"/>
                    </w:r>
                    <w:r>
                      <w:rPr>
                        <w:rStyle w:val="41"/>
                        <w:rFonts w:ascii="宋体" w:hAnsi="宋体"/>
                        <w:sz w:val="26"/>
                        <w:szCs w:val="26"/>
                      </w:rPr>
                      <w:instrText xml:space="preserve">PAGE  </w:instrText>
                    </w:r>
                    <w:r>
                      <w:rPr>
                        <w:rStyle w:val="41"/>
                        <w:rFonts w:ascii="宋体" w:hAnsi="宋体"/>
                        <w:sz w:val="26"/>
                        <w:szCs w:val="26"/>
                      </w:rPr>
                      <w:fldChar w:fldCharType="separate"/>
                    </w:r>
                    <w:r>
                      <w:rPr>
                        <w:rStyle w:val="41"/>
                        <w:rFonts w:ascii="宋体" w:hAnsi="宋体"/>
                        <w:sz w:val="26"/>
                        <w:szCs w:val="26"/>
                      </w:rPr>
                      <w:t>59</w:t>
                    </w:r>
                    <w:r>
                      <w:rPr>
                        <w:rStyle w:val="41"/>
                        <w:rFonts w:ascii="宋体" w:hAnsi="宋体"/>
                        <w:sz w:val="26"/>
                        <w:szCs w:val="26"/>
                      </w:rPr>
                      <w:fldChar w:fldCharType="end"/>
                    </w:r>
                    <w:r>
                      <w:rPr>
                        <w:rStyle w:val="41"/>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1141">
    <w:pPr>
      <w:pStyle w:val="27"/>
      <w:pBdr>
        <w:bottom w:val="single" w:color="auto" w:sz="4" w:space="1"/>
      </w:pBdr>
      <w:ind w:firstLine="0" w:firstLineChars="0"/>
      <w:jc w:val="center"/>
      <w:rPr>
        <w:sz w:val="21"/>
        <w:szCs w:val="21"/>
      </w:rPr>
    </w:pPr>
    <w:r>
      <w:rPr>
        <w:rFonts w:hint="eastAsia"/>
        <w:sz w:val="21"/>
        <w:szCs w:val="21"/>
      </w:rPr>
      <w:t>鞋服装饰配件及文具生产项目环境影响报告表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3681">
    <w:pPr>
      <w:pStyle w:val="27"/>
      <w:pBdr>
        <w:bottom w:val="single" w:color="auto" w:sz="4" w:space="1"/>
      </w:pBdr>
      <w:ind w:firstLine="0" w:firstLineChars="0"/>
      <w:jc w:val="center"/>
      <w:rPr>
        <w:sz w:val="21"/>
        <w:szCs w:val="21"/>
      </w:rPr>
    </w:pPr>
    <w:r>
      <w:rPr>
        <w:rFonts w:hint="eastAsia"/>
        <w:sz w:val="21"/>
        <w:szCs w:val="21"/>
      </w:rPr>
      <w:t>鞋服装饰配件及文具生产项目环境影响报告表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4EC2">
    <w:pPr>
      <w:pStyle w:val="27"/>
      <w:pBdr>
        <w:bottom w:val="single" w:color="auto" w:sz="4" w:space="1"/>
      </w:pBdr>
      <w:ind w:firstLine="0" w:firstLineChars="0"/>
      <w:jc w:val="center"/>
      <w:rPr>
        <w:sz w:val="21"/>
        <w:szCs w:val="21"/>
      </w:rPr>
    </w:pPr>
    <w:r>
      <w:rPr>
        <w:rFonts w:hint="eastAsia"/>
        <w:sz w:val="21"/>
        <w:szCs w:val="21"/>
      </w:rPr>
      <w:t>鞋服装饰配件及文具生产项目环境影响报告表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31CBA"/>
    <w:multiLevelType w:val="singleLevel"/>
    <w:tmpl w:val="DC431CBA"/>
    <w:lvl w:ilvl="0" w:tentative="0">
      <w:start w:val="19"/>
      <w:numFmt w:val="chineseCounting"/>
      <w:suff w:val="nothing"/>
      <w:lvlText w:val="%1、"/>
      <w:lvlJc w:val="left"/>
      <w:rPr>
        <w:rFonts w:hint="eastAsia"/>
      </w:rPr>
    </w:lvl>
  </w:abstractNum>
  <w:abstractNum w:abstractNumId="1">
    <w:nsid w:val="0CE1B256"/>
    <w:multiLevelType w:val="singleLevel"/>
    <w:tmpl w:val="0CE1B2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TRmMTUzY2RmNzcyNmUxNWU2N2NkNzY2YTlkOTUifQ=="/>
    <w:docVar w:name="KSO_WPS_MARK_KEY" w:val="28fa04cf-5a18-4e3d-81a2-ca871d11511e"/>
  </w:docVars>
  <w:rsids>
    <w:rsidRoot w:val="00172A27"/>
    <w:rsid w:val="00001836"/>
    <w:rsid w:val="00011505"/>
    <w:rsid w:val="00011FE0"/>
    <w:rsid w:val="00034E87"/>
    <w:rsid w:val="000C7DE7"/>
    <w:rsid w:val="001209E2"/>
    <w:rsid w:val="0014255E"/>
    <w:rsid w:val="001445D0"/>
    <w:rsid w:val="00146945"/>
    <w:rsid w:val="00173F4D"/>
    <w:rsid w:val="001F6C1D"/>
    <w:rsid w:val="002222AC"/>
    <w:rsid w:val="00267A6C"/>
    <w:rsid w:val="002B0A9B"/>
    <w:rsid w:val="002E78AC"/>
    <w:rsid w:val="00363691"/>
    <w:rsid w:val="00481283"/>
    <w:rsid w:val="004C2F25"/>
    <w:rsid w:val="004D32D7"/>
    <w:rsid w:val="00502666"/>
    <w:rsid w:val="00571AEF"/>
    <w:rsid w:val="00595C2F"/>
    <w:rsid w:val="006865D4"/>
    <w:rsid w:val="006E049E"/>
    <w:rsid w:val="0075130B"/>
    <w:rsid w:val="00755685"/>
    <w:rsid w:val="007B6594"/>
    <w:rsid w:val="007C293D"/>
    <w:rsid w:val="007E41F3"/>
    <w:rsid w:val="007F2572"/>
    <w:rsid w:val="0080513A"/>
    <w:rsid w:val="008130E5"/>
    <w:rsid w:val="008967E9"/>
    <w:rsid w:val="00900EB7"/>
    <w:rsid w:val="00965F48"/>
    <w:rsid w:val="00A07130"/>
    <w:rsid w:val="00A6503D"/>
    <w:rsid w:val="00AA1A88"/>
    <w:rsid w:val="00AD2790"/>
    <w:rsid w:val="00AF6211"/>
    <w:rsid w:val="00B40755"/>
    <w:rsid w:val="00B92A00"/>
    <w:rsid w:val="00C528D4"/>
    <w:rsid w:val="00C66F3C"/>
    <w:rsid w:val="00C7383E"/>
    <w:rsid w:val="00CB23C9"/>
    <w:rsid w:val="00DA2551"/>
    <w:rsid w:val="00DF1C1E"/>
    <w:rsid w:val="010E6E6D"/>
    <w:rsid w:val="012D42FD"/>
    <w:rsid w:val="013C5444"/>
    <w:rsid w:val="017576E4"/>
    <w:rsid w:val="01C37B3E"/>
    <w:rsid w:val="01C771FB"/>
    <w:rsid w:val="01CC1A40"/>
    <w:rsid w:val="01F33E9F"/>
    <w:rsid w:val="021838C9"/>
    <w:rsid w:val="0218777D"/>
    <w:rsid w:val="021951FF"/>
    <w:rsid w:val="02214A0F"/>
    <w:rsid w:val="027274D4"/>
    <w:rsid w:val="028956D7"/>
    <w:rsid w:val="028F5B45"/>
    <w:rsid w:val="02C1602D"/>
    <w:rsid w:val="02CB0451"/>
    <w:rsid w:val="02D50C08"/>
    <w:rsid w:val="02F17CA0"/>
    <w:rsid w:val="035454F2"/>
    <w:rsid w:val="03587A62"/>
    <w:rsid w:val="03750EC5"/>
    <w:rsid w:val="037F69DF"/>
    <w:rsid w:val="0381067E"/>
    <w:rsid w:val="03830824"/>
    <w:rsid w:val="03AA4690"/>
    <w:rsid w:val="03AB5964"/>
    <w:rsid w:val="03D756A0"/>
    <w:rsid w:val="03EA08A3"/>
    <w:rsid w:val="03F85D36"/>
    <w:rsid w:val="03FF211F"/>
    <w:rsid w:val="043B4C5B"/>
    <w:rsid w:val="04452913"/>
    <w:rsid w:val="04780CEF"/>
    <w:rsid w:val="04CF69F1"/>
    <w:rsid w:val="05121822"/>
    <w:rsid w:val="05223E6B"/>
    <w:rsid w:val="052874CE"/>
    <w:rsid w:val="052D4EEB"/>
    <w:rsid w:val="05394004"/>
    <w:rsid w:val="053C55D7"/>
    <w:rsid w:val="055A6486"/>
    <w:rsid w:val="055E545B"/>
    <w:rsid w:val="055F3507"/>
    <w:rsid w:val="05680976"/>
    <w:rsid w:val="057056FC"/>
    <w:rsid w:val="058260B3"/>
    <w:rsid w:val="05A73031"/>
    <w:rsid w:val="05B573C8"/>
    <w:rsid w:val="05B6346C"/>
    <w:rsid w:val="05D6148C"/>
    <w:rsid w:val="05E10689"/>
    <w:rsid w:val="05F14F4C"/>
    <w:rsid w:val="05F66895"/>
    <w:rsid w:val="060555E9"/>
    <w:rsid w:val="061C39A0"/>
    <w:rsid w:val="06444435"/>
    <w:rsid w:val="06782E3B"/>
    <w:rsid w:val="067F306E"/>
    <w:rsid w:val="06970272"/>
    <w:rsid w:val="06A9608B"/>
    <w:rsid w:val="06AD51AA"/>
    <w:rsid w:val="06B8338B"/>
    <w:rsid w:val="06C74ECC"/>
    <w:rsid w:val="07001708"/>
    <w:rsid w:val="070A4DFA"/>
    <w:rsid w:val="07125F5D"/>
    <w:rsid w:val="07175352"/>
    <w:rsid w:val="071C3C33"/>
    <w:rsid w:val="072A2FCD"/>
    <w:rsid w:val="0769722A"/>
    <w:rsid w:val="07A80B40"/>
    <w:rsid w:val="07AB38E1"/>
    <w:rsid w:val="07DB52CA"/>
    <w:rsid w:val="07ED3E33"/>
    <w:rsid w:val="07F0549E"/>
    <w:rsid w:val="08070BB6"/>
    <w:rsid w:val="082A0972"/>
    <w:rsid w:val="0842480A"/>
    <w:rsid w:val="085B4D2D"/>
    <w:rsid w:val="08720650"/>
    <w:rsid w:val="08D40E0B"/>
    <w:rsid w:val="090C40BA"/>
    <w:rsid w:val="090E73CB"/>
    <w:rsid w:val="092771F2"/>
    <w:rsid w:val="09412777"/>
    <w:rsid w:val="09AC4BF4"/>
    <w:rsid w:val="09E431C6"/>
    <w:rsid w:val="09FE7EB4"/>
    <w:rsid w:val="0A2B509C"/>
    <w:rsid w:val="0A7F0A6A"/>
    <w:rsid w:val="0AC51722"/>
    <w:rsid w:val="0ACD69C7"/>
    <w:rsid w:val="0AD16138"/>
    <w:rsid w:val="0AF50469"/>
    <w:rsid w:val="0B2B1D44"/>
    <w:rsid w:val="0B3705F5"/>
    <w:rsid w:val="0B3C2632"/>
    <w:rsid w:val="0B3D575C"/>
    <w:rsid w:val="0B7C7A64"/>
    <w:rsid w:val="0B916ED2"/>
    <w:rsid w:val="0B9F6417"/>
    <w:rsid w:val="0BC57CC9"/>
    <w:rsid w:val="0BF17BE1"/>
    <w:rsid w:val="0BFA19BF"/>
    <w:rsid w:val="0C0907B6"/>
    <w:rsid w:val="0C146CDE"/>
    <w:rsid w:val="0C540FAF"/>
    <w:rsid w:val="0C8F758C"/>
    <w:rsid w:val="0C911CAA"/>
    <w:rsid w:val="0CC52C65"/>
    <w:rsid w:val="0CD520F0"/>
    <w:rsid w:val="0CD56C3E"/>
    <w:rsid w:val="0CE02843"/>
    <w:rsid w:val="0CE41286"/>
    <w:rsid w:val="0CF167FE"/>
    <w:rsid w:val="0CF97589"/>
    <w:rsid w:val="0D9E3F68"/>
    <w:rsid w:val="0DAF1D62"/>
    <w:rsid w:val="0DC11C04"/>
    <w:rsid w:val="0DD86A35"/>
    <w:rsid w:val="0E09059C"/>
    <w:rsid w:val="0E340889"/>
    <w:rsid w:val="0E3F1C90"/>
    <w:rsid w:val="0E47152E"/>
    <w:rsid w:val="0E4B097C"/>
    <w:rsid w:val="0E9E49DE"/>
    <w:rsid w:val="0EA643D0"/>
    <w:rsid w:val="0EBB70C4"/>
    <w:rsid w:val="0F095A37"/>
    <w:rsid w:val="0F195EE1"/>
    <w:rsid w:val="0F4E0ACE"/>
    <w:rsid w:val="0F8A5330"/>
    <w:rsid w:val="0F8B118C"/>
    <w:rsid w:val="0FE26E45"/>
    <w:rsid w:val="101060E0"/>
    <w:rsid w:val="10142F30"/>
    <w:rsid w:val="10355D5C"/>
    <w:rsid w:val="106327F0"/>
    <w:rsid w:val="1068327B"/>
    <w:rsid w:val="10690E1F"/>
    <w:rsid w:val="107255D5"/>
    <w:rsid w:val="10A51DDA"/>
    <w:rsid w:val="10E32902"/>
    <w:rsid w:val="112D0524"/>
    <w:rsid w:val="11F71ED3"/>
    <w:rsid w:val="11F95338"/>
    <w:rsid w:val="1226562D"/>
    <w:rsid w:val="123F0A7C"/>
    <w:rsid w:val="126E605E"/>
    <w:rsid w:val="12896C70"/>
    <w:rsid w:val="128E629D"/>
    <w:rsid w:val="12A3059B"/>
    <w:rsid w:val="12AF70E4"/>
    <w:rsid w:val="12D74138"/>
    <w:rsid w:val="12DE7825"/>
    <w:rsid w:val="12E82710"/>
    <w:rsid w:val="13361DFF"/>
    <w:rsid w:val="13525106"/>
    <w:rsid w:val="135856AA"/>
    <w:rsid w:val="136E6DFB"/>
    <w:rsid w:val="137C3F4C"/>
    <w:rsid w:val="13A410CA"/>
    <w:rsid w:val="13BE0F69"/>
    <w:rsid w:val="13C24A51"/>
    <w:rsid w:val="13FA52E0"/>
    <w:rsid w:val="140F30CD"/>
    <w:rsid w:val="143A2F9F"/>
    <w:rsid w:val="148C2D08"/>
    <w:rsid w:val="14A44572"/>
    <w:rsid w:val="14BB1286"/>
    <w:rsid w:val="14C33176"/>
    <w:rsid w:val="14C57350"/>
    <w:rsid w:val="15084931"/>
    <w:rsid w:val="150A6991"/>
    <w:rsid w:val="153D5EE7"/>
    <w:rsid w:val="154B3177"/>
    <w:rsid w:val="157C44B1"/>
    <w:rsid w:val="159B3965"/>
    <w:rsid w:val="15A10189"/>
    <w:rsid w:val="15B900D5"/>
    <w:rsid w:val="15CA7CBE"/>
    <w:rsid w:val="15D54835"/>
    <w:rsid w:val="1609105D"/>
    <w:rsid w:val="161C7AD3"/>
    <w:rsid w:val="165D3E4E"/>
    <w:rsid w:val="1683077C"/>
    <w:rsid w:val="169054FB"/>
    <w:rsid w:val="169229B4"/>
    <w:rsid w:val="16BE0CC4"/>
    <w:rsid w:val="16CC1597"/>
    <w:rsid w:val="17C0574B"/>
    <w:rsid w:val="17C764AD"/>
    <w:rsid w:val="17CF253C"/>
    <w:rsid w:val="17D33EA1"/>
    <w:rsid w:val="17DD0F7D"/>
    <w:rsid w:val="17E3163D"/>
    <w:rsid w:val="17E379F1"/>
    <w:rsid w:val="1832297A"/>
    <w:rsid w:val="1834087D"/>
    <w:rsid w:val="1858291F"/>
    <w:rsid w:val="18BD7EDC"/>
    <w:rsid w:val="18C332DF"/>
    <w:rsid w:val="18E01E19"/>
    <w:rsid w:val="18EB014F"/>
    <w:rsid w:val="18EC05C4"/>
    <w:rsid w:val="18F9574D"/>
    <w:rsid w:val="190B55D8"/>
    <w:rsid w:val="190D4059"/>
    <w:rsid w:val="190D49C0"/>
    <w:rsid w:val="19425E7A"/>
    <w:rsid w:val="19501313"/>
    <w:rsid w:val="196D0C07"/>
    <w:rsid w:val="199A16BA"/>
    <w:rsid w:val="199F5196"/>
    <w:rsid w:val="19C1019B"/>
    <w:rsid w:val="19F000EC"/>
    <w:rsid w:val="19F7246D"/>
    <w:rsid w:val="1A3348FA"/>
    <w:rsid w:val="1A507347"/>
    <w:rsid w:val="1A555970"/>
    <w:rsid w:val="1A8865AF"/>
    <w:rsid w:val="1A997EE4"/>
    <w:rsid w:val="1AE66694"/>
    <w:rsid w:val="1AEE1B52"/>
    <w:rsid w:val="1B13744F"/>
    <w:rsid w:val="1B181FBD"/>
    <w:rsid w:val="1B334BA7"/>
    <w:rsid w:val="1B666D00"/>
    <w:rsid w:val="1B8B0648"/>
    <w:rsid w:val="1B944F25"/>
    <w:rsid w:val="1BAA4748"/>
    <w:rsid w:val="1BB01F0E"/>
    <w:rsid w:val="1BBE127B"/>
    <w:rsid w:val="1C1A6932"/>
    <w:rsid w:val="1C624FA8"/>
    <w:rsid w:val="1C8E683B"/>
    <w:rsid w:val="1CA37BB6"/>
    <w:rsid w:val="1CD12859"/>
    <w:rsid w:val="1CD72AC8"/>
    <w:rsid w:val="1D25664C"/>
    <w:rsid w:val="1D540E0F"/>
    <w:rsid w:val="1D6E210C"/>
    <w:rsid w:val="1D801BA7"/>
    <w:rsid w:val="1D83251E"/>
    <w:rsid w:val="1D99637C"/>
    <w:rsid w:val="1DA71738"/>
    <w:rsid w:val="1E170702"/>
    <w:rsid w:val="1E1853FE"/>
    <w:rsid w:val="1E465A5A"/>
    <w:rsid w:val="1E592455"/>
    <w:rsid w:val="1E5B3B1B"/>
    <w:rsid w:val="1E7F2308"/>
    <w:rsid w:val="1E9F430C"/>
    <w:rsid w:val="1EB960B1"/>
    <w:rsid w:val="1EDF6D99"/>
    <w:rsid w:val="1EE75CB3"/>
    <w:rsid w:val="1EEA6051"/>
    <w:rsid w:val="1EFF300B"/>
    <w:rsid w:val="1F8E612F"/>
    <w:rsid w:val="1F9649FC"/>
    <w:rsid w:val="1F98744D"/>
    <w:rsid w:val="1FD77CB5"/>
    <w:rsid w:val="1FD80E66"/>
    <w:rsid w:val="20071E38"/>
    <w:rsid w:val="200C73CB"/>
    <w:rsid w:val="201E678C"/>
    <w:rsid w:val="202C1BFA"/>
    <w:rsid w:val="20473E45"/>
    <w:rsid w:val="20504479"/>
    <w:rsid w:val="20660A5E"/>
    <w:rsid w:val="20940B4B"/>
    <w:rsid w:val="209A7361"/>
    <w:rsid w:val="20B61DE1"/>
    <w:rsid w:val="20B76662"/>
    <w:rsid w:val="20BE529B"/>
    <w:rsid w:val="20D049E0"/>
    <w:rsid w:val="20FF2825"/>
    <w:rsid w:val="21234EC8"/>
    <w:rsid w:val="2141184E"/>
    <w:rsid w:val="21583E65"/>
    <w:rsid w:val="21654665"/>
    <w:rsid w:val="216653DB"/>
    <w:rsid w:val="217E28FF"/>
    <w:rsid w:val="21B94E72"/>
    <w:rsid w:val="21D971C7"/>
    <w:rsid w:val="21EF0F81"/>
    <w:rsid w:val="22136224"/>
    <w:rsid w:val="225C5CF6"/>
    <w:rsid w:val="22723AE6"/>
    <w:rsid w:val="229B37EA"/>
    <w:rsid w:val="22CD12D9"/>
    <w:rsid w:val="231C32E1"/>
    <w:rsid w:val="23461B9F"/>
    <w:rsid w:val="23626B1C"/>
    <w:rsid w:val="239A7798"/>
    <w:rsid w:val="239B206F"/>
    <w:rsid w:val="239C2EE4"/>
    <w:rsid w:val="24084E2B"/>
    <w:rsid w:val="244640BE"/>
    <w:rsid w:val="2455546D"/>
    <w:rsid w:val="247973AD"/>
    <w:rsid w:val="2494073F"/>
    <w:rsid w:val="24976248"/>
    <w:rsid w:val="24AD1C0A"/>
    <w:rsid w:val="24C8144C"/>
    <w:rsid w:val="24DC6AC7"/>
    <w:rsid w:val="24E0567E"/>
    <w:rsid w:val="24F14CA9"/>
    <w:rsid w:val="250C10D6"/>
    <w:rsid w:val="251E35F7"/>
    <w:rsid w:val="25553977"/>
    <w:rsid w:val="2587127C"/>
    <w:rsid w:val="25A515B9"/>
    <w:rsid w:val="261A0B72"/>
    <w:rsid w:val="26473D8C"/>
    <w:rsid w:val="265556C4"/>
    <w:rsid w:val="26C41B22"/>
    <w:rsid w:val="26DE2854"/>
    <w:rsid w:val="26F60A1C"/>
    <w:rsid w:val="26FB2F59"/>
    <w:rsid w:val="27163647"/>
    <w:rsid w:val="27396FC5"/>
    <w:rsid w:val="27400656"/>
    <w:rsid w:val="274760E2"/>
    <w:rsid w:val="277D730A"/>
    <w:rsid w:val="27826579"/>
    <w:rsid w:val="27C81893"/>
    <w:rsid w:val="27FD1FD1"/>
    <w:rsid w:val="2815562C"/>
    <w:rsid w:val="28574CA4"/>
    <w:rsid w:val="28595A9F"/>
    <w:rsid w:val="286D011A"/>
    <w:rsid w:val="288034CC"/>
    <w:rsid w:val="28AF15F0"/>
    <w:rsid w:val="28B901AD"/>
    <w:rsid w:val="28BD64BB"/>
    <w:rsid w:val="28D87EA5"/>
    <w:rsid w:val="28EC3DA8"/>
    <w:rsid w:val="28F848DA"/>
    <w:rsid w:val="28FF4246"/>
    <w:rsid w:val="29011ACB"/>
    <w:rsid w:val="2943739E"/>
    <w:rsid w:val="29570E6B"/>
    <w:rsid w:val="296333DA"/>
    <w:rsid w:val="29B623C7"/>
    <w:rsid w:val="29BB56B0"/>
    <w:rsid w:val="29C1666B"/>
    <w:rsid w:val="29CB291D"/>
    <w:rsid w:val="2A2A5A05"/>
    <w:rsid w:val="2A573FB6"/>
    <w:rsid w:val="2A5B3476"/>
    <w:rsid w:val="2A9E534E"/>
    <w:rsid w:val="2AB53B67"/>
    <w:rsid w:val="2AB92391"/>
    <w:rsid w:val="2ABD1008"/>
    <w:rsid w:val="2ACF6CE7"/>
    <w:rsid w:val="2AE64AC8"/>
    <w:rsid w:val="2B135556"/>
    <w:rsid w:val="2B2B5243"/>
    <w:rsid w:val="2B466EA3"/>
    <w:rsid w:val="2B4827EB"/>
    <w:rsid w:val="2B8B5E2F"/>
    <w:rsid w:val="2BBC553B"/>
    <w:rsid w:val="2BBD73D0"/>
    <w:rsid w:val="2BC361A7"/>
    <w:rsid w:val="2BCF72AE"/>
    <w:rsid w:val="2C0F0F3E"/>
    <w:rsid w:val="2C24031B"/>
    <w:rsid w:val="2C532BDA"/>
    <w:rsid w:val="2CE0179A"/>
    <w:rsid w:val="2D875FB6"/>
    <w:rsid w:val="2DB24ACF"/>
    <w:rsid w:val="2DF80622"/>
    <w:rsid w:val="2E0F39BB"/>
    <w:rsid w:val="2E12467C"/>
    <w:rsid w:val="2E210518"/>
    <w:rsid w:val="2E7E2FE0"/>
    <w:rsid w:val="2ED344F5"/>
    <w:rsid w:val="2F1464CB"/>
    <w:rsid w:val="2F28591B"/>
    <w:rsid w:val="2F3F020C"/>
    <w:rsid w:val="2F404918"/>
    <w:rsid w:val="2F836814"/>
    <w:rsid w:val="2F843FC2"/>
    <w:rsid w:val="2F9A13CF"/>
    <w:rsid w:val="2FC02334"/>
    <w:rsid w:val="2FC53205"/>
    <w:rsid w:val="2FD16660"/>
    <w:rsid w:val="2FD2043F"/>
    <w:rsid w:val="2FD96E8A"/>
    <w:rsid w:val="300264A9"/>
    <w:rsid w:val="300743DF"/>
    <w:rsid w:val="30267027"/>
    <w:rsid w:val="30AF76EE"/>
    <w:rsid w:val="30D81D65"/>
    <w:rsid w:val="30E43D42"/>
    <w:rsid w:val="30F779FC"/>
    <w:rsid w:val="31181CFC"/>
    <w:rsid w:val="3118459C"/>
    <w:rsid w:val="312E7FED"/>
    <w:rsid w:val="3155641D"/>
    <w:rsid w:val="318A1D3D"/>
    <w:rsid w:val="319A3490"/>
    <w:rsid w:val="31CD20C4"/>
    <w:rsid w:val="31F65AA0"/>
    <w:rsid w:val="3220355E"/>
    <w:rsid w:val="324A47F3"/>
    <w:rsid w:val="32773661"/>
    <w:rsid w:val="32EA2660"/>
    <w:rsid w:val="330944A3"/>
    <w:rsid w:val="330B49A4"/>
    <w:rsid w:val="331210F9"/>
    <w:rsid w:val="331D4BA3"/>
    <w:rsid w:val="33410D21"/>
    <w:rsid w:val="33576B0C"/>
    <w:rsid w:val="337B0E24"/>
    <w:rsid w:val="337C50CF"/>
    <w:rsid w:val="33987FBF"/>
    <w:rsid w:val="33A53B31"/>
    <w:rsid w:val="33AA2BE2"/>
    <w:rsid w:val="33CA784C"/>
    <w:rsid w:val="33EB181E"/>
    <w:rsid w:val="33FA2B1B"/>
    <w:rsid w:val="340F01C8"/>
    <w:rsid w:val="34133342"/>
    <w:rsid w:val="341E00AC"/>
    <w:rsid w:val="3439473C"/>
    <w:rsid w:val="34486B3F"/>
    <w:rsid w:val="34503DF8"/>
    <w:rsid w:val="34643215"/>
    <w:rsid w:val="347F162D"/>
    <w:rsid w:val="34825565"/>
    <w:rsid w:val="349D7242"/>
    <w:rsid w:val="34B023B5"/>
    <w:rsid w:val="34BD664D"/>
    <w:rsid w:val="34CA4520"/>
    <w:rsid w:val="34E67B14"/>
    <w:rsid w:val="34FD577E"/>
    <w:rsid w:val="34FE3200"/>
    <w:rsid w:val="354F3741"/>
    <w:rsid w:val="356C344B"/>
    <w:rsid w:val="35736D67"/>
    <w:rsid w:val="35B50293"/>
    <w:rsid w:val="35E7566E"/>
    <w:rsid w:val="35EB0FE5"/>
    <w:rsid w:val="36082BBF"/>
    <w:rsid w:val="362A2724"/>
    <w:rsid w:val="362D40FC"/>
    <w:rsid w:val="364662DE"/>
    <w:rsid w:val="36527157"/>
    <w:rsid w:val="366B311A"/>
    <w:rsid w:val="367F595F"/>
    <w:rsid w:val="36A86C4C"/>
    <w:rsid w:val="36B1218B"/>
    <w:rsid w:val="36B3302C"/>
    <w:rsid w:val="370477FE"/>
    <w:rsid w:val="37490E61"/>
    <w:rsid w:val="376E00D5"/>
    <w:rsid w:val="37B41B22"/>
    <w:rsid w:val="37BD5302"/>
    <w:rsid w:val="37C75268"/>
    <w:rsid w:val="37D50947"/>
    <w:rsid w:val="37E93BC8"/>
    <w:rsid w:val="38494CA3"/>
    <w:rsid w:val="38897ECE"/>
    <w:rsid w:val="38E4424A"/>
    <w:rsid w:val="39171C32"/>
    <w:rsid w:val="392C27E9"/>
    <w:rsid w:val="39357F6C"/>
    <w:rsid w:val="39386832"/>
    <w:rsid w:val="394915ED"/>
    <w:rsid w:val="394D3036"/>
    <w:rsid w:val="394E09B1"/>
    <w:rsid w:val="398D0055"/>
    <w:rsid w:val="39AC6EE1"/>
    <w:rsid w:val="39BC074D"/>
    <w:rsid w:val="39BF365D"/>
    <w:rsid w:val="39F52F28"/>
    <w:rsid w:val="39F858A2"/>
    <w:rsid w:val="3A022C9F"/>
    <w:rsid w:val="3A4F4F5B"/>
    <w:rsid w:val="3AD84584"/>
    <w:rsid w:val="3B0D5AAE"/>
    <w:rsid w:val="3BB72982"/>
    <w:rsid w:val="3BD333EF"/>
    <w:rsid w:val="3BDF05D9"/>
    <w:rsid w:val="3C0E28B1"/>
    <w:rsid w:val="3C12059B"/>
    <w:rsid w:val="3C1C62D2"/>
    <w:rsid w:val="3C5D42BB"/>
    <w:rsid w:val="3C6C6E9A"/>
    <w:rsid w:val="3C6F71D7"/>
    <w:rsid w:val="3C7F11EE"/>
    <w:rsid w:val="3C900216"/>
    <w:rsid w:val="3CC14CFC"/>
    <w:rsid w:val="3CC84554"/>
    <w:rsid w:val="3CD70100"/>
    <w:rsid w:val="3CDB04E4"/>
    <w:rsid w:val="3D606F05"/>
    <w:rsid w:val="3D7D0244"/>
    <w:rsid w:val="3D9D4A23"/>
    <w:rsid w:val="3D9D5A63"/>
    <w:rsid w:val="3DD217CA"/>
    <w:rsid w:val="3DDC5AD6"/>
    <w:rsid w:val="3DE2340B"/>
    <w:rsid w:val="3DEE4761"/>
    <w:rsid w:val="3E2621C3"/>
    <w:rsid w:val="3E6F72E4"/>
    <w:rsid w:val="3E79001C"/>
    <w:rsid w:val="3E8B50E0"/>
    <w:rsid w:val="3EA6303D"/>
    <w:rsid w:val="3EDA2650"/>
    <w:rsid w:val="3F204167"/>
    <w:rsid w:val="3F435F74"/>
    <w:rsid w:val="3F5605BF"/>
    <w:rsid w:val="3FAC1AC2"/>
    <w:rsid w:val="3FAD3442"/>
    <w:rsid w:val="400E5FE1"/>
    <w:rsid w:val="40255D9E"/>
    <w:rsid w:val="40292603"/>
    <w:rsid w:val="40321578"/>
    <w:rsid w:val="403E3A61"/>
    <w:rsid w:val="408D5FC8"/>
    <w:rsid w:val="409F5F96"/>
    <w:rsid w:val="40A73F57"/>
    <w:rsid w:val="40B01F51"/>
    <w:rsid w:val="40BC3727"/>
    <w:rsid w:val="40F17018"/>
    <w:rsid w:val="40F71A34"/>
    <w:rsid w:val="41101C27"/>
    <w:rsid w:val="411415C0"/>
    <w:rsid w:val="41210672"/>
    <w:rsid w:val="412112B3"/>
    <w:rsid w:val="413A293A"/>
    <w:rsid w:val="413F299B"/>
    <w:rsid w:val="414552C9"/>
    <w:rsid w:val="415F729C"/>
    <w:rsid w:val="41834389"/>
    <w:rsid w:val="41A171BC"/>
    <w:rsid w:val="41A23819"/>
    <w:rsid w:val="41CE1983"/>
    <w:rsid w:val="42142BBA"/>
    <w:rsid w:val="42145386"/>
    <w:rsid w:val="421C2501"/>
    <w:rsid w:val="424848E7"/>
    <w:rsid w:val="42666D6B"/>
    <w:rsid w:val="427276AB"/>
    <w:rsid w:val="427C077D"/>
    <w:rsid w:val="42A15545"/>
    <w:rsid w:val="42D53026"/>
    <w:rsid w:val="42DB3F85"/>
    <w:rsid w:val="43382D38"/>
    <w:rsid w:val="436808C1"/>
    <w:rsid w:val="43842BD5"/>
    <w:rsid w:val="43C401ED"/>
    <w:rsid w:val="43CE679A"/>
    <w:rsid w:val="43D03D1D"/>
    <w:rsid w:val="43F108B7"/>
    <w:rsid w:val="442C18EF"/>
    <w:rsid w:val="44453DDE"/>
    <w:rsid w:val="4497604E"/>
    <w:rsid w:val="45196DAE"/>
    <w:rsid w:val="452567E9"/>
    <w:rsid w:val="45282679"/>
    <w:rsid w:val="452E518F"/>
    <w:rsid w:val="455530C7"/>
    <w:rsid w:val="4575310F"/>
    <w:rsid w:val="4591027C"/>
    <w:rsid w:val="45D73ADC"/>
    <w:rsid w:val="45E01DAC"/>
    <w:rsid w:val="46370CE2"/>
    <w:rsid w:val="46402CF5"/>
    <w:rsid w:val="464E104B"/>
    <w:rsid w:val="464F0D8A"/>
    <w:rsid w:val="464F608E"/>
    <w:rsid w:val="46573496"/>
    <w:rsid w:val="466F6DA4"/>
    <w:rsid w:val="4678104D"/>
    <w:rsid w:val="469730DC"/>
    <w:rsid w:val="469E2E2E"/>
    <w:rsid w:val="46D57E20"/>
    <w:rsid w:val="46D954C8"/>
    <w:rsid w:val="470D200D"/>
    <w:rsid w:val="47733B57"/>
    <w:rsid w:val="477D1659"/>
    <w:rsid w:val="478552E3"/>
    <w:rsid w:val="479D60B2"/>
    <w:rsid w:val="47C96CD1"/>
    <w:rsid w:val="47D57784"/>
    <w:rsid w:val="47D7221D"/>
    <w:rsid w:val="48167A07"/>
    <w:rsid w:val="481C56A5"/>
    <w:rsid w:val="48980B06"/>
    <w:rsid w:val="48AE037D"/>
    <w:rsid w:val="48B302E9"/>
    <w:rsid w:val="48CB426D"/>
    <w:rsid w:val="48EC790C"/>
    <w:rsid w:val="49075132"/>
    <w:rsid w:val="49174E29"/>
    <w:rsid w:val="491A1E1C"/>
    <w:rsid w:val="491A47CA"/>
    <w:rsid w:val="49283669"/>
    <w:rsid w:val="493D6085"/>
    <w:rsid w:val="496A4819"/>
    <w:rsid w:val="49737398"/>
    <w:rsid w:val="498B52F1"/>
    <w:rsid w:val="49943145"/>
    <w:rsid w:val="49B95104"/>
    <w:rsid w:val="49D77ED6"/>
    <w:rsid w:val="49F043D5"/>
    <w:rsid w:val="49FE2C60"/>
    <w:rsid w:val="4A04791B"/>
    <w:rsid w:val="4A0A5203"/>
    <w:rsid w:val="4A296AD2"/>
    <w:rsid w:val="4A3D7A5A"/>
    <w:rsid w:val="4A541B9F"/>
    <w:rsid w:val="4A5B1AA4"/>
    <w:rsid w:val="4A89341C"/>
    <w:rsid w:val="4AB21172"/>
    <w:rsid w:val="4ABF74A0"/>
    <w:rsid w:val="4ACF7542"/>
    <w:rsid w:val="4AD743D6"/>
    <w:rsid w:val="4B120BE1"/>
    <w:rsid w:val="4B1A6AAF"/>
    <w:rsid w:val="4B3F63AB"/>
    <w:rsid w:val="4B4E7E96"/>
    <w:rsid w:val="4B604277"/>
    <w:rsid w:val="4B7C2F7D"/>
    <w:rsid w:val="4BC343B6"/>
    <w:rsid w:val="4BEF23B5"/>
    <w:rsid w:val="4C1053D7"/>
    <w:rsid w:val="4C2973D6"/>
    <w:rsid w:val="4C5F71B6"/>
    <w:rsid w:val="4D142518"/>
    <w:rsid w:val="4D1F5594"/>
    <w:rsid w:val="4D2760D5"/>
    <w:rsid w:val="4D2F0461"/>
    <w:rsid w:val="4D694889"/>
    <w:rsid w:val="4D8F10CB"/>
    <w:rsid w:val="4DA312B1"/>
    <w:rsid w:val="4DB42272"/>
    <w:rsid w:val="4DBE2768"/>
    <w:rsid w:val="4DC02D93"/>
    <w:rsid w:val="4DC0511E"/>
    <w:rsid w:val="4DE2449F"/>
    <w:rsid w:val="4DED08E1"/>
    <w:rsid w:val="4DEF0448"/>
    <w:rsid w:val="4DFC2E15"/>
    <w:rsid w:val="4E0A5BB0"/>
    <w:rsid w:val="4E1527DC"/>
    <w:rsid w:val="4E417A96"/>
    <w:rsid w:val="4E496301"/>
    <w:rsid w:val="4E5008D0"/>
    <w:rsid w:val="4E5401B4"/>
    <w:rsid w:val="4E615D81"/>
    <w:rsid w:val="4E791BD4"/>
    <w:rsid w:val="4EE4216A"/>
    <w:rsid w:val="4F150A1D"/>
    <w:rsid w:val="4F2568BF"/>
    <w:rsid w:val="4FD02F23"/>
    <w:rsid w:val="4FE528A4"/>
    <w:rsid w:val="4FF12D3F"/>
    <w:rsid w:val="5019541D"/>
    <w:rsid w:val="50574DA8"/>
    <w:rsid w:val="505F0EE9"/>
    <w:rsid w:val="50B22492"/>
    <w:rsid w:val="50C723A3"/>
    <w:rsid w:val="50CA4969"/>
    <w:rsid w:val="51255BB0"/>
    <w:rsid w:val="514946EA"/>
    <w:rsid w:val="51753446"/>
    <w:rsid w:val="51A451BA"/>
    <w:rsid w:val="51C11D54"/>
    <w:rsid w:val="51D84ADF"/>
    <w:rsid w:val="51F50FDF"/>
    <w:rsid w:val="523A4D82"/>
    <w:rsid w:val="523B1B40"/>
    <w:rsid w:val="524D6D7C"/>
    <w:rsid w:val="52673763"/>
    <w:rsid w:val="52854FEC"/>
    <w:rsid w:val="529B306B"/>
    <w:rsid w:val="52C96916"/>
    <w:rsid w:val="533802B0"/>
    <w:rsid w:val="53470F2F"/>
    <w:rsid w:val="539D0113"/>
    <w:rsid w:val="53AD1901"/>
    <w:rsid w:val="540408CD"/>
    <w:rsid w:val="54212AF2"/>
    <w:rsid w:val="54450A45"/>
    <w:rsid w:val="54527A8F"/>
    <w:rsid w:val="54595E15"/>
    <w:rsid w:val="54DB52EA"/>
    <w:rsid w:val="54FC0101"/>
    <w:rsid w:val="55444D04"/>
    <w:rsid w:val="5572737D"/>
    <w:rsid w:val="55D56B71"/>
    <w:rsid w:val="55D76AFA"/>
    <w:rsid w:val="55D93A2E"/>
    <w:rsid w:val="560A3B7E"/>
    <w:rsid w:val="56180954"/>
    <w:rsid w:val="56862BDD"/>
    <w:rsid w:val="56A16027"/>
    <w:rsid w:val="56A70059"/>
    <w:rsid w:val="56B2171E"/>
    <w:rsid w:val="56B860D6"/>
    <w:rsid w:val="56BB4F9A"/>
    <w:rsid w:val="56DE0BAA"/>
    <w:rsid w:val="56FF2E93"/>
    <w:rsid w:val="575157A3"/>
    <w:rsid w:val="576F732A"/>
    <w:rsid w:val="57911D3D"/>
    <w:rsid w:val="5792635B"/>
    <w:rsid w:val="57A458F8"/>
    <w:rsid w:val="57C01889"/>
    <w:rsid w:val="57FF795A"/>
    <w:rsid w:val="5809697C"/>
    <w:rsid w:val="58125E7E"/>
    <w:rsid w:val="583F05CD"/>
    <w:rsid w:val="584016D3"/>
    <w:rsid w:val="584C1094"/>
    <w:rsid w:val="585C2C3E"/>
    <w:rsid w:val="58825341"/>
    <w:rsid w:val="58844226"/>
    <w:rsid w:val="58C020CD"/>
    <w:rsid w:val="58E8250A"/>
    <w:rsid w:val="58F75A08"/>
    <w:rsid w:val="59067B5F"/>
    <w:rsid w:val="59213F01"/>
    <w:rsid w:val="593415E5"/>
    <w:rsid w:val="59582208"/>
    <w:rsid w:val="59975605"/>
    <w:rsid w:val="59D6612D"/>
    <w:rsid w:val="59EF71EF"/>
    <w:rsid w:val="5A307F33"/>
    <w:rsid w:val="5A4E03B9"/>
    <w:rsid w:val="5A517B3B"/>
    <w:rsid w:val="5A5D758C"/>
    <w:rsid w:val="5A5F58B1"/>
    <w:rsid w:val="5AAB19BE"/>
    <w:rsid w:val="5AB83FB9"/>
    <w:rsid w:val="5AE31628"/>
    <w:rsid w:val="5B0453E0"/>
    <w:rsid w:val="5B422BB0"/>
    <w:rsid w:val="5B433C96"/>
    <w:rsid w:val="5B595267"/>
    <w:rsid w:val="5B626F82"/>
    <w:rsid w:val="5B6850DE"/>
    <w:rsid w:val="5B7544D8"/>
    <w:rsid w:val="5BC67130"/>
    <w:rsid w:val="5BCE7D89"/>
    <w:rsid w:val="5C0A0C40"/>
    <w:rsid w:val="5C2C0BB4"/>
    <w:rsid w:val="5C684CA7"/>
    <w:rsid w:val="5C936557"/>
    <w:rsid w:val="5C965F75"/>
    <w:rsid w:val="5D3137EE"/>
    <w:rsid w:val="5D754FD6"/>
    <w:rsid w:val="5D790367"/>
    <w:rsid w:val="5DB16238"/>
    <w:rsid w:val="5DD2659F"/>
    <w:rsid w:val="5DD62B9F"/>
    <w:rsid w:val="5E1266B9"/>
    <w:rsid w:val="5E3960B5"/>
    <w:rsid w:val="5E5E4BA8"/>
    <w:rsid w:val="5E940365"/>
    <w:rsid w:val="5EB50010"/>
    <w:rsid w:val="5EE16C72"/>
    <w:rsid w:val="5EE77339"/>
    <w:rsid w:val="5EFF6126"/>
    <w:rsid w:val="5F1C00B6"/>
    <w:rsid w:val="5F551FED"/>
    <w:rsid w:val="5FC5111D"/>
    <w:rsid w:val="5FD73E51"/>
    <w:rsid w:val="5FE01AB3"/>
    <w:rsid w:val="6014572D"/>
    <w:rsid w:val="60223D06"/>
    <w:rsid w:val="605A0B0F"/>
    <w:rsid w:val="606518E1"/>
    <w:rsid w:val="608C5797"/>
    <w:rsid w:val="60972839"/>
    <w:rsid w:val="609C5025"/>
    <w:rsid w:val="60EF4253"/>
    <w:rsid w:val="60FA1B84"/>
    <w:rsid w:val="613227E2"/>
    <w:rsid w:val="614E3BA7"/>
    <w:rsid w:val="614F54B5"/>
    <w:rsid w:val="616D0088"/>
    <w:rsid w:val="61A95BCB"/>
    <w:rsid w:val="61BB6DE7"/>
    <w:rsid w:val="61E81694"/>
    <w:rsid w:val="62091AD5"/>
    <w:rsid w:val="62422353"/>
    <w:rsid w:val="625658C1"/>
    <w:rsid w:val="62823E47"/>
    <w:rsid w:val="62D91738"/>
    <w:rsid w:val="62F2594A"/>
    <w:rsid w:val="62FE6BF4"/>
    <w:rsid w:val="634F700C"/>
    <w:rsid w:val="63513B80"/>
    <w:rsid w:val="635B57B9"/>
    <w:rsid w:val="63957059"/>
    <w:rsid w:val="63BE73CC"/>
    <w:rsid w:val="63DC61DC"/>
    <w:rsid w:val="63E33001"/>
    <w:rsid w:val="64137D0B"/>
    <w:rsid w:val="641B5183"/>
    <w:rsid w:val="64355C82"/>
    <w:rsid w:val="647C40D1"/>
    <w:rsid w:val="64A1127D"/>
    <w:rsid w:val="64AF6554"/>
    <w:rsid w:val="64B021B5"/>
    <w:rsid w:val="64C34ADC"/>
    <w:rsid w:val="64E12D67"/>
    <w:rsid w:val="64E956B4"/>
    <w:rsid w:val="64EB1038"/>
    <w:rsid w:val="65102150"/>
    <w:rsid w:val="65540252"/>
    <w:rsid w:val="65BF660F"/>
    <w:rsid w:val="65C024F0"/>
    <w:rsid w:val="65D21E45"/>
    <w:rsid w:val="65FE4864"/>
    <w:rsid w:val="661100E3"/>
    <w:rsid w:val="66414053"/>
    <w:rsid w:val="66614536"/>
    <w:rsid w:val="66810268"/>
    <w:rsid w:val="66CA0F9B"/>
    <w:rsid w:val="66D6395D"/>
    <w:rsid w:val="671D3856"/>
    <w:rsid w:val="67641643"/>
    <w:rsid w:val="67907F89"/>
    <w:rsid w:val="679F22D3"/>
    <w:rsid w:val="67BB6A21"/>
    <w:rsid w:val="67CA1C5D"/>
    <w:rsid w:val="67D8478C"/>
    <w:rsid w:val="68225CF6"/>
    <w:rsid w:val="68512615"/>
    <w:rsid w:val="68560FE1"/>
    <w:rsid w:val="68852B61"/>
    <w:rsid w:val="68CB75F4"/>
    <w:rsid w:val="68DB2AE4"/>
    <w:rsid w:val="68E233E0"/>
    <w:rsid w:val="69037457"/>
    <w:rsid w:val="69083562"/>
    <w:rsid w:val="69177D9D"/>
    <w:rsid w:val="691C6984"/>
    <w:rsid w:val="6921699E"/>
    <w:rsid w:val="692E7F1E"/>
    <w:rsid w:val="69321442"/>
    <w:rsid w:val="69574B58"/>
    <w:rsid w:val="69587611"/>
    <w:rsid w:val="69625603"/>
    <w:rsid w:val="697D5329"/>
    <w:rsid w:val="69807E63"/>
    <w:rsid w:val="698D0714"/>
    <w:rsid w:val="69A70747"/>
    <w:rsid w:val="69C51E69"/>
    <w:rsid w:val="69D869C1"/>
    <w:rsid w:val="69DF0445"/>
    <w:rsid w:val="6A4863BF"/>
    <w:rsid w:val="6A541B18"/>
    <w:rsid w:val="6A615EE7"/>
    <w:rsid w:val="6A8E371B"/>
    <w:rsid w:val="6A99188F"/>
    <w:rsid w:val="6AC83870"/>
    <w:rsid w:val="6AE82C42"/>
    <w:rsid w:val="6AEA3B98"/>
    <w:rsid w:val="6B180B50"/>
    <w:rsid w:val="6B2B614B"/>
    <w:rsid w:val="6B581895"/>
    <w:rsid w:val="6B5F4E8A"/>
    <w:rsid w:val="6B9E7357"/>
    <w:rsid w:val="6BBC3E5B"/>
    <w:rsid w:val="6BE62AFE"/>
    <w:rsid w:val="6BEC52F3"/>
    <w:rsid w:val="6BF01196"/>
    <w:rsid w:val="6C5C76B0"/>
    <w:rsid w:val="6C7D1033"/>
    <w:rsid w:val="6C8C6B1F"/>
    <w:rsid w:val="6CEE6F14"/>
    <w:rsid w:val="6CFC39A7"/>
    <w:rsid w:val="6D4E15F8"/>
    <w:rsid w:val="6D806684"/>
    <w:rsid w:val="6D961125"/>
    <w:rsid w:val="6DA170E8"/>
    <w:rsid w:val="6DA511AF"/>
    <w:rsid w:val="6DB45EC0"/>
    <w:rsid w:val="6DCE7E1A"/>
    <w:rsid w:val="6DDC6A83"/>
    <w:rsid w:val="6DF12AA9"/>
    <w:rsid w:val="6E0F1B83"/>
    <w:rsid w:val="6E1427CF"/>
    <w:rsid w:val="6E1A2D05"/>
    <w:rsid w:val="6E1B6DB2"/>
    <w:rsid w:val="6E1E0494"/>
    <w:rsid w:val="6E2158A9"/>
    <w:rsid w:val="6E26416F"/>
    <w:rsid w:val="6E400E06"/>
    <w:rsid w:val="6E613CA3"/>
    <w:rsid w:val="6EC5479B"/>
    <w:rsid w:val="6EE3511C"/>
    <w:rsid w:val="6EF42AB9"/>
    <w:rsid w:val="6F063E1D"/>
    <w:rsid w:val="6F0E027B"/>
    <w:rsid w:val="6F202DDD"/>
    <w:rsid w:val="6F373B9E"/>
    <w:rsid w:val="6F3D238D"/>
    <w:rsid w:val="6F4D6A39"/>
    <w:rsid w:val="6FCD2694"/>
    <w:rsid w:val="6FD42CB8"/>
    <w:rsid w:val="700177E5"/>
    <w:rsid w:val="700D2C66"/>
    <w:rsid w:val="700F4775"/>
    <w:rsid w:val="70237774"/>
    <w:rsid w:val="705A140E"/>
    <w:rsid w:val="705B1631"/>
    <w:rsid w:val="70B638CB"/>
    <w:rsid w:val="70BD33F1"/>
    <w:rsid w:val="70F25982"/>
    <w:rsid w:val="7101541B"/>
    <w:rsid w:val="7171012E"/>
    <w:rsid w:val="71835E4A"/>
    <w:rsid w:val="7185354B"/>
    <w:rsid w:val="71867FE1"/>
    <w:rsid w:val="719134EC"/>
    <w:rsid w:val="71E03B95"/>
    <w:rsid w:val="71EC42E8"/>
    <w:rsid w:val="720E6D46"/>
    <w:rsid w:val="72334969"/>
    <w:rsid w:val="72496912"/>
    <w:rsid w:val="729C3FEB"/>
    <w:rsid w:val="72B21B12"/>
    <w:rsid w:val="730537D2"/>
    <w:rsid w:val="73056C57"/>
    <w:rsid w:val="73263829"/>
    <w:rsid w:val="732F66C3"/>
    <w:rsid w:val="73335191"/>
    <w:rsid w:val="73361FAF"/>
    <w:rsid w:val="734272F3"/>
    <w:rsid w:val="735D5A3A"/>
    <w:rsid w:val="73935C3D"/>
    <w:rsid w:val="73BD6EE6"/>
    <w:rsid w:val="73C07F1B"/>
    <w:rsid w:val="73CE526F"/>
    <w:rsid w:val="73DF1F58"/>
    <w:rsid w:val="73EB326A"/>
    <w:rsid w:val="73EE297D"/>
    <w:rsid w:val="741178B5"/>
    <w:rsid w:val="742A5DA5"/>
    <w:rsid w:val="742A79B1"/>
    <w:rsid w:val="74336BD9"/>
    <w:rsid w:val="7476258E"/>
    <w:rsid w:val="74763816"/>
    <w:rsid w:val="74886D4C"/>
    <w:rsid w:val="748A5458"/>
    <w:rsid w:val="748C2E84"/>
    <w:rsid w:val="749572D9"/>
    <w:rsid w:val="74BB7825"/>
    <w:rsid w:val="74EF3F1C"/>
    <w:rsid w:val="750059DF"/>
    <w:rsid w:val="750C7299"/>
    <w:rsid w:val="754D44C6"/>
    <w:rsid w:val="755B328A"/>
    <w:rsid w:val="7580558E"/>
    <w:rsid w:val="75B72BD3"/>
    <w:rsid w:val="75E52D9C"/>
    <w:rsid w:val="75ED474C"/>
    <w:rsid w:val="76032B3C"/>
    <w:rsid w:val="760335C9"/>
    <w:rsid w:val="7605365E"/>
    <w:rsid w:val="760F61C5"/>
    <w:rsid w:val="76170914"/>
    <w:rsid w:val="76250016"/>
    <w:rsid w:val="765A18E2"/>
    <w:rsid w:val="76AB70C1"/>
    <w:rsid w:val="77294204"/>
    <w:rsid w:val="773D3837"/>
    <w:rsid w:val="77411400"/>
    <w:rsid w:val="774424D0"/>
    <w:rsid w:val="776D5ECB"/>
    <w:rsid w:val="77983423"/>
    <w:rsid w:val="77B030EB"/>
    <w:rsid w:val="77BE0674"/>
    <w:rsid w:val="77CE48D0"/>
    <w:rsid w:val="77DC6BAC"/>
    <w:rsid w:val="77E837A3"/>
    <w:rsid w:val="77EF774B"/>
    <w:rsid w:val="7808034C"/>
    <w:rsid w:val="78636C5C"/>
    <w:rsid w:val="786D124F"/>
    <w:rsid w:val="7877044F"/>
    <w:rsid w:val="7889675B"/>
    <w:rsid w:val="789B25C4"/>
    <w:rsid w:val="78B84167"/>
    <w:rsid w:val="78E42F7E"/>
    <w:rsid w:val="78EC52BB"/>
    <w:rsid w:val="79075EAB"/>
    <w:rsid w:val="79447F9C"/>
    <w:rsid w:val="796C5195"/>
    <w:rsid w:val="798254E6"/>
    <w:rsid w:val="79A2330D"/>
    <w:rsid w:val="79A348B9"/>
    <w:rsid w:val="79DF2984"/>
    <w:rsid w:val="79FE573E"/>
    <w:rsid w:val="79FF4DD4"/>
    <w:rsid w:val="7A5829BE"/>
    <w:rsid w:val="7A604458"/>
    <w:rsid w:val="7A6A2750"/>
    <w:rsid w:val="7A7F5076"/>
    <w:rsid w:val="7A9E639B"/>
    <w:rsid w:val="7AB74723"/>
    <w:rsid w:val="7AFD57B8"/>
    <w:rsid w:val="7B0050EB"/>
    <w:rsid w:val="7B0B75EA"/>
    <w:rsid w:val="7B0F1DB8"/>
    <w:rsid w:val="7B14665D"/>
    <w:rsid w:val="7B847C6F"/>
    <w:rsid w:val="7BA577E9"/>
    <w:rsid w:val="7BA80FC8"/>
    <w:rsid w:val="7BBA7205"/>
    <w:rsid w:val="7BCC3B07"/>
    <w:rsid w:val="7BE0414B"/>
    <w:rsid w:val="7C0C7C89"/>
    <w:rsid w:val="7C273240"/>
    <w:rsid w:val="7C4856ED"/>
    <w:rsid w:val="7C604ADB"/>
    <w:rsid w:val="7C8478E6"/>
    <w:rsid w:val="7C870C09"/>
    <w:rsid w:val="7CA856EB"/>
    <w:rsid w:val="7CAF058A"/>
    <w:rsid w:val="7D0C022B"/>
    <w:rsid w:val="7D2925C7"/>
    <w:rsid w:val="7D47470B"/>
    <w:rsid w:val="7D5D2E4F"/>
    <w:rsid w:val="7D601DD5"/>
    <w:rsid w:val="7D9D1171"/>
    <w:rsid w:val="7DBA4137"/>
    <w:rsid w:val="7DBF1BB7"/>
    <w:rsid w:val="7DF12C86"/>
    <w:rsid w:val="7DFD5B05"/>
    <w:rsid w:val="7E0318A1"/>
    <w:rsid w:val="7E0B56A9"/>
    <w:rsid w:val="7E2F10E1"/>
    <w:rsid w:val="7E4F0388"/>
    <w:rsid w:val="7E5C51FD"/>
    <w:rsid w:val="7E643010"/>
    <w:rsid w:val="7E663D6E"/>
    <w:rsid w:val="7E7062A0"/>
    <w:rsid w:val="7E7A51C8"/>
    <w:rsid w:val="7E9F0934"/>
    <w:rsid w:val="7EB01333"/>
    <w:rsid w:val="7EB75FA2"/>
    <w:rsid w:val="7ECC0CAE"/>
    <w:rsid w:val="7ECD5B54"/>
    <w:rsid w:val="7EEF5417"/>
    <w:rsid w:val="7F0860BD"/>
    <w:rsid w:val="7F2777F2"/>
    <w:rsid w:val="7F6E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6"/>
    <w:qFormat/>
    <w:uiPriority w:val="0"/>
    <w:pPr>
      <w:keepNext/>
      <w:keepLines/>
      <w:tabs>
        <w:tab w:val="left" w:pos="0"/>
      </w:tabs>
      <w:spacing w:beforeLines="100" w:afterLines="100"/>
      <w:ind w:firstLine="0" w:firstLineChars="0"/>
      <w:jc w:val="center"/>
      <w:outlineLvl w:val="0"/>
    </w:pPr>
    <w:rPr>
      <w:b/>
      <w:bCs/>
      <w:kern w:val="44"/>
      <w:sz w:val="32"/>
      <w:szCs w:val="36"/>
    </w:rPr>
  </w:style>
  <w:style w:type="paragraph" w:styleId="4">
    <w:name w:val="heading 2"/>
    <w:basedOn w:val="1"/>
    <w:next w:val="1"/>
    <w:link w:val="47"/>
    <w:qFormat/>
    <w:uiPriority w:val="0"/>
    <w:pPr>
      <w:keepNext/>
      <w:keepLines/>
      <w:tabs>
        <w:tab w:val="left" w:pos="0"/>
      </w:tabs>
      <w:snapToGrid w:val="0"/>
      <w:ind w:firstLine="0" w:firstLineChars="0"/>
      <w:outlineLvl w:val="1"/>
    </w:pPr>
    <w:rPr>
      <w:bCs/>
      <w:sz w:val="28"/>
      <w:szCs w:val="32"/>
      <w:lang w:eastAsia="en-US"/>
    </w:rPr>
  </w:style>
  <w:style w:type="paragraph" w:styleId="5">
    <w:name w:val="heading 3"/>
    <w:basedOn w:val="1"/>
    <w:next w:val="1"/>
    <w:link w:val="49"/>
    <w:qFormat/>
    <w:uiPriority w:val="0"/>
    <w:pPr>
      <w:keepNext/>
      <w:keepLines/>
      <w:tabs>
        <w:tab w:val="left" w:pos="0"/>
      </w:tabs>
      <w:ind w:firstLine="0" w:firstLineChars="0"/>
      <w:outlineLvl w:val="2"/>
    </w:pPr>
    <w:rPr>
      <w:b/>
      <w:bCs/>
      <w:szCs w:val="32"/>
    </w:rPr>
  </w:style>
  <w:style w:type="paragraph" w:styleId="6">
    <w:name w:val="heading 4"/>
    <w:basedOn w:val="1"/>
    <w:next w:val="1"/>
    <w:link w:val="48"/>
    <w:qFormat/>
    <w:uiPriority w:val="0"/>
    <w:pPr>
      <w:keepNext/>
      <w:keepLines/>
      <w:ind w:firstLine="0"/>
      <w:jc w:val="left"/>
      <w:outlineLvl w:val="3"/>
    </w:pPr>
    <w:rPr>
      <w:b/>
      <w:bCs/>
      <w:color w:val="000000"/>
      <w:szCs w:val="28"/>
    </w:rPr>
  </w:style>
  <w:style w:type="paragraph" w:styleId="7">
    <w:name w:val="heading 5"/>
    <w:basedOn w:val="1"/>
    <w:next w:val="1"/>
    <w:qFormat/>
    <w:uiPriority w:val="0"/>
    <w:pPr>
      <w:keepNext/>
      <w:keepLines/>
      <w:spacing w:before="280" w:after="290" w:line="372" w:lineRule="auto"/>
      <w:ind w:left="1008" w:firstLine="0" w:firstLineChars="0"/>
      <w:outlineLvl w:val="4"/>
    </w:pPr>
    <w:rPr>
      <w:b/>
      <w:sz w:val="28"/>
    </w:rPr>
  </w:style>
  <w:style w:type="paragraph" w:styleId="8">
    <w:name w:val="heading 6"/>
    <w:basedOn w:val="1"/>
    <w:next w:val="1"/>
    <w:qFormat/>
    <w:uiPriority w:val="0"/>
    <w:pPr>
      <w:keepNext/>
      <w:keepLines/>
      <w:spacing w:before="240" w:after="64" w:line="317" w:lineRule="auto"/>
      <w:ind w:left="1151" w:firstLine="0" w:firstLineChars="0"/>
      <w:outlineLvl w:val="5"/>
    </w:pPr>
    <w:rPr>
      <w:rFonts w:ascii="Arial" w:hAnsi="Arial" w:eastAsia="黑体"/>
      <w:b/>
    </w:rPr>
  </w:style>
  <w:style w:type="paragraph" w:styleId="9">
    <w:name w:val="heading 7"/>
    <w:basedOn w:val="1"/>
    <w:next w:val="1"/>
    <w:qFormat/>
    <w:uiPriority w:val="0"/>
    <w:pPr>
      <w:keepNext/>
      <w:keepLines/>
      <w:spacing w:before="240" w:after="64" w:line="317" w:lineRule="auto"/>
      <w:ind w:left="1296" w:firstLine="0" w:firstLineChars="0"/>
      <w:outlineLvl w:val="6"/>
    </w:pPr>
    <w:rPr>
      <w:b/>
    </w:rPr>
  </w:style>
  <w:style w:type="paragraph" w:styleId="10">
    <w:name w:val="heading 8"/>
    <w:basedOn w:val="1"/>
    <w:next w:val="1"/>
    <w:qFormat/>
    <w:uiPriority w:val="0"/>
    <w:pPr>
      <w:keepNext/>
      <w:keepLines/>
      <w:spacing w:before="240" w:after="64" w:line="317" w:lineRule="auto"/>
      <w:ind w:left="1440" w:firstLine="0" w:firstLineChars="0"/>
      <w:outlineLvl w:val="7"/>
    </w:pPr>
    <w:rPr>
      <w:rFonts w:ascii="Arial" w:hAnsi="Arial" w:eastAsia="黑体"/>
    </w:rPr>
  </w:style>
  <w:style w:type="paragraph" w:styleId="11">
    <w:name w:val="heading 9"/>
    <w:basedOn w:val="1"/>
    <w:next w:val="1"/>
    <w:qFormat/>
    <w:uiPriority w:val="0"/>
    <w:pPr>
      <w:keepNext/>
      <w:keepLines/>
      <w:spacing w:before="240" w:after="64" w:line="317" w:lineRule="auto"/>
      <w:ind w:left="1583" w:firstLine="0" w:firstLineChars="0"/>
      <w:outlineLvl w:val="8"/>
    </w:pPr>
    <w:rPr>
      <w:rFonts w:ascii="Arial" w:hAnsi="Arial" w:eastAsia="黑体"/>
      <w:sz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pPr>
    <w:rPr>
      <w:kern w:val="0"/>
      <w:szCs w:val="20"/>
    </w:rPr>
  </w:style>
  <w:style w:type="paragraph" w:styleId="12">
    <w:name w:val="List Number"/>
    <w:basedOn w:val="1"/>
    <w:link w:val="50"/>
    <w:qFormat/>
    <w:uiPriority w:val="0"/>
    <w:pPr>
      <w:tabs>
        <w:tab w:val="left" w:pos="360"/>
      </w:tabs>
      <w:ind w:left="360" w:hanging="360"/>
    </w:pPr>
  </w:style>
  <w:style w:type="paragraph" w:styleId="13">
    <w:name w:val="Normal Indent"/>
    <w:basedOn w:val="1"/>
    <w:next w:val="14"/>
    <w:qFormat/>
    <w:uiPriority w:val="0"/>
    <w:pPr>
      <w:adjustRightInd w:val="0"/>
      <w:snapToGrid w:val="0"/>
      <w:spacing w:line="300" w:lineRule="auto"/>
      <w:ind w:firstLine="200"/>
    </w:pPr>
    <w:rPr>
      <w:rFonts w:ascii="仿宋_GB2312"/>
      <w:sz w:val="28"/>
    </w:rPr>
  </w:style>
  <w:style w:type="paragraph" w:styleId="14">
    <w:name w:val="Body Text First Indent 2"/>
    <w:basedOn w:val="15"/>
    <w:next w:val="1"/>
    <w:qFormat/>
    <w:uiPriority w:val="99"/>
    <w:pPr>
      <w:ind w:firstLine="420"/>
    </w:pPr>
    <w:rPr>
      <w:sz w:val="21"/>
    </w:rPr>
  </w:style>
  <w:style w:type="paragraph" w:styleId="15">
    <w:name w:val="Body Text Indent"/>
    <w:basedOn w:val="1"/>
    <w:qFormat/>
    <w:uiPriority w:val="0"/>
    <w:pPr>
      <w:spacing w:after="120"/>
      <w:ind w:left="420" w:leftChars="200"/>
    </w:pPr>
  </w:style>
  <w:style w:type="paragraph" w:styleId="16">
    <w:name w:val="Document Map"/>
    <w:basedOn w:val="1"/>
    <w:link w:val="147"/>
    <w:qFormat/>
    <w:uiPriority w:val="0"/>
    <w:rPr>
      <w:rFonts w:ascii="宋体"/>
      <w:sz w:val="18"/>
      <w:szCs w:val="18"/>
    </w:rPr>
  </w:style>
  <w:style w:type="paragraph" w:styleId="17">
    <w:name w:val="annotation text"/>
    <w:basedOn w:val="1"/>
    <w:link w:val="51"/>
    <w:qFormat/>
    <w:uiPriority w:val="0"/>
    <w:pPr>
      <w:jc w:val="left"/>
    </w:pPr>
    <w:rPr>
      <w:kern w:val="0"/>
      <w:szCs w:val="20"/>
    </w:rPr>
  </w:style>
  <w:style w:type="paragraph" w:styleId="18">
    <w:name w:val="Salutation"/>
    <w:basedOn w:val="1"/>
    <w:next w:val="1"/>
    <w:qFormat/>
    <w:uiPriority w:val="0"/>
    <w:pPr>
      <w:spacing w:line="240" w:lineRule="auto"/>
      <w:ind w:firstLine="0" w:firstLineChars="0"/>
    </w:pPr>
    <w:rPr>
      <w:sz w:val="28"/>
      <w:szCs w:val="20"/>
    </w:rPr>
  </w:style>
  <w:style w:type="paragraph" w:styleId="19">
    <w:name w:val="Body Text"/>
    <w:basedOn w:val="1"/>
    <w:next w:val="20"/>
    <w:qFormat/>
    <w:uiPriority w:val="0"/>
    <w:pPr>
      <w:widowControl/>
      <w:snapToGrid w:val="0"/>
      <w:spacing w:before="60" w:after="160" w:line="259" w:lineRule="auto"/>
      <w:ind w:right="113"/>
    </w:pPr>
    <w:rPr>
      <w:kern w:val="0"/>
      <w:sz w:val="18"/>
      <w:szCs w:val="20"/>
    </w:rPr>
  </w:style>
  <w:style w:type="paragraph" w:customStyle="1" w:styleId="20">
    <w:name w:val="xl27"/>
    <w:basedOn w:val="1"/>
    <w:next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rPr>
  </w:style>
  <w:style w:type="paragraph" w:styleId="21">
    <w:name w:val="Block Text"/>
    <w:basedOn w:val="1"/>
    <w:qFormat/>
    <w:uiPriority w:val="0"/>
    <w:pPr>
      <w:ind w:left="359" w:leftChars="171" w:right="571" w:rightChars="272" w:firstLine="199" w:firstLineChars="71"/>
    </w:pPr>
    <w:rPr>
      <w:rFonts w:ascii="楷体_GB2312" w:eastAsia="楷体_GB2312"/>
      <w:sz w:val="28"/>
      <w:szCs w:val="20"/>
    </w:rPr>
  </w:style>
  <w:style w:type="paragraph" w:styleId="22">
    <w:name w:val="Plain Text"/>
    <w:basedOn w:val="1"/>
    <w:next w:val="18"/>
    <w:qFormat/>
    <w:uiPriority w:val="0"/>
    <w:rPr>
      <w:rFonts w:ascii="宋体" w:hAnsi="Courier New"/>
    </w:rPr>
  </w:style>
  <w:style w:type="paragraph" w:styleId="23">
    <w:name w:val="Body Text Indent 2"/>
    <w:basedOn w:val="1"/>
    <w:next w:val="14"/>
    <w:qFormat/>
    <w:uiPriority w:val="0"/>
    <w:pPr>
      <w:spacing w:after="120" w:line="480" w:lineRule="auto"/>
      <w:ind w:left="420" w:leftChars="200"/>
    </w:pPr>
  </w:style>
  <w:style w:type="paragraph" w:styleId="24">
    <w:name w:val="Balloon Text"/>
    <w:basedOn w:val="1"/>
    <w:link w:val="52"/>
    <w:qFormat/>
    <w:uiPriority w:val="0"/>
    <w:pPr>
      <w:spacing w:line="240" w:lineRule="auto"/>
    </w:pPr>
    <w:rPr>
      <w:sz w:val="18"/>
      <w:szCs w:val="18"/>
    </w:rPr>
  </w:style>
  <w:style w:type="paragraph" w:styleId="25">
    <w:name w:val="footer"/>
    <w:basedOn w:val="1"/>
    <w:qFormat/>
    <w:uiPriority w:val="99"/>
    <w:pPr>
      <w:tabs>
        <w:tab w:val="center" w:pos="4153"/>
        <w:tab w:val="right" w:pos="8306"/>
      </w:tabs>
      <w:snapToGrid w:val="0"/>
      <w:jc w:val="left"/>
    </w:pPr>
    <w:rPr>
      <w:kern w:val="0"/>
      <w:sz w:val="18"/>
      <w:szCs w:val="20"/>
    </w:rPr>
  </w:style>
  <w:style w:type="paragraph" w:styleId="26">
    <w:name w:val="envelope return"/>
    <w:basedOn w:val="1"/>
    <w:unhideWhenUsed/>
    <w:qFormat/>
    <w:uiPriority w:val="99"/>
    <w:pPr>
      <w:snapToGrid w:val="0"/>
      <w:ind w:firstLine="723"/>
      <w:jc w:val="left"/>
    </w:pPr>
    <w:rPr>
      <w:rFonts w:ascii="Arial" w:hAnsi="Arial" w:cs="宋体"/>
    </w:rPr>
  </w:style>
  <w:style w:type="paragraph" w:styleId="2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8">
    <w:name w:val="toc 1"/>
    <w:basedOn w:val="1"/>
    <w:next w:val="1"/>
    <w:qFormat/>
    <w:uiPriority w:val="39"/>
    <w:pPr>
      <w:spacing w:before="240" w:after="120"/>
      <w:jc w:val="left"/>
    </w:pPr>
    <w:rPr>
      <w:rFonts w:ascii="Calibri" w:hAnsi="Calibri"/>
      <w:b/>
      <w:bCs/>
      <w:sz w:val="20"/>
      <w:szCs w:val="20"/>
    </w:rPr>
  </w:style>
  <w:style w:type="paragraph" w:styleId="29">
    <w:name w:val="index heading"/>
    <w:basedOn w:val="1"/>
    <w:next w:val="30"/>
    <w:qFormat/>
    <w:uiPriority w:val="0"/>
    <w:rPr>
      <w:szCs w:val="20"/>
    </w:rPr>
  </w:style>
  <w:style w:type="paragraph" w:styleId="30">
    <w:name w:val="index 1"/>
    <w:basedOn w:val="1"/>
    <w:next w:val="1"/>
    <w:qFormat/>
    <w:uiPriority w:val="0"/>
  </w:style>
  <w:style w:type="paragraph" w:styleId="31">
    <w:name w:val="Subtitle"/>
    <w:basedOn w:val="1"/>
    <w:next w:val="1"/>
    <w:qFormat/>
    <w:uiPriority w:val="11"/>
    <w:pPr>
      <w:ind w:firstLine="200"/>
      <w:outlineLvl w:val="1"/>
    </w:pPr>
    <w:rPr>
      <w:bCs/>
      <w:kern w:val="28"/>
      <w:szCs w:val="32"/>
    </w:rPr>
  </w:style>
  <w:style w:type="paragraph" w:styleId="32">
    <w:name w:val="table of figures"/>
    <w:basedOn w:val="1"/>
    <w:next w:val="1"/>
    <w:unhideWhenUsed/>
    <w:qFormat/>
    <w:uiPriority w:val="99"/>
    <w:pPr>
      <w:ind w:left="200" w:leftChars="200" w:hanging="200" w:hangingChars="200"/>
    </w:p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34">
    <w:name w:val="Normal (Web)"/>
    <w:basedOn w:val="1"/>
    <w:qFormat/>
    <w:uiPriority w:val="0"/>
    <w:pPr>
      <w:widowControl/>
      <w:spacing w:before="100" w:beforeAutospacing="1" w:after="100" w:afterAutospacing="1"/>
      <w:jc w:val="left"/>
    </w:pPr>
    <w:rPr>
      <w:rFonts w:ascii="宋体" w:hAnsi="宋体"/>
      <w:kern w:val="0"/>
      <w:szCs w:val="20"/>
    </w:rPr>
  </w:style>
  <w:style w:type="paragraph" w:styleId="35">
    <w:name w:val="Title"/>
    <w:basedOn w:val="1"/>
    <w:next w:val="1"/>
    <w:qFormat/>
    <w:uiPriority w:val="0"/>
    <w:pPr>
      <w:spacing w:before="240" w:after="60"/>
      <w:jc w:val="center"/>
      <w:outlineLvl w:val="0"/>
    </w:pPr>
    <w:rPr>
      <w:rFonts w:ascii="Arial" w:hAnsi="Arial"/>
      <w:b/>
      <w:sz w:val="32"/>
    </w:rPr>
  </w:style>
  <w:style w:type="paragraph" w:styleId="36">
    <w:name w:val="annotation subject"/>
    <w:basedOn w:val="17"/>
    <w:next w:val="17"/>
    <w:link w:val="53"/>
    <w:qFormat/>
    <w:uiPriority w:val="0"/>
    <w:rPr>
      <w:b/>
      <w:bCs/>
      <w:kern w:val="2"/>
      <w:szCs w:val="24"/>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rPr>
  </w:style>
  <w:style w:type="character" w:styleId="41">
    <w:name w:val="page number"/>
    <w:basedOn w:val="39"/>
    <w:qFormat/>
    <w:uiPriority w:val="0"/>
  </w:style>
  <w:style w:type="character" w:styleId="42">
    <w:name w:val="FollowedHyperlink"/>
    <w:basedOn w:val="39"/>
    <w:qFormat/>
    <w:uiPriority w:val="0"/>
    <w:rPr>
      <w:color w:val="576B95"/>
      <w:u w:val="none"/>
    </w:rPr>
  </w:style>
  <w:style w:type="character" w:styleId="43">
    <w:name w:val="Emphasis"/>
    <w:basedOn w:val="39"/>
    <w:qFormat/>
    <w:uiPriority w:val="0"/>
    <w:rPr>
      <w:i/>
    </w:rPr>
  </w:style>
  <w:style w:type="character" w:styleId="44">
    <w:name w:val="Hyperlink"/>
    <w:qFormat/>
    <w:uiPriority w:val="99"/>
    <w:rPr>
      <w:color w:val="666666"/>
      <w:sz w:val="18"/>
      <w:szCs w:val="18"/>
    </w:rPr>
  </w:style>
  <w:style w:type="character" w:styleId="45">
    <w:name w:val="annotation reference"/>
    <w:basedOn w:val="39"/>
    <w:qFormat/>
    <w:uiPriority w:val="0"/>
    <w:rPr>
      <w:sz w:val="21"/>
    </w:rPr>
  </w:style>
  <w:style w:type="character" w:customStyle="1" w:styleId="46">
    <w:name w:val="标题 1 Char"/>
    <w:link w:val="3"/>
    <w:qFormat/>
    <w:uiPriority w:val="0"/>
    <w:rPr>
      <w:b/>
      <w:bCs/>
      <w:kern w:val="44"/>
      <w:sz w:val="32"/>
      <w:szCs w:val="36"/>
    </w:rPr>
  </w:style>
  <w:style w:type="character" w:customStyle="1" w:styleId="47">
    <w:name w:val="标题 2 Char"/>
    <w:link w:val="4"/>
    <w:qFormat/>
    <w:uiPriority w:val="0"/>
    <w:rPr>
      <w:bCs/>
      <w:kern w:val="2"/>
      <w:sz w:val="28"/>
      <w:szCs w:val="32"/>
      <w:lang w:eastAsia="en-US"/>
    </w:rPr>
  </w:style>
  <w:style w:type="character" w:customStyle="1" w:styleId="48">
    <w:name w:val="标题 4 Char"/>
    <w:link w:val="6"/>
    <w:qFormat/>
    <w:uiPriority w:val="0"/>
    <w:rPr>
      <w:b/>
      <w:bCs/>
      <w:color w:val="000000"/>
      <w:kern w:val="2"/>
      <w:sz w:val="24"/>
      <w:szCs w:val="28"/>
    </w:rPr>
  </w:style>
  <w:style w:type="character" w:customStyle="1" w:styleId="49">
    <w:name w:val="标题 3 Char"/>
    <w:link w:val="5"/>
    <w:qFormat/>
    <w:uiPriority w:val="0"/>
    <w:rPr>
      <w:b/>
      <w:bCs/>
      <w:kern w:val="2"/>
      <w:sz w:val="24"/>
      <w:szCs w:val="32"/>
    </w:rPr>
  </w:style>
  <w:style w:type="character" w:customStyle="1" w:styleId="50">
    <w:name w:val="列表编号 Char"/>
    <w:link w:val="12"/>
    <w:qFormat/>
    <w:uiPriority w:val="0"/>
    <w:rPr>
      <w:kern w:val="2"/>
      <w:sz w:val="24"/>
      <w:szCs w:val="24"/>
    </w:rPr>
  </w:style>
  <w:style w:type="character" w:customStyle="1" w:styleId="51">
    <w:name w:val="批注文字 Char"/>
    <w:basedOn w:val="39"/>
    <w:link w:val="17"/>
    <w:qFormat/>
    <w:uiPriority w:val="0"/>
    <w:rPr>
      <w:sz w:val="24"/>
    </w:rPr>
  </w:style>
  <w:style w:type="character" w:customStyle="1" w:styleId="52">
    <w:name w:val="批注框文本 Char"/>
    <w:basedOn w:val="39"/>
    <w:link w:val="24"/>
    <w:qFormat/>
    <w:uiPriority w:val="0"/>
    <w:rPr>
      <w:kern w:val="2"/>
      <w:sz w:val="18"/>
      <w:szCs w:val="18"/>
    </w:rPr>
  </w:style>
  <w:style w:type="character" w:customStyle="1" w:styleId="53">
    <w:name w:val="批注主题 Char"/>
    <w:basedOn w:val="51"/>
    <w:link w:val="36"/>
    <w:qFormat/>
    <w:uiPriority w:val="0"/>
    <w:rPr>
      <w:b/>
      <w:bCs/>
      <w:kern w:val="2"/>
      <w:sz w:val="24"/>
      <w:szCs w:val="24"/>
    </w:rPr>
  </w:style>
  <w:style w:type="paragraph" w:customStyle="1" w:styleId="54">
    <w:name w:val="A正文"/>
    <w:basedOn w:val="1"/>
    <w:qFormat/>
    <w:uiPriority w:val="0"/>
    <w:pPr>
      <w:widowControl/>
      <w:overflowPunct w:val="0"/>
      <w:autoSpaceDE w:val="0"/>
      <w:autoSpaceDN w:val="0"/>
      <w:adjustRightInd w:val="0"/>
      <w:snapToGrid w:val="0"/>
      <w:ind w:firstLine="200"/>
      <w:jc w:val="left"/>
      <w:textAlignment w:val="baseline"/>
    </w:pPr>
    <w:rPr>
      <w:rFonts w:eastAsia="仿宋_GB2312"/>
      <w:kern w:val="0"/>
      <w:szCs w:val="20"/>
    </w:rPr>
  </w:style>
  <w:style w:type="paragraph" w:customStyle="1" w:styleId="55">
    <w:name w:val="正本"/>
    <w:basedOn w:val="1"/>
    <w:qFormat/>
    <w:uiPriority w:val="0"/>
    <w:pPr>
      <w:adjustRightInd w:val="0"/>
      <w:snapToGrid w:val="0"/>
      <w:ind w:firstLine="200"/>
    </w:pPr>
    <w:rPr>
      <w:rFonts w:ascii="宋体" w:hAnsi="宋体"/>
    </w:rPr>
  </w:style>
  <w:style w:type="paragraph" w:customStyle="1" w:styleId="56">
    <w:name w:val="_Style 7"/>
    <w:next w:val="1"/>
    <w:qFormat/>
    <w:uiPriority w:val="0"/>
    <w:pPr>
      <w:wordWrap w:val="0"/>
    </w:pPr>
    <w:rPr>
      <w:rFonts w:ascii="Times New Roman" w:hAnsi="Times New Roman" w:eastAsia="宋体" w:cs="Times New Roman"/>
      <w:sz w:val="32"/>
      <w:lang w:val="en-US" w:eastAsia="zh-CN" w:bidi="ar-SA"/>
    </w:rPr>
  </w:style>
  <w:style w:type="paragraph" w:customStyle="1" w:styleId="57">
    <w:name w:val="表格888"/>
    <w:basedOn w:val="1"/>
    <w:qFormat/>
    <w:uiPriority w:val="0"/>
    <w:pPr>
      <w:spacing w:line="240" w:lineRule="auto"/>
      <w:ind w:firstLine="0" w:firstLineChars="0"/>
      <w:jc w:val="center"/>
    </w:pPr>
    <w:rPr>
      <w:bCs/>
      <w:sz w:val="21"/>
    </w:rPr>
  </w:style>
  <w:style w:type="paragraph" w:customStyle="1" w:styleId="58">
    <w:name w:val="表头标题"/>
    <w:basedOn w:val="1"/>
    <w:link w:val="59"/>
    <w:qFormat/>
    <w:uiPriority w:val="0"/>
    <w:pPr>
      <w:spacing w:line="240" w:lineRule="auto"/>
      <w:ind w:firstLine="480"/>
      <w:jc w:val="center"/>
    </w:pPr>
    <w:rPr>
      <w:b/>
      <w:bCs/>
      <w:sz w:val="21"/>
    </w:rPr>
  </w:style>
  <w:style w:type="character" w:customStyle="1" w:styleId="59">
    <w:name w:val="表头标题 Char"/>
    <w:link w:val="58"/>
    <w:qFormat/>
    <w:uiPriority w:val="0"/>
    <w:rPr>
      <w:b/>
      <w:bCs/>
      <w:sz w:val="21"/>
    </w:rPr>
  </w:style>
  <w:style w:type="paragraph" w:customStyle="1" w:styleId="60">
    <w:name w:val="正文 首行缩进:  2 字符"/>
    <w:basedOn w:val="1"/>
    <w:qFormat/>
    <w:uiPriority w:val="99"/>
    <w:pPr>
      <w:ind w:firstLine="579"/>
    </w:pPr>
    <w:rPr>
      <w:sz w:val="28"/>
      <w:szCs w:val="20"/>
    </w:rPr>
  </w:style>
  <w:style w:type="paragraph" w:customStyle="1" w:styleId="61">
    <w:name w:val="Default"/>
    <w:basedOn w:val="62"/>
    <w:next w:val="63"/>
    <w:qFormat/>
    <w:uiPriority w:val="0"/>
    <w:pPr>
      <w:tabs>
        <w:tab w:val="left" w:pos="0"/>
        <w:tab w:val="left" w:pos="58"/>
      </w:tabs>
      <w:autoSpaceDE w:val="0"/>
      <w:autoSpaceDN w:val="0"/>
    </w:pPr>
    <w:rPr>
      <w:rFonts w:hAnsi="Times New Roman"/>
      <w:color w:val="000000"/>
      <w:sz w:val="24"/>
      <w:szCs w:val="24"/>
    </w:rPr>
  </w:style>
  <w:style w:type="paragraph" w:customStyle="1" w:styleId="62">
    <w:name w:val="标题2"/>
    <w:basedOn w:val="4"/>
    <w:qFormat/>
    <w:uiPriority w:val="0"/>
    <w:pPr>
      <w:spacing w:line="440" w:lineRule="exact"/>
      <w:ind w:left="1560"/>
    </w:pPr>
    <w:rPr>
      <w:kern w:val="0"/>
    </w:rPr>
  </w:style>
  <w:style w:type="paragraph" w:customStyle="1" w:styleId="63">
    <w:name w:val="样式35"/>
    <w:basedOn w:val="19"/>
    <w:qFormat/>
    <w:uiPriority w:val="0"/>
    <w:pPr>
      <w:overflowPunct w:val="0"/>
      <w:autoSpaceDE w:val="0"/>
      <w:autoSpaceDN w:val="0"/>
      <w:adjustRightInd w:val="0"/>
      <w:spacing w:before="0" w:after="0" w:line="360" w:lineRule="auto"/>
      <w:ind w:right="0" w:firstLine="567"/>
    </w:pPr>
    <w:rPr>
      <w:rFonts w:ascii="宋体"/>
      <w:spacing w:val="20"/>
      <w:sz w:val="24"/>
    </w:rPr>
  </w:style>
  <w:style w:type="paragraph" w:customStyle="1" w:styleId="64">
    <w:name w:val="纯文本1"/>
    <w:basedOn w:val="1"/>
    <w:qFormat/>
    <w:uiPriority w:val="0"/>
    <w:pPr>
      <w:tabs>
        <w:tab w:val="left" w:pos="58"/>
      </w:tabs>
      <w:adjustRightInd w:val="0"/>
      <w:spacing w:line="240" w:lineRule="auto"/>
      <w:ind w:firstLine="0"/>
      <w:textAlignment w:val="baseline"/>
    </w:pPr>
    <w:rPr>
      <w:rFonts w:ascii="宋体" w:hAnsi="Courier New"/>
      <w:sz w:val="21"/>
      <w:szCs w:val="20"/>
    </w:rPr>
  </w:style>
  <w:style w:type="paragraph" w:customStyle="1" w:styleId="65">
    <w:name w:val="文本"/>
    <w:basedOn w:val="1"/>
    <w:qFormat/>
    <w:uiPriority w:val="0"/>
    <w:pPr>
      <w:adjustRightInd w:val="0"/>
      <w:snapToGrid w:val="0"/>
      <w:ind w:firstLine="1446"/>
    </w:pPr>
  </w:style>
  <w:style w:type="paragraph" w:customStyle="1" w:styleId="66">
    <w:name w:val="样式1"/>
    <w:basedOn w:val="29"/>
    <w:next w:val="21"/>
    <w:qFormat/>
    <w:uiPriority w:val="0"/>
    <w:rPr>
      <w:kern w:val="0"/>
      <w:sz w:val="28"/>
    </w:rPr>
  </w:style>
  <w:style w:type="paragraph" w:customStyle="1" w:styleId="6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68">
    <w:name w:val="纯文本12"/>
    <w:basedOn w:val="1"/>
    <w:qFormat/>
    <w:uiPriority w:val="0"/>
    <w:pPr>
      <w:adjustRightInd w:val="0"/>
      <w:jc w:val="center"/>
      <w:textAlignment w:val="baseline"/>
    </w:pPr>
    <w:rPr>
      <w:rFonts w:ascii="宋体" w:hAnsi="Courier New"/>
    </w:rPr>
  </w:style>
  <w:style w:type="paragraph" w:customStyle="1" w:styleId="69">
    <w:name w:val="Default1"/>
    <w:basedOn w:val="1"/>
    <w:qFormat/>
    <w:uiPriority w:val="0"/>
    <w:pPr>
      <w:autoSpaceDE w:val="0"/>
      <w:autoSpaceDN w:val="0"/>
      <w:adjustRightInd w:val="0"/>
      <w:jc w:val="left"/>
    </w:pPr>
    <w:rPr>
      <w:rFonts w:ascii="宋体" w:hAnsi="Calibri" w:cs="宋体"/>
      <w:color w:val="000000"/>
      <w:kern w:val="0"/>
    </w:rPr>
  </w:style>
  <w:style w:type="paragraph" w:customStyle="1" w:styleId="70">
    <w:name w:val="表格"/>
    <w:basedOn w:val="13"/>
    <w:next w:val="1"/>
    <w:qFormat/>
    <w:uiPriority w:val="0"/>
    <w:pPr>
      <w:ind w:firstLine="480"/>
    </w:pPr>
    <w:rPr>
      <w:sz w:val="21"/>
      <w:szCs w:val="21"/>
    </w:rPr>
  </w:style>
  <w:style w:type="paragraph" w:customStyle="1" w:styleId="71">
    <w:name w:val="表头"/>
    <w:basedOn w:val="65"/>
    <w:next w:val="1"/>
    <w:qFormat/>
    <w:uiPriority w:val="0"/>
    <w:pPr>
      <w:overflowPunct w:val="0"/>
      <w:spacing w:line="240" w:lineRule="auto"/>
      <w:ind w:firstLine="0" w:firstLineChars="0"/>
      <w:jc w:val="center"/>
    </w:pPr>
    <w:rPr>
      <w:b/>
      <w:sz w:val="21"/>
      <w:szCs w:val="21"/>
    </w:rPr>
  </w:style>
  <w:style w:type="paragraph" w:customStyle="1" w:styleId="72">
    <w:name w:val="表标题"/>
    <w:basedOn w:val="12"/>
    <w:next w:val="19"/>
    <w:link w:val="73"/>
    <w:qFormat/>
    <w:uiPriority w:val="0"/>
    <w:pPr>
      <w:spacing w:line="240" w:lineRule="auto"/>
      <w:ind w:firstLine="0" w:firstLineChars="0"/>
      <w:jc w:val="center"/>
    </w:pPr>
    <w:rPr>
      <w:rFonts w:ascii="宋体"/>
      <w:sz w:val="21"/>
    </w:rPr>
  </w:style>
  <w:style w:type="character" w:customStyle="1" w:styleId="73">
    <w:name w:val="表标题 Char Char"/>
    <w:link w:val="72"/>
    <w:qFormat/>
    <w:uiPriority w:val="0"/>
    <w:rPr>
      <w:rFonts w:ascii="宋体"/>
      <w:sz w:val="21"/>
    </w:rPr>
  </w:style>
  <w:style w:type="paragraph" w:customStyle="1" w:styleId="74">
    <w:name w:val="表格内容"/>
    <w:basedOn w:val="75"/>
    <w:next w:val="1"/>
    <w:qFormat/>
    <w:uiPriority w:val="0"/>
    <w:pPr>
      <w:overflowPunct w:val="0"/>
      <w:spacing w:before="40" w:after="60" w:line="200" w:lineRule="atLeast"/>
      <w:textAlignment w:val="baseline"/>
    </w:pPr>
    <w:rPr>
      <w:rFonts w:ascii="Arial" w:hAnsi="Arial" w:eastAsia="仿宋_GB2312"/>
      <w:color w:val="000000"/>
      <w:kern w:val="0"/>
    </w:rPr>
  </w:style>
  <w:style w:type="paragraph" w:customStyle="1" w:styleId="75">
    <w:name w:val="表格标题"/>
    <w:basedOn w:val="76"/>
    <w:next w:val="74"/>
    <w:qFormat/>
    <w:uiPriority w:val="0"/>
    <w:pPr>
      <w:adjustRightInd w:val="0"/>
      <w:snapToGrid w:val="0"/>
      <w:ind w:firstLine="0" w:firstLineChars="0"/>
      <w:jc w:val="center"/>
    </w:pPr>
    <w:rPr>
      <w:b/>
      <w:kern w:val="18"/>
      <w:sz w:val="21"/>
    </w:rPr>
  </w:style>
  <w:style w:type="paragraph" w:customStyle="1" w:styleId="76">
    <w:name w:val="报告"/>
    <w:basedOn w:val="1"/>
    <w:qFormat/>
    <w:uiPriority w:val="0"/>
    <w:pPr>
      <w:ind w:firstLine="505"/>
      <w:textAlignment w:val="center"/>
    </w:pPr>
  </w:style>
  <w:style w:type="paragraph" w:customStyle="1" w:styleId="77">
    <w:name w:val="正文 32"/>
    <w:basedOn w:val="1"/>
    <w:qFormat/>
    <w:uiPriority w:val="0"/>
    <w:pPr>
      <w:autoSpaceDE w:val="0"/>
      <w:autoSpaceDN w:val="0"/>
      <w:adjustRightInd w:val="0"/>
      <w:spacing w:line="300" w:lineRule="auto"/>
      <w:ind w:firstLine="567"/>
      <w:textAlignment w:val="baseline"/>
    </w:pPr>
    <w:rPr>
      <w:rFonts w:eastAsia="楷体_GB2312"/>
      <w:kern w:val="0"/>
      <w:szCs w:val="20"/>
    </w:rPr>
  </w:style>
  <w:style w:type="paragraph" w:customStyle="1" w:styleId="78">
    <w:name w:val="p0"/>
    <w:basedOn w:val="1"/>
    <w:qFormat/>
    <w:uiPriority w:val="0"/>
    <w:pPr>
      <w:widowControl/>
    </w:pPr>
    <w:rPr>
      <w:kern w:val="0"/>
      <w:szCs w:val="21"/>
    </w:rPr>
  </w:style>
  <w:style w:type="paragraph" w:styleId="79">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0">
    <w:name w:val="无间隔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1">
    <w:name w:val="我的表格"/>
    <w:qFormat/>
    <w:uiPriority w:val="0"/>
    <w:pPr>
      <w:jc w:val="center"/>
    </w:pPr>
    <w:rPr>
      <w:rFonts w:ascii="Times New Roman" w:hAnsi="Times New Roman" w:eastAsia="宋体" w:cs="Times New Roman"/>
      <w:sz w:val="24"/>
      <w:szCs w:val="24"/>
      <w:lang w:val="en-US" w:eastAsia="zh-CN" w:bidi="ar-SA"/>
    </w:rPr>
  </w:style>
  <w:style w:type="paragraph" w:customStyle="1" w:styleId="82">
    <w:name w:val="表格内文字"/>
    <w:basedOn w:val="1"/>
    <w:next w:val="1"/>
    <w:qFormat/>
    <w:uiPriority w:val="0"/>
    <w:pPr>
      <w:spacing w:line="240" w:lineRule="auto"/>
      <w:ind w:firstLine="0" w:firstLineChars="0"/>
      <w:jc w:val="center"/>
    </w:pPr>
    <w:rPr>
      <w:sz w:val="21"/>
      <w:szCs w:val="21"/>
    </w:rPr>
  </w:style>
  <w:style w:type="table" w:customStyle="1" w:styleId="8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styleId="84">
    <w:name w:val="List Paragraph"/>
    <w:basedOn w:val="1"/>
    <w:qFormat/>
    <w:uiPriority w:val="34"/>
    <w:pPr>
      <w:spacing w:line="480" w:lineRule="exact"/>
      <w:ind w:firstLine="420"/>
    </w:pPr>
    <w:rPr>
      <w:szCs w:val="22"/>
    </w:rPr>
  </w:style>
  <w:style w:type="character" w:customStyle="1" w:styleId="85">
    <w:name w:val="font21"/>
    <w:basedOn w:val="39"/>
    <w:qFormat/>
    <w:uiPriority w:val="0"/>
    <w:rPr>
      <w:rFonts w:hint="default" w:ascii="Times New Roman" w:hAnsi="Times New Roman" w:cs="Times New Roman"/>
      <w:color w:val="000000"/>
      <w:sz w:val="21"/>
      <w:szCs w:val="21"/>
      <w:u w:val="none"/>
    </w:rPr>
  </w:style>
  <w:style w:type="character" w:customStyle="1" w:styleId="86">
    <w:name w:val="font11"/>
    <w:basedOn w:val="39"/>
    <w:qFormat/>
    <w:uiPriority w:val="0"/>
    <w:rPr>
      <w:rFonts w:hint="eastAsia" w:ascii="宋体" w:hAnsi="宋体" w:eastAsia="宋体" w:cs="宋体"/>
      <w:color w:val="000000"/>
      <w:sz w:val="21"/>
      <w:szCs w:val="21"/>
      <w:u w:val="none"/>
    </w:rPr>
  </w:style>
  <w:style w:type="character" w:customStyle="1" w:styleId="87">
    <w:name w:val="font31"/>
    <w:basedOn w:val="39"/>
    <w:qFormat/>
    <w:uiPriority w:val="0"/>
    <w:rPr>
      <w:rFonts w:hint="default" w:ascii="Times New Roman" w:hAnsi="Times New Roman" w:cs="Times New Roman"/>
      <w:color w:val="000000"/>
      <w:sz w:val="21"/>
      <w:szCs w:val="21"/>
      <w:u w:val="none"/>
      <w:vertAlign w:val="superscript"/>
    </w:rPr>
  </w:style>
  <w:style w:type="paragraph" w:customStyle="1" w:styleId="88">
    <w:name w:val="表格文字"/>
    <w:basedOn w:val="19"/>
    <w:next w:val="19"/>
    <w:qFormat/>
    <w:uiPriority w:val="0"/>
    <w:pPr>
      <w:tabs>
        <w:tab w:val="left" w:pos="-2848"/>
      </w:tabs>
      <w:spacing w:beforeLines="20" w:afterLines="20" w:line="240" w:lineRule="auto"/>
      <w:ind w:firstLine="0"/>
      <w:jc w:val="center"/>
    </w:pPr>
    <w:rPr>
      <w:position w:val="-10"/>
      <w:sz w:val="21"/>
    </w:rPr>
  </w:style>
  <w:style w:type="paragraph" w:customStyle="1" w:styleId="89">
    <w:name w:val="Table Paragraph"/>
    <w:basedOn w:val="1"/>
    <w:qFormat/>
    <w:uiPriority w:val="1"/>
    <w:rPr>
      <w:rFonts w:ascii="宋体" w:hAnsi="宋体" w:cs="宋体"/>
      <w:lang w:val="zh-CN" w:bidi="zh-CN"/>
    </w:rPr>
  </w:style>
  <w:style w:type="character" w:customStyle="1" w:styleId="90">
    <w:name w:val="font01"/>
    <w:basedOn w:val="39"/>
    <w:qFormat/>
    <w:uiPriority w:val="0"/>
    <w:rPr>
      <w:rFonts w:hint="default" w:ascii="Times New Roman" w:hAnsi="Times New Roman" w:cs="Times New Roman"/>
      <w:color w:val="FF0000"/>
      <w:sz w:val="21"/>
      <w:szCs w:val="21"/>
      <w:u w:val="none"/>
      <w:vertAlign w:val="subscript"/>
    </w:rPr>
  </w:style>
  <w:style w:type="character" w:customStyle="1" w:styleId="91">
    <w:name w:val="font41"/>
    <w:basedOn w:val="39"/>
    <w:qFormat/>
    <w:uiPriority w:val="0"/>
    <w:rPr>
      <w:rFonts w:hint="default" w:ascii="Times New Roman" w:hAnsi="Times New Roman" w:cs="Times New Roman"/>
      <w:color w:val="FF0000"/>
      <w:sz w:val="21"/>
      <w:szCs w:val="21"/>
      <w:u w:val="none"/>
    </w:rPr>
  </w:style>
  <w:style w:type="paragraph" w:customStyle="1" w:styleId="92">
    <w:name w:val="表头5"/>
    <w:basedOn w:val="1"/>
    <w:qFormat/>
    <w:uiPriority w:val="0"/>
    <w:pPr>
      <w:jc w:val="center"/>
    </w:pPr>
    <w:rPr>
      <w:b/>
      <w:sz w:val="21"/>
    </w:rPr>
  </w:style>
  <w:style w:type="character" w:customStyle="1" w:styleId="93">
    <w:name w:val="font51"/>
    <w:basedOn w:val="39"/>
    <w:qFormat/>
    <w:uiPriority w:val="0"/>
    <w:rPr>
      <w:rFonts w:hint="default" w:ascii="Times New Roman" w:hAnsi="Times New Roman" w:cs="Times New Roman"/>
      <w:color w:val="000000"/>
      <w:sz w:val="21"/>
      <w:szCs w:val="21"/>
      <w:u w:val="none"/>
      <w:vertAlign w:val="superscript"/>
    </w:rPr>
  </w:style>
  <w:style w:type="paragraph" w:customStyle="1" w:styleId="94">
    <w:name w:val="Char"/>
    <w:basedOn w:val="1"/>
    <w:qFormat/>
    <w:uiPriority w:val="0"/>
    <w:pPr>
      <w:widowControl/>
      <w:spacing w:after="160"/>
      <w:jc w:val="left"/>
    </w:pPr>
    <w:rPr>
      <w:rFonts w:ascii="Verdana" w:hAnsi="Verdana" w:eastAsia="仿宋_GB2312" w:cs="”“Times New Roman”“"/>
      <w:kern w:val="0"/>
      <w:sz w:val="28"/>
      <w:szCs w:val="28"/>
      <w:lang w:eastAsia="en-US"/>
    </w:rPr>
  </w:style>
  <w:style w:type="paragraph" w:customStyle="1" w:styleId="95">
    <w:name w:val="报告表正文"/>
    <w:basedOn w:val="1"/>
    <w:qFormat/>
    <w:uiPriority w:val="0"/>
    <w:pPr>
      <w:ind w:firstLine="200"/>
      <w:textAlignment w:val="center"/>
    </w:pPr>
    <w:rPr>
      <w:kern w:val="0"/>
      <w:szCs w:val="28"/>
    </w:rPr>
  </w:style>
  <w:style w:type="paragraph" w:customStyle="1" w:styleId="96">
    <w:name w:val="报告表正文zhanghuan"/>
    <w:basedOn w:val="1"/>
    <w:qFormat/>
    <w:uiPriority w:val="0"/>
    <w:pPr>
      <w:ind w:firstLine="480"/>
    </w:pPr>
    <w:rPr>
      <w:rFonts w:cs="宋体"/>
    </w:rPr>
  </w:style>
  <w:style w:type="paragraph" w:customStyle="1" w:styleId="97">
    <w:name w:val="环表头"/>
    <w:basedOn w:val="98"/>
    <w:next w:val="1"/>
    <w:qFormat/>
    <w:uiPriority w:val="0"/>
    <w:pPr>
      <w:tabs>
        <w:tab w:val="left" w:pos="5094"/>
      </w:tabs>
      <w:spacing w:line="400" w:lineRule="exact"/>
    </w:pPr>
    <w:rPr>
      <w:rFonts w:ascii="黑体" w:hAnsi="宋体" w:eastAsia="黑体"/>
      <w:iCs/>
      <w:snapToGrid w:val="0"/>
      <w:color w:val="000000"/>
    </w:rPr>
  </w:style>
  <w:style w:type="paragraph" w:customStyle="1" w:styleId="98">
    <w:name w:val="环正文"/>
    <w:basedOn w:val="1"/>
    <w:qFormat/>
    <w:uiPriority w:val="0"/>
    <w:pPr>
      <w:tabs>
        <w:tab w:val="left" w:pos="5094"/>
      </w:tabs>
      <w:adjustRightInd w:val="0"/>
      <w:snapToGrid w:val="0"/>
      <w:ind w:firstLine="562"/>
      <w:jc w:val="center"/>
      <w:textAlignment w:val="baseline"/>
    </w:pPr>
    <w:rPr>
      <w:b/>
      <w:color w:val="0000CC"/>
      <w:szCs w:val="22"/>
    </w:rPr>
  </w:style>
  <w:style w:type="paragraph" w:customStyle="1" w:styleId="99">
    <w:name w:val="表格正文"/>
    <w:basedOn w:val="13"/>
    <w:next w:val="1"/>
    <w:qFormat/>
    <w:uiPriority w:val="0"/>
    <w:pPr>
      <w:spacing w:line="240" w:lineRule="auto"/>
      <w:ind w:firstLine="0" w:firstLineChars="0"/>
      <w:jc w:val="center"/>
    </w:pPr>
  </w:style>
  <w:style w:type="paragraph" w:customStyle="1" w:styleId="100">
    <w:name w:val="报告书正文"/>
    <w:basedOn w:val="1"/>
    <w:qFormat/>
    <w:uiPriority w:val="0"/>
    <w:pPr>
      <w:adjustRightInd w:val="0"/>
      <w:snapToGrid w:val="0"/>
      <w:ind w:firstLine="480"/>
    </w:pPr>
    <w:rPr>
      <w:kern w:val="0"/>
      <w:szCs w:val="20"/>
    </w:rPr>
  </w:style>
  <w:style w:type="paragraph" w:customStyle="1" w:styleId="101">
    <w:name w:val="表格正文zhanghuan"/>
    <w:basedOn w:val="1"/>
    <w:qFormat/>
    <w:uiPriority w:val="0"/>
    <w:pPr>
      <w:snapToGrid w:val="0"/>
      <w:jc w:val="center"/>
    </w:pPr>
    <w:rPr>
      <w:szCs w:val="21"/>
    </w:rPr>
  </w:style>
  <w:style w:type="paragraph" w:customStyle="1" w:styleId="102">
    <w:name w:val="正文zhanghuan"/>
    <w:basedOn w:val="1"/>
    <w:qFormat/>
    <w:uiPriority w:val="0"/>
    <w:pPr>
      <w:ind w:firstLine="480"/>
    </w:pPr>
    <w:rPr>
      <w:rFonts w:cs="宋体"/>
    </w:rPr>
  </w:style>
  <w:style w:type="paragraph" w:customStyle="1" w:styleId="103">
    <w:name w:val="表头zhanghuan"/>
    <w:basedOn w:val="104"/>
    <w:qFormat/>
    <w:uiPriority w:val="0"/>
    <w:pPr>
      <w:spacing w:line="360" w:lineRule="auto"/>
    </w:pPr>
    <w:rPr>
      <w:rFonts w:ascii="黑体" w:hAnsi="黑体" w:eastAsia="黑体" w:cs="宋体"/>
      <w:sz w:val="24"/>
      <w:szCs w:val="20"/>
    </w:rPr>
  </w:style>
  <w:style w:type="paragraph" w:customStyle="1" w:styleId="104">
    <w:name w:val="1表格文字"/>
    <w:qFormat/>
    <w:uiPriority w:val="0"/>
    <w:pPr>
      <w:spacing w:line="360" w:lineRule="exact"/>
      <w:jc w:val="center"/>
    </w:pPr>
    <w:rPr>
      <w:rFonts w:ascii="Times New Roman" w:hAnsi="Times New Roman" w:eastAsia="宋体" w:cs="Times New Roman"/>
      <w:sz w:val="21"/>
      <w:szCs w:val="24"/>
      <w:lang w:val="en-US" w:eastAsia="zh-CN" w:bidi="en-US"/>
    </w:rPr>
  </w:style>
  <w:style w:type="paragraph" w:customStyle="1" w:styleId="105">
    <w:name w:val="Other|1"/>
    <w:basedOn w:val="1"/>
    <w:qFormat/>
    <w:uiPriority w:val="0"/>
    <w:pPr>
      <w:jc w:val="center"/>
    </w:pPr>
    <w:rPr>
      <w:sz w:val="22"/>
      <w:szCs w:val="22"/>
      <w:lang w:val="zh-TW" w:eastAsia="zh-TW" w:bidi="zh-TW"/>
    </w:rPr>
  </w:style>
  <w:style w:type="paragraph" w:customStyle="1" w:styleId="106">
    <w:name w:val="标题4zhanghuan"/>
    <w:basedOn w:val="107"/>
    <w:qFormat/>
    <w:uiPriority w:val="0"/>
    <w:pPr>
      <w:spacing w:beforeLines="50" w:afterLines="50" w:line="360" w:lineRule="auto"/>
      <w:ind w:left="0" w:leftChars="0" w:right="0" w:rightChars="0" w:firstLine="0"/>
      <w:jc w:val="left"/>
      <w:outlineLvl w:val="3"/>
    </w:pPr>
    <w:rPr>
      <w:rFonts w:eastAsia="黑体"/>
      <w:sz w:val="24"/>
    </w:rPr>
  </w:style>
  <w:style w:type="paragraph" w:customStyle="1" w:styleId="107">
    <w:name w:val="正文00"/>
    <w:basedOn w:val="1"/>
    <w:qFormat/>
    <w:uiPriority w:val="0"/>
    <w:pPr>
      <w:widowControl/>
      <w:spacing w:line="425" w:lineRule="atLeast"/>
      <w:ind w:left="107" w:leftChars="51" w:right="124" w:rightChars="59" w:firstLine="480"/>
      <w:textAlignment w:val="baseline"/>
    </w:pPr>
    <w:rPr>
      <w:kern w:val="0"/>
      <w:sz w:val="28"/>
    </w:rPr>
  </w:style>
  <w:style w:type="paragraph" w:customStyle="1" w:styleId="108">
    <w:name w:val="表内容"/>
    <w:basedOn w:val="109"/>
    <w:next w:val="1"/>
    <w:qFormat/>
    <w:uiPriority w:val="0"/>
    <w:pPr>
      <w:widowControl/>
      <w:tabs>
        <w:tab w:val="left" w:pos="630"/>
        <w:tab w:val="left" w:pos="1260"/>
      </w:tabs>
      <w:spacing w:before="0" w:after="0" w:line="240" w:lineRule="auto"/>
      <w:ind w:firstLine="0" w:firstLineChars="0"/>
      <w:jc w:val="center"/>
    </w:pPr>
    <w:rPr>
      <w:snapToGrid w:val="0"/>
      <w:spacing w:val="0"/>
      <w:sz w:val="21"/>
      <w:szCs w:val="24"/>
    </w:rPr>
  </w:style>
  <w:style w:type="paragraph" w:customStyle="1" w:styleId="109">
    <w:name w:val="正文样式"/>
    <w:basedOn w:val="1"/>
    <w:qFormat/>
    <w:uiPriority w:val="0"/>
    <w:pPr>
      <w:spacing w:before="156" w:after="156"/>
      <w:ind w:firstLine="480"/>
    </w:pPr>
    <w:rPr>
      <w:spacing w:val="10"/>
      <w:kern w:val="0"/>
      <w:szCs w:val="20"/>
    </w:rPr>
  </w:style>
  <w:style w:type="character" w:customStyle="1" w:styleId="110">
    <w:name w:val="font71"/>
    <w:basedOn w:val="39"/>
    <w:qFormat/>
    <w:uiPriority w:val="0"/>
    <w:rPr>
      <w:rFonts w:hint="eastAsia" w:ascii="宋体" w:hAnsi="宋体" w:eastAsia="宋体" w:cs="宋体"/>
      <w:color w:val="000000"/>
      <w:sz w:val="21"/>
      <w:szCs w:val="21"/>
      <w:u w:val="none"/>
    </w:rPr>
  </w:style>
  <w:style w:type="character" w:customStyle="1" w:styleId="111">
    <w:name w:val="font61"/>
    <w:basedOn w:val="39"/>
    <w:qFormat/>
    <w:uiPriority w:val="0"/>
    <w:rPr>
      <w:rFonts w:hint="default" w:ascii="Times New Roman" w:hAnsi="Times New Roman" w:cs="Times New Roman"/>
      <w:color w:val="000000"/>
      <w:sz w:val="21"/>
      <w:szCs w:val="21"/>
      <w:u w:val="none"/>
      <w:vertAlign w:val="subscript"/>
    </w:rPr>
  </w:style>
  <w:style w:type="character" w:customStyle="1" w:styleId="112">
    <w:name w:val="font81"/>
    <w:basedOn w:val="39"/>
    <w:qFormat/>
    <w:uiPriority w:val="0"/>
    <w:rPr>
      <w:rFonts w:hint="default" w:ascii="Times New Roman" w:hAnsi="Times New Roman" w:cs="Times New Roman"/>
      <w:color w:val="000000"/>
      <w:sz w:val="21"/>
      <w:szCs w:val="21"/>
      <w:u w:val="none"/>
      <w:vertAlign w:val="subscript"/>
    </w:rPr>
  </w:style>
  <w:style w:type="paragraph" w:customStyle="1" w:styleId="113">
    <w:name w:val="城口文本"/>
    <w:basedOn w:val="1"/>
    <w:qFormat/>
    <w:uiPriority w:val="0"/>
    <w:pPr>
      <w:autoSpaceDE w:val="0"/>
      <w:autoSpaceDN w:val="0"/>
      <w:adjustRightInd w:val="0"/>
      <w:spacing w:line="460" w:lineRule="exact"/>
      <w:ind w:firstLine="200"/>
      <w:textAlignment w:val="baseline"/>
    </w:pPr>
    <w:rPr>
      <w:color w:val="000000"/>
      <w:sz w:val="26"/>
      <w:szCs w:val="26"/>
    </w:rPr>
  </w:style>
  <w:style w:type="paragraph" w:customStyle="1" w:styleId="114">
    <w:name w:val="A正文1"/>
    <w:basedOn w:val="1"/>
    <w:qFormat/>
    <w:uiPriority w:val="0"/>
    <w:pPr>
      <w:ind w:firstLine="480"/>
    </w:pPr>
    <w:rPr>
      <w:szCs w:val="28"/>
    </w:rPr>
  </w:style>
  <w:style w:type="paragraph" w:customStyle="1" w:styleId="115">
    <w:name w:val="表格内格式"/>
    <w:basedOn w:val="116"/>
    <w:qFormat/>
    <w:uiPriority w:val="0"/>
    <w:pPr>
      <w:spacing w:line="240" w:lineRule="auto"/>
      <w:ind w:firstLine="0" w:firstLineChars="0"/>
      <w:jc w:val="center"/>
    </w:pPr>
    <w:rPr>
      <w:rFonts w:cs="宋体"/>
      <w:sz w:val="18"/>
    </w:rPr>
  </w:style>
  <w:style w:type="paragraph" w:customStyle="1" w:styleId="116">
    <w:name w:val="正文01 Char Char"/>
    <w:basedOn w:val="1"/>
    <w:qFormat/>
    <w:uiPriority w:val="0"/>
    <w:pPr>
      <w:adjustRightInd w:val="0"/>
      <w:snapToGrid w:val="0"/>
      <w:spacing w:before="60" w:line="460" w:lineRule="exact"/>
      <w:ind w:firstLine="200"/>
    </w:pPr>
    <w:rPr>
      <w:snapToGrid w:val="0"/>
    </w:rPr>
  </w:style>
  <w:style w:type="paragraph" w:customStyle="1" w:styleId="117">
    <w:name w:val="报告表格"/>
    <w:basedOn w:val="1"/>
    <w:qFormat/>
    <w:uiPriority w:val="0"/>
    <w:pPr>
      <w:autoSpaceDE w:val="0"/>
      <w:autoSpaceDN w:val="0"/>
      <w:spacing w:before="40" w:after="40"/>
      <w:jc w:val="center"/>
    </w:pPr>
    <w:rPr>
      <w:kern w:val="0"/>
      <w:szCs w:val="20"/>
    </w:rPr>
  </w:style>
  <w:style w:type="paragraph" w:customStyle="1" w:styleId="118">
    <w:name w:val="表头。图尾"/>
    <w:basedOn w:val="1"/>
    <w:next w:val="1"/>
    <w:link w:val="119"/>
    <w:qFormat/>
    <w:uiPriority w:val="0"/>
    <w:pPr>
      <w:keepNext/>
      <w:spacing w:line="240" w:lineRule="auto"/>
      <w:ind w:firstLine="0" w:firstLineChars="0"/>
      <w:jc w:val="center"/>
    </w:pPr>
    <w:rPr>
      <w:b/>
      <w:spacing w:val="10"/>
      <w:kern w:val="21"/>
      <w:sz w:val="21"/>
    </w:rPr>
  </w:style>
  <w:style w:type="character" w:customStyle="1" w:styleId="119">
    <w:name w:val="表头。图尾 Char"/>
    <w:link w:val="118"/>
    <w:qFormat/>
    <w:uiPriority w:val="0"/>
    <w:rPr>
      <w:b/>
      <w:spacing w:val="10"/>
      <w:kern w:val="21"/>
      <w:sz w:val="21"/>
    </w:rPr>
  </w:style>
  <w:style w:type="character" w:customStyle="1" w:styleId="120">
    <w:name w:val="font91"/>
    <w:basedOn w:val="39"/>
    <w:qFormat/>
    <w:uiPriority w:val="0"/>
    <w:rPr>
      <w:rFonts w:hint="eastAsia" w:ascii="宋体" w:hAnsi="宋体" w:eastAsia="宋体" w:cs="宋体"/>
      <w:color w:val="000000"/>
      <w:sz w:val="21"/>
      <w:szCs w:val="21"/>
      <w:u w:val="none"/>
    </w:rPr>
  </w:style>
  <w:style w:type="character" w:customStyle="1" w:styleId="121">
    <w:name w:val="font101"/>
    <w:basedOn w:val="39"/>
    <w:qFormat/>
    <w:uiPriority w:val="0"/>
    <w:rPr>
      <w:rFonts w:hint="default" w:ascii="Times New Roman" w:hAnsi="Times New Roman" w:cs="Times New Roman"/>
      <w:color w:val="000000"/>
      <w:sz w:val="21"/>
      <w:szCs w:val="21"/>
      <w:u w:val="none"/>
      <w:vertAlign w:val="subscript"/>
    </w:rPr>
  </w:style>
  <w:style w:type="paragraph" w:customStyle="1" w:styleId="122">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123">
    <w:name w:val="正文_14"/>
    <w:qFormat/>
    <w:uiPriority w:val="0"/>
    <w:pPr>
      <w:widowControl w:val="0"/>
      <w:jc w:val="both"/>
    </w:pPr>
    <w:rPr>
      <w:rFonts w:ascii="Calibri" w:hAnsi="Calibri" w:eastAsia="宋体" w:cs="Times New Roman"/>
      <w:kern w:val="2"/>
      <w:sz w:val="21"/>
      <w:lang w:val="en-US" w:eastAsia="zh-CN" w:bidi="ar-SA"/>
    </w:rPr>
  </w:style>
  <w:style w:type="paragraph" w:customStyle="1" w:styleId="124">
    <w:name w:val="正文_12"/>
    <w:qFormat/>
    <w:uiPriority w:val="0"/>
    <w:pPr>
      <w:widowControl w:val="0"/>
      <w:jc w:val="both"/>
    </w:pPr>
    <w:rPr>
      <w:rFonts w:ascii="Calibri" w:hAnsi="Calibri" w:eastAsia="宋体" w:cs="Times New Roman"/>
      <w:kern w:val="2"/>
      <w:sz w:val="21"/>
      <w:lang w:val="en-US" w:eastAsia="zh-CN" w:bidi="ar-SA"/>
    </w:rPr>
  </w:style>
  <w:style w:type="paragraph" w:customStyle="1" w:styleId="125">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126">
    <w:name w:val="正文_16"/>
    <w:qFormat/>
    <w:uiPriority w:val="0"/>
    <w:pPr>
      <w:widowControl w:val="0"/>
      <w:jc w:val="both"/>
    </w:pPr>
    <w:rPr>
      <w:rFonts w:ascii="Calibri" w:hAnsi="Calibri" w:eastAsia="宋体" w:cs="Times New Roman"/>
      <w:kern w:val="2"/>
      <w:sz w:val="21"/>
      <w:lang w:val="en-US" w:eastAsia="zh-CN" w:bidi="ar-SA"/>
    </w:rPr>
  </w:style>
  <w:style w:type="character" w:customStyle="1" w:styleId="127">
    <w:name w:val="font112"/>
    <w:basedOn w:val="39"/>
    <w:qFormat/>
    <w:uiPriority w:val="0"/>
    <w:rPr>
      <w:rFonts w:hint="default" w:ascii="Times New Roman" w:hAnsi="Times New Roman" w:cs="Times New Roman"/>
      <w:color w:val="000000"/>
      <w:sz w:val="21"/>
      <w:szCs w:val="21"/>
      <w:u w:val="none"/>
      <w:vertAlign w:val="subscript"/>
    </w:rPr>
  </w:style>
  <w:style w:type="paragraph" w:customStyle="1" w:styleId="128">
    <w:name w:val="LZJ表标题"/>
    <w:basedOn w:val="12"/>
    <w:next w:val="19"/>
    <w:qFormat/>
    <w:uiPriority w:val="39"/>
    <w:pPr>
      <w:spacing w:line="240" w:lineRule="auto"/>
      <w:ind w:left="0" w:firstLine="0" w:firstLineChars="0"/>
      <w:jc w:val="center"/>
    </w:pPr>
    <w:rPr>
      <w:rFonts w:eastAsia="黑体"/>
      <w:szCs w:val="21"/>
    </w:rPr>
  </w:style>
  <w:style w:type="paragraph" w:customStyle="1" w:styleId="129">
    <w:name w:val="LZJ表正"/>
    <w:basedOn w:val="13"/>
    <w:next w:val="1"/>
    <w:qFormat/>
    <w:uiPriority w:val="0"/>
    <w:pPr>
      <w:autoSpaceDE w:val="0"/>
      <w:autoSpaceDN w:val="0"/>
      <w:adjustRightInd/>
      <w:spacing w:line="240" w:lineRule="auto"/>
      <w:ind w:firstLine="0" w:firstLineChars="0"/>
      <w:jc w:val="center"/>
      <w:textAlignment w:val="bottom"/>
    </w:pPr>
    <w:rPr>
      <w:sz w:val="21"/>
      <w:szCs w:val="21"/>
    </w:rPr>
  </w:style>
  <w:style w:type="paragraph" w:customStyle="1" w:styleId="130">
    <w:name w:val="环评-报告表-19-正文-表项"/>
    <w:basedOn w:val="131"/>
    <w:qFormat/>
    <w:uiPriority w:val="0"/>
    <w:pPr>
      <w:spacing w:line="240" w:lineRule="auto"/>
    </w:pPr>
  </w:style>
  <w:style w:type="paragraph" w:customStyle="1" w:styleId="131">
    <w:name w:val="环评-报告表-18-正文-表头"/>
    <w:next w:val="130"/>
    <w:qFormat/>
    <w:uiPriority w:val="0"/>
    <w:pPr>
      <w:spacing w:line="360" w:lineRule="auto"/>
      <w:jc w:val="center"/>
    </w:pPr>
    <w:rPr>
      <w:rFonts w:ascii="Times New Roman" w:hAnsi="Times New Roman" w:eastAsia="宋体" w:cs="Times New Roman"/>
      <w:b/>
      <w:kern w:val="2"/>
      <w:sz w:val="21"/>
      <w:szCs w:val="24"/>
      <w:lang w:val="en-US" w:eastAsia="zh-CN" w:bidi="ar-SA"/>
    </w:rPr>
  </w:style>
  <w:style w:type="paragraph" w:customStyle="1" w:styleId="132">
    <w:name w:val="环评-报告表-20-正文-表内容"/>
    <w:basedOn w:val="130"/>
    <w:qFormat/>
    <w:uiPriority w:val="0"/>
    <w:rPr>
      <w:b w:val="0"/>
    </w:rPr>
  </w:style>
  <w:style w:type="paragraph" w:customStyle="1" w:styleId="133">
    <w:name w:val="方小特 表头标题"/>
    <w:basedOn w:val="1"/>
    <w:qFormat/>
    <w:uiPriority w:val="0"/>
    <w:pPr>
      <w:spacing w:line="240" w:lineRule="auto"/>
      <w:ind w:firstLine="480"/>
      <w:jc w:val="center"/>
    </w:pPr>
    <w:rPr>
      <w:b/>
      <w:bCs/>
      <w:sz w:val="21"/>
    </w:rPr>
  </w:style>
  <w:style w:type="table" w:customStyle="1" w:styleId="134">
    <w:name w:val="环评表格117"/>
    <w:basedOn w:val="37"/>
    <w:qFormat/>
    <w:uiPriority w:val="99"/>
    <w:pPr>
      <w:adjustRightInd w:val="0"/>
      <w:snapToGrid w:val="0"/>
      <w:jc w:val="center"/>
    </w:pPr>
    <w:rPr>
      <w:rFonts w:ascii="等线" w:hAnsi="等线" w:eastAsia="等线" w:cs="等线"/>
    </w:rPr>
    <w:tblPr>
      <w:jc w:val="center"/>
      <w:tblBorders>
        <w:top w:val="single" w:color="auto" w:sz="12" w:space="0"/>
        <w:bottom w:val="single" w:color="auto" w:sz="12" w:space="0"/>
        <w:insideH w:val="single" w:color="auto" w:sz="4" w:space="0"/>
        <w:insideV w:val="single" w:color="auto" w:sz="4" w:space="0"/>
      </w:tblBorders>
      <w:tblCellMar>
        <w:top w:w="0" w:type="dxa"/>
        <w:left w:w="0" w:type="dxa"/>
        <w:bottom w:w="0" w:type="dxa"/>
        <w:right w:w="0" w:type="dxa"/>
      </w:tblCellMar>
    </w:tblPr>
    <w:trPr>
      <w:jc w:val="center"/>
    </w:trPr>
    <w:tcPr>
      <w:vAlign w:val="center"/>
    </w:tcPr>
    <w:tblStylePr w:type="firstRow">
      <w:rPr>
        <w:rFonts w:ascii="Courier New" w:hAnsi="Courier New" w:eastAsia="Symbol"/>
        <w:b/>
        <w:i w:val="0"/>
        <w:caps w:val="0"/>
        <w:smallCaps w:val="0"/>
        <w:strike w:val="0"/>
        <w:dstrike w:val="0"/>
        <w:vanish w:val="0"/>
        <w:sz w:val="21"/>
        <w:u w:val="none"/>
        <w:vertAlign w:val="baseline"/>
      </w:rPr>
    </w:tblStylePr>
    <w:tblStylePr w:type="band1Horz">
      <w:pPr>
        <w:jc w:val="center"/>
      </w:pPr>
    </w:tblStylePr>
  </w:style>
  <w:style w:type="character" w:customStyle="1" w:styleId="135">
    <w:name w:val="font111"/>
    <w:basedOn w:val="39"/>
    <w:qFormat/>
    <w:uiPriority w:val="0"/>
    <w:rPr>
      <w:rFonts w:hint="default" w:ascii="Times New Roman" w:hAnsi="Times New Roman" w:cs="Times New Roman"/>
      <w:b/>
      <w:bCs/>
      <w:color w:val="000000"/>
      <w:sz w:val="20"/>
      <w:szCs w:val="20"/>
      <w:u w:val="none"/>
    </w:rPr>
  </w:style>
  <w:style w:type="character" w:customStyle="1" w:styleId="136">
    <w:name w:val="font12"/>
    <w:basedOn w:val="39"/>
    <w:qFormat/>
    <w:uiPriority w:val="0"/>
    <w:rPr>
      <w:rFonts w:hint="eastAsia" w:ascii="微软雅黑" w:hAnsi="微软雅黑" w:eastAsia="微软雅黑" w:cs="微软雅黑"/>
      <w:color w:val="000000"/>
      <w:sz w:val="20"/>
      <w:szCs w:val="20"/>
      <w:u w:val="none"/>
    </w:rPr>
  </w:style>
  <w:style w:type="character" w:customStyle="1" w:styleId="137">
    <w:name w:val="font122"/>
    <w:basedOn w:val="39"/>
    <w:qFormat/>
    <w:uiPriority w:val="0"/>
    <w:rPr>
      <w:rFonts w:hint="eastAsia" w:ascii="微软雅黑" w:hAnsi="微软雅黑" w:eastAsia="微软雅黑" w:cs="微软雅黑"/>
      <w:color w:val="000000"/>
      <w:sz w:val="20"/>
      <w:szCs w:val="20"/>
      <w:u w:val="none"/>
    </w:rPr>
  </w:style>
  <w:style w:type="character" w:customStyle="1" w:styleId="138">
    <w:name w:val="font121"/>
    <w:basedOn w:val="39"/>
    <w:qFormat/>
    <w:uiPriority w:val="0"/>
    <w:rPr>
      <w:rFonts w:hint="eastAsia" w:ascii="微软雅黑" w:hAnsi="微软雅黑" w:eastAsia="微软雅黑" w:cs="微软雅黑"/>
      <w:color w:val="000000"/>
      <w:sz w:val="20"/>
      <w:szCs w:val="20"/>
      <w:u w:val="none"/>
    </w:rPr>
  </w:style>
  <w:style w:type="paragraph" w:customStyle="1" w:styleId="139">
    <w:name w:val="Table Text"/>
    <w:basedOn w:val="1"/>
    <w:semiHidden/>
    <w:qFormat/>
    <w:uiPriority w:val="0"/>
    <w:rPr>
      <w:rFonts w:ascii="宋体" w:hAnsi="宋体" w:cs="宋体"/>
      <w:lang w:eastAsia="en-US"/>
    </w:rPr>
  </w:style>
  <w:style w:type="paragraph" w:customStyle="1" w:styleId="140">
    <w:name w:val="表格正文（首行缩进）"/>
    <w:basedOn w:val="1"/>
    <w:qFormat/>
    <w:uiPriority w:val="0"/>
    <w:pPr>
      <w:spacing w:line="240" w:lineRule="auto"/>
      <w:ind w:firstLine="0" w:firstLineChars="0"/>
      <w:jc w:val="center"/>
    </w:pPr>
    <w:rPr>
      <w:color w:val="000000"/>
      <w:sz w:val="21"/>
      <w:szCs w:val="21"/>
    </w:rPr>
  </w:style>
  <w:style w:type="paragraph" w:customStyle="1" w:styleId="141">
    <w:name w:val="表格内容Q"/>
    <w:basedOn w:val="1"/>
    <w:qFormat/>
    <w:uiPriority w:val="0"/>
    <w:pPr>
      <w:jc w:val="center"/>
    </w:pPr>
    <w:rPr>
      <w:kern w:val="0"/>
      <w:szCs w:val="21"/>
    </w:rPr>
  </w:style>
  <w:style w:type="paragraph" w:customStyle="1" w:styleId="142">
    <w:name w:val="报告正文"/>
    <w:qFormat/>
    <w:uiPriority w:val="0"/>
    <w:pPr>
      <w:spacing w:line="360" w:lineRule="auto"/>
      <w:ind w:firstLine="723" w:firstLineChars="200"/>
    </w:pPr>
    <w:rPr>
      <w:rFonts w:ascii="Times New Roman" w:hAnsi="Times New Roman" w:eastAsia="宋体" w:cs="宋体"/>
      <w:sz w:val="24"/>
      <w:szCs w:val="24"/>
      <w:lang w:val="en-US" w:eastAsia="zh-CN" w:bidi="ar-SA"/>
    </w:rPr>
  </w:style>
  <w:style w:type="paragraph" w:customStyle="1" w:styleId="143">
    <w:name w:val="表中文字"/>
    <w:basedOn w:val="1"/>
    <w:qFormat/>
    <w:uiPriority w:val="99"/>
    <w:pPr>
      <w:spacing w:line="300" w:lineRule="exact"/>
      <w:jc w:val="center"/>
    </w:pPr>
    <w:rPr>
      <w:color w:val="000000"/>
    </w:rPr>
  </w:style>
  <w:style w:type="paragraph" w:customStyle="1" w:styleId="144">
    <w:name w:val="正文正文"/>
    <w:basedOn w:val="14"/>
    <w:qFormat/>
    <w:uiPriority w:val="0"/>
    <w:pPr>
      <w:spacing w:after="0"/>
      <w:ind w:left="0" w:leftChars="0" w:firstLine="0" w:firstLineChars="0"/>
    </w:pPr>
    <w:rPr>
      <w:kern w:val="0"/>
      <w:szCs w:val="21"/>
    </w:rPr>
  </w:style>
  <w:style w:type="paragraph" w:customStyle="1" w:styleId="145">
    <w:name w:val="表格5188"/>
    <w:basedOn w:val="1"/>
    <w:qFormat/>
    <w:uiPriority w:val="0"/>
    <w:pPr>
      <w:spacing w:line="240" w:lineRule="auto"/>
      <w:ind w:firstLine="0" w:firstLineChars="0"/>
      <w:jc w:val="center"/>
    </w:pPr>
    <w:rPr>
      <w:bCs/>
      <w:sz w:val="21"/>
    </w:rPr>
  </w:style>
  <w:style w:type="table" w:customStyle="1" w:styleId="146">
    <w:name w:val="网格型1"/>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7">
    <w:name w:val="文档结构图 Char"/>
    <w:basedOn w:val="39"/>
    <w:link w:val="16"/>
    <w:qFormat/>
    <w:uiPriority w:val="0"/>
    <w:rPr>
      <w:rFonts w:ascii="宋体"/>
      <w:kern w:val="2"/>
      <w:sz w:val="18"/>
      <w:szCs w:val="18"/>
    </w:rPr>
  </w:style>
  <w:style w:type="paragraph" w:customStyle="1" w:styleId="14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49">
    <w:name w:val="样式3"/>
    <w:basedOn w:val="1"/>
    <w:next w:val="150"/>
    <w:qFormat/>
    <w:uiPriority w:val="0"/>
    <w:pPr>
      <w:autoSpaceDE w:val="0"/>
      <w:autoSpaceDN w:val="0"/>
      <w:snapToGrid w:val="0"/>
      <w:spacing w:before="120" w:line="460" w:lineRule="atLeast"/>
      <w:jc w:val="center"/>
    </w:pPr>
    <w:rPr>
      <w:rFonts w:eastAsia="黑体"/>
      <w:sz w:val="28"/>
    </w:rPr>
  </w:style>
  <w:style w:type="paragraph" w:customStyle="1" w:styleId="150">
    <w:name w:val="目录 53"/>
    <w:basedOn w:val="1"/>
    <w:next w:val="1"/>
    <w:qFormat/>
    <w:uiPriority w:val="99"/>
    <w:pPr>
      <w:ind w:left="840"/>
    </w:pPr>
    <w:rPr>
      <w:rFonts w:ascii="Calibri" w:hAnsi="Calibri" w:cs="宋体"/>
      <w:color w:val="000000"/>
      <w:szCs w:val="24"/>
    </w:rPr>
  </w:style>
  <w:style w:type="paragraph" w:customStyle="1" w:styleId="151">
    <w:name w:val="报告表正文标注文字"/>
    <w:basedOn w:val="95"/>
    <w:qFormat/>
    <w:uiPriority w:val="0"/>
    <w:pPr>
      <w:ind w:firstLine="482"/>
    </w:pPr>
    <w:rPr>
      <w:rFonts w:ascii="Times New Roman" w:hAnsi="Times New Roman" w:eastAsia="宋体" w:cs="Times New Roman"/>
      <w:b/>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2.bin"/><Relationship Id="rId17" Type="http://schemas.openxmlformats.org/officeDocument/2006/relationships/image" Target="media/image4.emf"/><Relationship Id="rId16" Type="http://schemas.openxmlformats.org/officeDocument/2006/relationships/oleObject" Target="embeddings/oleObject1.bin"/><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36396</Words>
  <Characters>41690</Characters>
  <Lines>331</Lines>
  <Paragraphs>93</Paragraphs>
  <TotalTime>1</TotalTime>
  <ScaleCrop>false</ScaleCrop>
  <LinksUpToDate>false</LinksUpToDate>
  <CharactersWithSpaces>41721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2021-06-01T01:28:00Z</dcterms:created>
  <dc:creator>手写的从前</dc:creator>
  <cp:lastModifiedBy>手写的从前</cp:lastModifiedBy>
  <cp:lastPrinted>2021-07-15T08:13:00Z</cp:lastPrinted>
  <dcterms:modified xsi:type="dcterms:W3CDTF">2024-11-27T03:28:27Z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E3D2179A46C346BEB7267E85471130C1_13</vt:lpwstr>
  </property>
  <property fmtid="{D5CDD505-2E9C-101B-9397-08002B2CF9AE}" pid="4" name="commondata">
    <vt:lpwstr>eyJoZGlkIjoiMzJkMzc3MDBiZTExOWFiNGIwZTMyMTJmMmQwMzFmMzAifQ==</vt:lpwstr>
  </property>
</Properties>
</file>