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371CA">
      <w:pPr>
        <w:keepNext w:val="0"/>
        <w:keepLines w:val="0"/>
        <w:pageBreakBefore w:val="0"/>
        <w:widowControl w:val="0"/>
        <w:kinsoku/>
        <w:wordWrap/>
        <w:overflowPunct w:val="0"/>
        <w:topLinePunct/>
        <w:autoSpaceDE w:val="0"/>
        <w:autoSpaceDN w:val="0"/>
        <w:bidi w:val="0"/>
        <w:adjustRightInd w:val="0"/>
        <w:spacing w:line="590" w:lineRule="exact"/>
        <w:ind w:left="0" w:leftChars="0"/>
        <w:jc w:val="both"/>
        <w:rPr>
          <w:rFonts w:hint="default" w:ascii="Times New Roman" w:hAnsi="Times New Roman" w:eastAsia="方正小标宋_GBK" w:cs="Times New Roman"/>
          <w:b w:val="0"/>
          <w:bCs w:val="0"/>
          <w:sz w:val="44"/>
          <w:szCs w:val="44"/>
          <w:lang w:eastAsia="zh-CN"/>
        </w:rPr>
      </w:pPr>
    </w:p>
    <w:p w14:paraId="090AFB0D">
      <w:pPr>
        <w:pStyle w:val="3"/>
        <w:keepNext w:val="0"/>
        <w:keepLines w:val="0"/>
        <w:pageBreakBefore w:val="0"/>
        <w:widowControl w:val="0"/>
        <w:kinsoku/>
        <w:wordWrap/>
        <w:bidi w:val="0"/>
        <w:spacing w:after="0" w:line="590" w:lineRule="exact"/>
        <w:ind w:left="0" w:leftChars="0"/>
        <w:rPr>
          <w:rFonts w:hint="default" w:ascii="Times New Roman" w:hAnsi="Times New Roman" w:eastAsia="仿宋" w:cs="Times New Roman"/>
          <w:sz w:val="32"/>
          <w:szCs w:val="32"/>
          <w:lang w:eastAsia="zh-CN"/>
        </w:rPr>
      </w:pPr>
    </w:p>
    <w:p w14:paraId="0506C2C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 w:val="0"/>
          <w:bCs/>
          <w:w w:val="90"/>
          <w:sz w:val="44"/>
          <w:szCs w:val="44"/>
          <w:lang w:eastAsia="zh-CN"/>
        </w:rPr>
        <w:t>关于印发《</w:t>
      </w:r>
      <w:r>
        <w:rPr>
          <w:rFonts w:hint="default" w:ascii="Times New Roman" w:hAnsi="Times New Roman" w:eastAsia="方正小标宋_GBK" w:cs="Times New Roman"/>
          <w:sz w:val="44"/>
          <w:szCs w:val="44"/>
        </w:rPr>
        <w:t>宿州经济技术开发区</w:t>
      </w:r>
      <w:r>
        <w:rPr>
          <w:rFonts w:hint="default" w:ascii="Times New Roman" w:hAnsi="Times New Roman" w:eastAsia="方正小标宋_GBK" w:cs="Times New Roman"/>
          <w:sz w:val="44"/>
          <w:szCs w:val="44"/>
          <w:lang w:val="en-US" w:eastAsia="zh-CN"/>
        </w:rPr>
        <w:t>办公室</w:t>
      </w:r>
      <w:r>
        <w:rPr>
          <w:rFonts w:hint="default" w:ascii="Times New Roman" w:hAnsi="Times New Roman" w:eastAsia="方正小标宋_GBK" w:cs="Times New Roman"/>
          <w:sz w:val="44"/>
          <w:szCs w:val="44"/>
        </w:rPr>
        <w:t>关于</w:t>
      </w:r>
    </w:p>
    <w:p w14:paraId="104F68E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b w:val="0"/>
          <w:bCs/>
          <w:w w:val="90"/>
          <w:sz w:val="44"/>
          <w:szCs w:val="44"/>
          <w:lang w:eastAsia="zh-CN"/>
        </w:rPr>
      </w:pPr>
      <w:r>
        <w:rPr>
          <w:rFonts w:hint="default" w:ascii="Times New Roman" w:hAnsi="Times New Roman" w:eastAsia="方正小标宋_GBK" w:cs="Times New Roman"/>
          <w:sz w:val="44"/>
          <w:szCs w:val="44"/>
        </w:rPr>
        <w:t>全面落实“双招双引”工作</w:t>
      </w:r>
      <w:r>
        <w:rPr>
          <w:rFonts w:hint="default" w:ascii="Times New Roman" w:hAnsi="Times New Roman" w:eastAsia="方正小标宋_GBK" w:cs="Times New Roman"/>
          <w:sz w:val="44"/>
          <w:szCs w:val="44"/>
          <w:lang w:val="en-US" w:eastAsia="zh-CN"/>
        </w:rPr>
        <w:t>的</w:t>
      </w:r>
      <w:r>
        <w:rPr>
          <w:rFonts w:hint="default" w:ascii="Times New Roman" w:hAnsi="Times New Roman" w:eastAsia="方正小标宋_GBK" w:cs="Times New Roman"/>
          <w:sz w:val="44"/>
          <w:szCs w:val="44"/>
        </w:rPr>
        <w:t>实施方案</w:t>
      </w:r>
      <w:r>
        <w:rPr>
          <w:rFonts w:hint="default" w:ascii="Times New Roman" w:hAnsi="Times New Roman" w:eastAsia="方正小标宋_GBK" w:cs="Times New Roman"/>
          <w:b w:val="0"/>
          <w:bCs/>
          <w:w w:val="90"/>
          <w:sz w:val="44"/>
          <w:szCs w:val="44"/>
          <w:lang w:eastAsia="zh-CN"/>
        </w:rPr>
        <w:t>》的通知</w:t>
      </w:r>
    </w:p>
    <w:p w14:paraId="24F1CA5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宿开办</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方正仿宋_GBK" w:cs="Times New Roman"/>
          <w:sz w:val="32"/>
          <w:szCs w:val="32"/>
        </w:rPr>
        <w:t>号</w:t>
      </w:r>
    </w:p>
    <w:p w14:paraId="08BBA00C">
      <w:pPr>
        <w:keepNext w:val="0"/>
        <w:keepLines w:val="0"/>
        <w:pageBreakBefore w:val="0"/>
        <w:kinsoku/>
        <w:wordWrap/>
        <w:overflowPunct/>
        <w:topLinePunct w:val="0"/>
        <w:autoSpaceDE/>
        <w:autoSpaceDN/>
        <w:bidi w:val="0"/>
        <w:adjustRightInd/>
        <w:spacing w:line="590" w:lineRule="exact"/>
        <w:jc w:val="both"/>
        <w:textAlignment w:val="auto"/>
        <w:rPr>
          <w:rFonts w:hint="default" w:ascii="Times New Roman" w:hAnsi="Times New Roman" w:eastAsia="方正仿宋_GBK" w:cs="Times New Roman"/>
          <w:sz w:val="32"/>
          <w:szCs w:val="32"/>
          <w:lang w:eastAsia="zh-CN"/>
        </w:rPr>
      </w:pPr>
    </w:p>
    <w:p w14:paraId="5069EF61">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各局、室、中心，新区建投集团公司：</w:t>
      </w:r>
    </w:p>
    <w:p w14:paraId="2526A02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kern w:val="2"/>
          <w:sz w:val="32"/>
          <w:szCs w:val="32"/>
          <w:lang w:val="en-US" w:eastAsia="zh-CN" w:bidi="ar-SA"/>
        </w:rPr>
        <w:t>现将《</w:t>
      </w:r>
      <w:r>
        <w:rPr>
          <w:rFonts w:hint="default" w:ascii="Times New Roman" w:hAnsi="Times New Roman" w:eastAsia="方正仿宋_GBK" w:cs="Times New Roman"/>
          <w:sz w:val="32"/>
          <w:szCs w:val="32"/>
        </w:rPr>
        <w:t>宿州经济技术开发区</w:t>
      </w:r>
      <w:r>
        <w:rPr>
          <w:rFonts w:hint="default" w:ascii="Times New Roman" w:hAnsi="Times New Roman" w:eastAsia="方正仿宋_GBK" w:cs="Times New Roman"/>
          <w:sz w:val="32"/>
          <w:szCs w:val="32"/>
          <w:lang w:val="en-US" w:eastAsia="zh-CN"/>
        </w:rPr>
        <w:t>办公室</w:t>
      </w:r>
      <w:r>
        <w:rPr>
          <w:rFonts w:hint="default" w:ascii="Times New Roman" w:hAnsi="Times New Roman" w:eastAsia="方正仿宋_GBK" w:cs="Times New Roman"/>
          <w:sz w:val="32"/>
          <w:szCs w:val="32"/>
        </w:rPr>
        <w:t>关于全面落实“双招双引”工作</w:t>
      </w:r>
      <w:r>
        <w:rPr>
          <w:rFonts w:hint="default"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rPr>
        <w:t>实施方案</w:t>
      </w:r>
      <w:r>
        <w:rPr>
          <w:rFonts w:hint="default" w:ascii="Times New Roman" w:hAnsi="Times New Roman" w:eastAsia="方正仿宋_GBK" w:cs="Times New Roman"/>
          <w:b w:val="0"/>
          <w:kern w:val="2"/>
          <w:sz w:val="32"/>
          <w:szCs w:val="32"/>
          <w:lang w:val="en-US" w:eastAsia="zh-CN" w:bidi="ar-SA"/>
        </w:rPr>
        <w:t>》</w:t>
      </w:r>
      <w:r>
        <w:rPr>
          <w:rFonts w:hint="default" w:ascii="Times New Roman" w:hAnsi="Times New Roman" w:eastAsia="方正仿宋_GBK" w:cs="Times New Roman"/>
          <w:sz w:val="32"/>
          <w:szCs w:val="32"/>
          <w:lang w:val="en-US" w:eastAsia="zh-CN"/>
        </w:rPr>
        <w:t>印发给你们，请认真遵照执行。</w:t>
      </w:r>
    </w:p>
    <w:p w14:paraId="70A351FF">
      <w:pPr>
        <w:pStyle w:val="2"/>
        <w:keepNext w:val="0"/>
        <w:keepLines w:val="0"/>
        <w:pageBreakBefore w:val="0"/>
        <w:kinsoku/>
        <w:wordWrap/>
        <w:bidi w:val="0"/>
        <w:spacing w:line="590" w:lineRule="exact"/>
        <w:rPr>
          <w:rFonts w:hint="default" w:ascii="Times New Roman" w:hAnsi="Times New Roman" w:eastAsia="方正仿宋_GBK" w:cs="Times New Roman"/>
          <w:sz w:val="32"/>
          <w:szCs w:val="32"/>
          <w:lang w:val="en-US" w:eastAsia="zh-CN"/>
        </w:rPr>
      </w:pPr>
    </w:p>
    <w:p w14:paraId="18114C84">
      <w:pPr>
        <w:pStyle w:val="2"/>
        <w:keepNext w:val="0"/>
        <w:keepLines w:val="0"/>
        <w:pageBreakBefore w:val="0"/>
        <w:kinsoku/>
        <w:wordWrap/>
        <w:bidi w:val="0"/>
        <w:spacing w:line="590" w:lineRule="exact"/>
        <w:rPr>
          <w:rFonts w:hint="default" w:ascii="Times New Roman" w:hAnsi="Times New Roman" w:eastAsia="方正仿宋_GBK" w:cs="Times New Roman"/>
          <w:sz w:val="32"/>
          <w:szCs w:val="32"/>
          <w:lang w:val="en-US" w:eastAsia="zh-CN"/>
        </w:rPr>
      </w:pPr>
    </w:p>
    <w:p w14:paraId="3CA5A931">
      <w:pPr>
        <w:keepNext w:val="0"/>
        <w:keepLines w:val="0"/>
        <w:pageBreakBefore w:val="0"/>
        <w:widowControl w:val="0"/>
        <w:kinsoku/>
        <w:wordWrap/>
        <w:overflowPunct/>
        <w:topLinePunct w:val="0"/>
        <w:autoSpaceDE/>
        <w:autoSpaceDN/>
        <w:bidi w:val="0"/>
        <w:adjustRightInd/>
        <w:snapToGrid/>
        <w:spacing w:line="590" w:lineRule="exact"/>
        <w:ind w:right="420" w:rightChars="200" w:firstLine="0" w:firstLineChars="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宿州经济技术开发区办公室</w:t>
      </w:r>
    </w:p>
    <w:p w14:paraId="3264E60B">
      <w:pPr>
        <w:keepNext w:val="0"/>
        <w:keepLines w:val="0"/>
        <w:pageBreakBefore w:val="0"/>
        <w:widowControl w:val="0"/>
        <w:kinsoku/>
        <w:wordWrap/>
        <w:overflowPunct/>
        <w:topLinePunct w:val="0"/>
        <w:autoSpaceDE/>
        <w:autoSpaceDN/>
        <w:bidi w:val="0"/>
        <w:adjustRightInd/>
        <w:snapToGrid/>
        <w:spacing w:line="590" w:lineRule="exact"/>
        <w:ind w:right="1050" w:rightChars="500"/>
        <w:jc w:val="right"/>
        <w:textAlignment w:val="auto"/>
        <w:rPr>
          <w:rFonts w:hint="default" w:ascii="Times New Roman" w:hAnsi="Times New Roman" w:eastAsia="方正小标宋_GBK" w:cs="Times New Roman"/>
          <w:b w:val="0"/>
          <w:bCs/>
          <w:i w:val="0"/>
          <w:caps w:val="0"/>
          <w:color w:val="333333"/>
          <w:spacing w:val="0"/>
          <w:sz w:val="32"/>
          <w:szCs w:val="32"/>
          <w:shd w:val="clear" w:color="auto" w:fill="FFFFFF"/>
          <w:lang w:val="en-US" w:eastAsia="zh-CN"/>
        </w:rPr>
      </w:pPr>
      <w:r>
        <w:rPr>
          <w:rFonts w:hint="default" w:ascii="Times New Roman" w:hAnsi="Times New Roman" w:eastAsia="仿宋" w:cs="Times New Roman"/>
          <w:sz w:val="32"/>
          <w:szCs w:val="32"/>
          <w:lang w:val="en-US" w:eastAsia="zh-CN"/>
        </w:rPr>
        <w:t xml:space="preserve">                              2021年8月24日</w:t>
      </w:r>
    </w:p>
    <w:p w14:paraId="743603EF">
      <w:pPr>
        <w:keepNext w:val="0"/>
        <w:keepLines w:val="0"/>
        <w:pageBreakBefore w:val="0"/>
        <w:widowControl w:val="0"/>
        <w:kinsoku/>
        <w:wordWrap/>
        <w:overflowPunct w:val="0"/>
        <w:topLinePunct/>
        <w:autoSpaceDE w:val="0"/>
        <w:autoSpaceDN w:val="0"/>
        <w:bidi w:val="0"/>
        <w:adjustRightInd w:val="0"/>
        <w:spacing w:line="590" w:lineRule="exact"/>
        <w:ind w:left="0" w:leftChars="0"/>
        <w:jc w:val="center"/>
        <w:rPr>
          <w:rFonts w:hint="default" w:ascii="Times New Roman" w:hAnsi="Times New Roman" w:eastAsia="仿宋" w:cs="Times New Roman"/>
          <w:b/>
          <w:bCs/>
          <w:sz w:val="32"/>
          <w:szCs w:val="32"/>
        </w:rPr>
      </w:pPr>
    </w:p>
    <w:p w14:paraId="264C115D">
      <w:pPr>
        <w:keepNext w:val="0"/>
        <w:keepLines w:val="0"/>
        <w:pageBreakBefore w:val="0"/>
        <w:widowControl w:val="0"/>
        <w:kinsoku/>
        <w:wordWrap/>
        <w:overflowPunct w:val="0"/>
        <w:topLinePunct/>
        <w:autoSpaceDE w:val="0"/>
        <w:autoSpaceDN w:val="0"/>
        <w:bidi w:val="0"/>
        <w:adjustRightInd w:val="0"/>
        <w:spacing w:line="590" w:lineRule="exact"/>
        <w:ind w:left="0" w:leftChars="0"/>
        <w:jc w:val="both"/>
        <w:rPr>
          <w:rFonts w:hint="default" w:ascii="Times New Roman" w:hAnsi="Times New Roman" w:cs="Times New Roman"/>
          <w:b/>
          <w:bCs/>
          <w:sz w:val="44"/>
          <w:szCs w:val="44"/>
        </w:rPr>
      </w:pPr>
    </w:p>
    <w:p w14:paraId="32845340">
      <w:pPr>
        <w:keepNext w:val="0"/>
        <w:keepLines w:val="0"/>
        <w:pageBreakBefore w:val="0"/>
        <w:widowControl w:val="0"/>
        <w:kinsoku/>
        <w:wordWrap/>
        <w:overflowPunct w:val="0"/>
        <w:topLinePunct/>
        <w:autoSpaceDE w:val="0"/>
        <w:autoSpaceDN w:val="0"/>
        <w:bidi w:val="0"/>
        <w:adjustRightInd w:val="0"/>
        <w:spacing w:line="590" w:lineRule="exact"/>
        <w:ind w:left="0" w:leftChars="0"/>
        <w:jc w:val="center"/>
        <w:rPr>
          <w:rFonts w:hint="default" w:ascii="Times New Roman" w:hAnsi="Times New Roman" w:cs="Times New Roman"/>
          <w:b/>
          <w:bCs/>
          <w:sz w:val="44"/>
          <w:szCs w:val="44"/>
        </w:rPr>
      </w:pPr>
    </w:p>
    <w:p w14:paraId="2C78514A">
      <w:pPr>
        <w:pStyle w:val="3"/>
        <w:keepNext w:val="0"/>
        <w:keepLines w:val="0"/>
        <w:pageBreakBefore w:val="0"/>
        <w:widowControl w:val="0"/>
        <w:kinsoku/>
        <w:wordWrap/>
        <w:bidi w:val="0"/>
        <w:spacing w:after="0" w:line="590" w:lineRule="exact"/>
        <w:ind w:left="0" w:leftChars="0"/>
        <w:rPr>
          <w:rFonts w:hint="default" w:ascii="Times New Roman" w:hAnsi="Times New Roman" w:cs="Times New Roman"/>
          <w:b/>
          <w:bCs/>
          <w:sz w:val="44"/>
          <w:szCs w:val="44"/>
        </w:rPr>
      </w:pPr>
    </w:p>
    <w:p w14:paraId="34FDFD3A">
      <w:pPr>
        <w:pStyle w:val="3"/>
        <w:keepNext w:val="0"/>
        <w:keepLines w:val="0"/>
        <w:pageBreakBefore w:val="0"/>
        <w:widowControl w:val="0"/>
        <w:kinsoku/>
        <w:wordWrap/>
        <w:bidi w:val="0"/>
        <w:spacing w:after="0" w:line="590" w:lineRule="exact"/>
        <w:ind w:left="0" w:leftChars="0"/>
        <w:rPr>
          <w:rFonts w:hint="default" w:ascii="Times New Roman" w:hAnsi="Times New Roman" w:cs="Times New Roman"/>
          <w:b/>
          <w:bCs/>
          <w:sz w:val="44"/>
          <w:szCs w:val="44"/>
        </w:rPr>
      </w:pPr>
      <w:bookmarkStart w:id="0" w:name="_GoBack"/>
      <w:bookmarkEnd w:id="0"/>
    </w:p>
    <w:p w14:paraId="2AFF1F22">
      <w:pPr>
        <w:pStyle w:val="3"/>
        <w:keepNext w:val="0"/>
        <w:keepLines w:val="0"/>
        <w:pageBreakBefore w:val="0"/>
        <w:widowControl w:val="0"/>
        <w:kinsoku/>
        <w:wordWrap/>
        <w:bidi w:val="0"/>
        <w:spacing w:after="0" w:line="590" w:lineRule="exact"/>
        <w:ind w:left="0" w:leftChars="0"/>
        <w:rPr>
          <w:rFonts w:hint="default" w:ascii="Times New Roman" w:hAnsi="Times New Roman" w:cs="Times New Roman"/>
          <w:b/>
          <w:bCs/>
          <w:sz w:val="44"/>
          <w:szCs w:val="44"/>
        </w:rPr>
      </w:pPr>
    </w:p>
    <w:p w14:paraId="4CABC6B3">
      <w:pPr>
        <w:keepNext w:val="0"/>
        <w:keepLines w:val="0"/>
        <w:pageBreakBefore w:val="0"/>
        <w:widowControl w:val="0"/>
        <w:kinsoku/>
        <w:wordWrap/>
        <w:overflowPunct w:val="0"/>
        <w:topLinePunct/>
        <w:autoSpaceDE w:val="0"/>
        <w:autoSpaceDN w:val="0"/>
        <w:bidi w:val="0"/>
        <w:adjustRightInd w:val="0"/>
        <w:spacing w:line="590" w:lineRule="exact"/>
        <w:ind w:left="0" w:leftChars="0"/>
        <w:jc w:val="both"/>
        <w:rPr>
          <w:rFonts w:hint="default" w:ascii="Times New Roman" w:hAnsi="Times New Roman" w:eastAsia="方正小标宋_GBK" w:cs="Times New Roman"/>
          <w:b w:val="0"/>
          <w:bCs w:val="0"/>
          <w:sz w:val="44"/>
          <w:szCs w:val="44"/>
        </w:rPr>
      </w:pPr>
    </w:p>
    <w:p w14:paraId="21964B69">
      <w:pPr>
        <w:keepNext w:val="0"/>
        <w:keepLines w:val="0"/>
        <w:pageBreakBefore w:val="0"/>
        <w:kinsoku/>
        <w:wordWrap/>
        <w:bidi w:val="0"/>
        <w:spacing w:line="590" w:lineRule="exact"/>
        <w:jc w:val="center"/>
        <w:rPr>
          <w:rFonts w:hint="default" w:ascii="Times New Roman" w:hAnsi="Times New Roman" w:eastAsia="方正小标宋_GBK" w:cs="Times New Roman"/>
          <w:sz w:val="44"/>
          <w:szCs w:val="44"/>
        </w:rPr>
      </w:pPr>
    </w:p>
    <w:p w14:paraId="6129D901">
      <w:pPr>
        <w:keepNext w:val="0"/>
        <w:keepLines w:val="0"/>
        <w:pageBreakBefore w:val="0"/>
        <w:kinsoku/>
        <w:wordWrap/>
        <w:bidi w:val="0"/>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宿州经济技术开发区</w:t>
      </w:r>
      <w:r>
        <w:rPr>
          <w:rFonts w:hint="default" w:ascii="Times New Roman" w:hAnsi="Times New Roman" w:eastAsia="方正小标宋_GBK" w:cs="Times New Roman"/>
          <w:sz w:val="44"/>
          <w:szCs w:val="44"/>
          <w:lang w:val="en-US" w:eastAsia="zh-CN"/>
        </w:rPr>
        <w:t>办公室</w:t>
      </w:r>
      <w:r>
        <w:rPr>
          <w:rFonts w:hint="default" w:ascii="Times New Roman" w:hAnsi="Times New Roman" w:eastAsia="方正小标宋_GBK" w:cs="Times New Roman"/>
          <w:sz w:val="44"/>
          <w:szCs w:val="44"/>
        </w:rPr>
        <w:t>关于全面落实</w:t>
      </w:r>
    </w:p>
    <w:p w14:paraId="12E6744A">
      <w:pPr>
        <w:keepNext w:val="0"/>
        <w:keepLines w:val="0"/>
        <w:pageBreakBefore w:val="0"/>
        <w:kinsoku/>
        <w:wordWrap/>
        <w:bidi w:val="0"/>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“双招双引”工作</w:t>
      </w:r>
      <w:r>
        <w:rPr>
          <w:rFonts w:hint="default" w:ascii="Times New Roman" w:hAnsi="Times New Roman" w:eastAsia="方正小标宋_GBK" w:cs="Times New Roman"/>
          <w:sz w:val="44"/>
          <w:szCs w:val="44"/>
          <w:lang w:val="en-US" w:eastAsia="zh-CN"/>
        </w:rPr>
        <w:t>的</w:t>
      </w:r>
      <w:r>
        <w:rPr>
          <w:rFonts w:hint="default" w:ascii="Times New Roman" w:hAnsi="Times New Roman" w:eastAsia="方正小标宋_GBK" w:cs="Times New Roman"/>
          <w:sz w:val="44"/>
          <w:szCs w:val="44"/>
        </w:rPr>
        <w:t>实施方案</w:t>
      </w:r>
    </w:p>
    <w:p w14:paraId="32189277">
      <w:pPr>
        <w:keepNext w:val="0"/>
        <w:keepLines w:val="0"/>
        <w:pageBreakBefore w:val="0"/>
        <w:kinsoku/>
        <w:wordWrap/>
        <w:bidi w:val="0"/>
        <w:spacing w:line="590" w:lineRule="exact"/>
        <w:jc w:val="center"/>
        <w:rPr>
          <w:rFonts w:hint="default" w:ascii="Times New Roman" w:hAnsi="Times New Roman" w:cs="Times New Roman"/>
          <w:sz w:val="32"/>
          <w:szCs w:val="32"/>
          <w:lang w:eastAsia="zh-CN"/>
        </w:rPr>
      </w:pPr>
    </w:p>
    <w:p w14:paraId="35E1B397">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color w:val="000000"/>
          <w:kern w:val="0"/>
          <w:sz w:val="32"/>
          <w:szCs w:val="32"/>
        </w:rPr>
        <w:t>为认真贯彻《宿州市人民政府办公室关于全面推进“双招双引”工作的实施意见》</w:t>
      </w:r>
      <w:r>
        <w:rPr>
          <w:rFonts w:hint="default" w:ascii="Times New Roman" w:hAnsi="Times New Roman" w:eastAsia="方正仿宋_GBK" w:cs="Times New Roman"/>
          <w:bCs/>
          <w:color w:val="000000"/>
          <w:kern w:val="0"/>
          <w:sz w:val="32"/>
          <w:szCs w:val="32"/>
          <w:lang w:eastAsia="zh-CN"/>
        </w:rPr>
        <w:t>及《关于建立重点产业双招双引“链长制”工作推进专班的通知》精神</w:t>
      </w:r>
      <w:r>
        <w:rPr>
          <w:rFonts w:hint="default" w:ascii="Times New Roman" w:hAnsi="Times New Roman" w:eastAsia="方正仿宋_GBK" w:cs="Times New Roman"/>
          <w:bCs/>
          <w:color w:val="000000"/>
          <w:kern w:val="0"/>
          <w:sz w:val="32"/>
          <w:szCs w:val="32"/>
        </w:rPr>
        <w:t>，全面落实市委、市政府关于扩大有效投资、强化科技创新相关要求，发挥好招商引资项目主渠道、招才引智创新源动力作用，切实加快园区“双招双引”工作进程，特制定</w:t>
      </w:r>
      <w:r>
        <w:rPr>
          <w:rFonts w:hint="default" w:ascii="Times New Roman" w:hAnsi="Times New Roman" w:eastAsia="方正仿宋_GBK" w:cs="Times New Roman"/>
          <w:bCs/>
          <w:color w:val="000000"/>
          <w:kern w:val="0"/>
          <w:sz w:val="32"/>
          <w:szCs w:val="32"/>
          <w:lang w:eastAsia="zh-CN"/>
        </w:rPr>
        <w:t>本</w:t>
      </w:r>
      <w:r>
        <w:rPr>
          <w:rFonts w:hint="default" w:ascii="Times New Roman" w:hAnsi="Times New Roman" w:eastAsia="方正仿宋_GBK" w:cs="Times New Roman"/>
          <w:bCs/>
          <w:color w:val="000000"/>
          <w:kern w:val="0"/>
          <w:sz w:val="32"/>
          <w:szCs w:val="32"/>
        </w:rPr>
        <w:t>实施方案。</w:t>
      </w:r>
    </w:p>
    <w:p w14:paraId="64AC09FF">
      <w:pPr>
        <w:keepNext w:val="0"/>
        <w:keepLines w:val="0"/>
        <w:pageBreakBefore w:val="0"/>
        <w:widowControl w:val="0"/>
        <w:numPr>
          <w:ilvl w:val="-1"/>
          <w:numId w:val="0"/>
        </w:numPr>
        <w:kinsoku/>
        <w:wordWrap/>
        <w:autoSpaceDE/>
        <w:autoSpaceDN/>
        <w:bidi w:val="0"/>
        <w:snapToGrid/>
        <w:spacing w:line="590"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一、</w:t>
      </w:r>
      <w:r>
        <w:rPr>
          <w:rFonts w:hint="default" w:ascii="Times New Roman" w:hAnsi="Times New Roman" w:eastAsia="方正黑体_GBK" w:cs="Times New Roman"/>
          <w:sz w:val="32"/>
          <w:szCs w:val="32"/>
        </w:rPr>
        <w:t>目标任务</w:t>
      </w:r>
    </w:p>
    <w:p w14:paraId="23F870F9">
      <w:pPr>
        <w:keepNext w:val="0"/>
        <w:keepLines w:val="0"/>
        <w:pageBreakBefore w:val="0"/>
        <w:widowControl w:val="0"/>
        <w:kinsoku/>
        <w:wordWrap/>
        <w:autoSpaceDE/>
        <w:autoSpaceDN/>
        <w:bidi w:val="0"/>
        <w:snapToGrid/>
        <w:spacing w:line="590" w:lineRule="exact"/>
        <w:ind w:firstLine="640" w:firstLineChars="200"/>
        <w:textAlignment w:val="auto"/>
        <w:rPr>
          <w:rFonts w:hint="default" w:ascii="Times New Roman" w:hAnsi="Times New Roman" w:eastAsia="仿宋" w:cs="Times New Roman"/>
          <w:bCs/>
          <w:color w:val="000000"/>
          <w:kern w:val="0"/>
          <w:sz w:val="32"/>
          <w:szCs w:val="32"/>
        </w:rPr>
      </w:pPr>
      <w:r>
        <w:rPr>
          <w:rFonts w:hint="default" w:ascii="Times New Roman" w:hAnsi="Times New Roman" w:eastAsia="方正仿宋_GBK" w:cs="Times New Roman"/>
          <w:bCs/>
          <w:color w:val="000000"/>
          <w:kern w:val="0"/>
          <w:sz w:val="32"/>
          <w:szCs w:val="32"/>
        </w:rPr>
        <w:t>2021年，经开区实际利用内资年均增长10%以上、实际利用省外亿元以上项目投资年均增长12%以上，实际利用外资结构进一步优化；新招引亿元以上项目25个以上，其中10亿元以上项目2个以上</w:t>
      </w:r>
      <w:r>
        <w:rPr>
          <w:rFonts w:hint="default" w:ascii="Times New Roman" w:hAnsi="Times New Roman" w:eastAsia="方正仿宋_GBK" w:cs="Times New Roman"/>
          <w:bCs/>
          <w:color w:val="000000"/>
          <w:kern w:val="0"/>
          <w:sz w:val="32"/>
          <w:szCs w:val="32"/>
          <w:lang w:eastAsia="zh-CN"/>
        </w:rPr>
        <w:t>；新建工业、服务业项目45个以上，其中独立供地的工业项目投资规模需达到5000万以上；非独立供地工业项目（入驻标准化厂房、闲置厂房等项目）固定资产投资达到1000万以上。</w:t>
      </w:r>
      <w:r>
        <w:rPr>
          <w:rFonts w:hint="default" w:ascii="Times New Roman" w:hAnsi="Times New Roman" w:eastAsia="方正仿宋_GBK" w:cs="Times New Roman"/>
          <w:bCs/>
          <w:color w:val="000000"/>
          <w:kern w:val="0"/>
          <w:sz w:val="32"/>
          <w:szCs w:val="32"/>
        </w:rPr>
        <w:t>组建省级工程技术研究中心</w:t>
      </w:r>
      <w:r>
        <w:rPr>
          <w:rFonts w:hint="default" w:ascii="Times New Roman" w:hAnsi="Times New Roman" w:eastAsia="方正仿宋_GBK" w:cs="Times New Roman"/>
          <w:bCs/>
          <w:color w:val="000000"/>
          <w:kern w:val="0"/>
          <w:sz w:val="32"/>
          <w:szCs w:val="32"/>
          <w:lang w:eastAsia="zh-CN"/>
        </w:rPr>
        <w:t>或</w:t>
      </w:r>
      <w:r>
        <w:rPr>
          <w:rFonts w:hint="default" w:ascii="Times New Roman" w:hAnsi="Times New Roman" w:eastAsia="方正仿宋_GBK" w:cs="Times New Roman"/>
          <w:bCs/>
          <w:color w:val="000000"/>
          <w:kern w:val="0"/>
          <w:sz w:val="32"/>
          <w:szCs w:val="32"/>
        </w:rPr>
        <w:t>新型研发机构、</w:t>
      </w:r>
      <w:r>
        <w:rPr>
          <w:rFonts w:hint="default" w:ascii="Times New Roman" w:hAnsi="Times New Roman" w:eastAsia="方正仿宋_GBK" w:cs="Times New Roman"/>
          <w:bCs/>
          <w:color w:val="000000"/>
          <w:kern w:val="0"/>
          <w:sz w:val="32"/>
          <w:szCs w:val="32"/>
          <w:lang w:eastAsia="zh-CN"/>
        </w:rPr>
        <w:t>博士后工作站、</w:t>
      </w:r>
      <w:r>
        <w:rPr>
          <w:rFonts w:hint="default" w:ascii="Times New Roman" w:hAnsi="Times New Roman" w:eastAsia="方正仿宋_GBK" w:cs="Times New Roman"/>
          <w:bCs/>
          <w:color w:val="000000"/>
          <w:kern w:val="0"/>
          <w:sz w:val="32"/>
          <w:szCs w:val="32"/>
        </w:rPr>
        <w:t>重点实验室和企业技术中心</w:t>
      </w:r>
      <w:r>
        <w:rPr>
          <w:rFonts w:hint="default" w:ascii="Times New Roman" w:hAnsi="Times New Roman" w:eastAsia="方正仿宋_GBK" w:cs="Times New Roman"/>
          <w:bCs/>
          <w:color w:val="000000"/>
          <w:kern w:val="0"/>
          <w:sz w:val="32"/>
          <w:szCs w:val="32"/>
          <w:lang w:val="en-US" w:eastAsia="zh-CN"/>
        </w:rPr>
        <w:t>1个，</w:t>
      </w:r>
      <w:r>
        <w:rPr>
          <w:rFonts w:hint="default" w:ascii="Times New Roman" w:hAnsi="Times New Roman" w:eastAsia="方正仿宋_GBK" w:cs="Times New Roman"/>
          <w:bCs/>
          <w:color w:val="000000"/>
          <w:kern w:val="0"/>
          <w:sz w:val="32"/>
          <w:szCs w:val="32"/>
        </w:rPr>
        <w:t>扶持科技人才团队2个。</w:t>
      </w:r>
    </w:p>
    <w:p w14:paraId="23CAACBB">
      <w:pPr>
        <w:keepNext w:val="0"/>
        <w:keepLines w:val="0"/>
        <w:pageBreakBefore w:val="0"/>
        <w:widowControl w:val="0"/>
        <w:numPr>
          <w:ilvl w:val="-1"/>
          <w:numId w:val="0"/>
        </w:numPr>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二、</w:t>
      </w:r>
      <w:r>
        <w:rPr>
          <w:rFonts w:hint="default" w:ascii="Times New Roman" w:hAnsi="Times New Roman" w:eastAsia="方正黑体_GBK" w:cs="Times New Roman"/>
          <w:sz w:val="32"/>
          <w:szCs w:val="32"/>
        </w:rPr>
        <w:t>工作举措</w:t>
      </w:r>
    </w:p>
    <w:p w14:paraId="4C27DB4B">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bCs/>
          <w:color w:val="000000"/>
          <w:sz w:val="32"/>
          <w:szCs w:val="32"/>
        </w:rPr>
      </w:pPr>
      <w:r>
        <w:rPr>
          <w:rFonts w:hint="default" w:ascii="Times New Roman" w:hAnsi="Times New Roman" w:eastAsia="方正楷体_GBK" w:cs="Times New Roman"/>
          <w:color w:val="000000"/>
          <w:sz w:val="32"/>
          <w:szCs w:val="32"/>
        </w:rPr>
        <w:t>（一）聚焦主导产业，锁定细分领域</w:t>
      </w:r>
    </w:p>
    <w:p w14:paraId="204539B2">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依托杭州火石研究院</w:t>
      </w:r>
      <w:r>
        <w:rPr>
          <w:rFonts w:hint="default" w:ascii="Times New Roman" w:hAnsi="Times New Roman" w:eastAsia="方正仿宋_GBK" w:cs="Times New Roman"/>
          <w:bCs/>
          <w:color w:val="000000"/>
          <w:kern w:val="0"/>
          <w:sz w:val="32"/>
          <w:szCs w:val="32"/>
          <w:lang w:eastAsia="zh-CN"/>
        </w:rPr>
        <w:t>、石油和化学工业规划院</w:t>
      </w:r>
      <w:r>
        <w:rPr>
          <w:rFonts w:hint="default" w:ascii="Times New Roman" w:hAnsi="Times New Roman" w:eastAsia="方正仿宋_GBK" w:cs="Times New Roman"/>
          <w:bCs/>
          <w:color w:val="000000"/>
          <w:kern w:val="0"/>
          <w:sz w:val="32"/>
          <w:szCs w:val="32"/>
        </w:rPr>
        <w:t>等第三方平台，编制主导产业招商路线图</w:t>
      </w:r>
      <w:r>
        <w:rPr>
          <w:rFonts w:hint="default" w:ascii="Times New Roman" w:hAnsi="Times New Roman"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rPr>
        <w:t>有针对性的选择细分领域，精准制定重点招商目标企业清单，打造主导产业投资洼地。围绕产业链招商，</w:t>
      </w:r>
      <w:r>
        <w:rPr>
          <w:rFonts w:hint="default" w:ascii="Times New Roman" w:hAnsi="Times New Roman" w:eastAsia="方正仿宋_GBK" w:cs="Times New Roman"/>
          <w:bCs/>
          <w:color w:val="000000"/>
          <w:kern w:val="0"/>
          <w:sz w:val="32"/>
          <w:szCs w:val="32"/>
          <w:lang w:eastAsia="zh-CN"/>
        </w:rPr>
        <w:t>编制“1+2”主导产业鱼骨图，</w:t>
      </w:r>
      <w:r>
        <w:rPr>
          <w:rFonts w:hint="default" w:ascii="Times New Roman" w:hAnsi="Times New Roman" w:eastAsia="方正仿宋_GBK" w:cs="Times New Roman"/>
          <w:bCs/>
          <w:color w:val="000000"/>
          <w:kern w:val="0"/>
          <w:sz w:val="32"/>
          <w:szCs w:val="32"/>
        </w:rPr>
        <w:t>既聚焦招大引强，盯紧龙头企业，也量力而行，引进一批成长性好、附加值高的中小企业，做大产业规模，培育特色企业。</w:t>
      </w:r>
    </w:p>
    <w:p w14:paraId="3F91F85A">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（二）健全重点产业招引机制</w:t>
      </w:r>
    </w:p>
    <w:p w14:paraId="1A35CFC2">
      <w:pPr>
        <w:keepNext w:val="0"/>
        <w:keepLines w:val="0"/>
        <w:pageBreakBefore w:val="0"/>
        <w:widowControl w:val="0"/>
        <w:kinsoku/>
        <w:wordWrap/>
        <w:autoSpaceDE/>
        <w:autoSpaceDN/>
        <w:bidi w:val="0"/>
        <w:snapToGrid/>
        <w:spacing w:line="590" w:lineRule="exact"/>
        <w:ind w:firstLine="643" w:firstLineChars="200"/>
        <w:jc w:val="both"/>
        <w:textAlignment w:val="auto"/>
        <w:rPr>
          <w:rFonts w:hint="default" w:ascii="Times New Roman" w:hAnsi="Times New Roman" w:eastAsia="方正仿宋_GBK" w:cs="Times New Roman"/>
          <w:bCs/>
          <w:color w:val="000000"/>
          <w:kern w:val="0"/>
          <w:sz w:val="32"/>
          <w:szCs w:val="32"/>
          <w:lang w:val="en-US" w:eastAsia="zh-CN"/>
        </w:rPr>
      </w:pPr>
      <w:r>
        <w:rPr>
          <w:rFonts w:hint="default" w:ascii="Times New Roman" w:hAnsi="Times New Roman" w:eastAsia="方正仿宋_GBK" w:cs="Times New Roman"/>
          <w:b/>
          <w:sz w:val="32"/>
          <w:szCs w:val="32"/>
        </w:rPr>
        <w:t>1.实施</w:t>
      </w:r>
      <w:r>
        <w:rPr>
          <w:rFonts w:hint="default" w:ascii="Times New Roman" w:hAnsi="Times New Roman" w:eastAsia="方正仿宋_GBK" w:cs="Times New Roman"/>
          <w:b/>
          <w:color w:val="000000"/>
          <w:sz w:val="32"/>
          <w:szCs w:val="32"/>
        </w:rPr>
        <w:t>重点项目招引落地包保机制。</w:t>
      </w:r>
      <w:r>
        <w:rPr>
          <w:rFonts w:hint="default" w:ascii="Times New Roman" w:hAnsi="Times New Roman" w:eastAsia="方正仿宋_GBK" w:cs="Times New Roman"/>
          <w:bCs/>
          <w:color w:val="000000"/>
          <w:kern w:val="0"/>
          <w:sz w:val="32"/>
          <w:szCs w:val="32"/>
        </w:rPr>
        <w:t>按照“五个一”工作机制要求，聚焦园区主导产业招商</w:t>
      </w:r>
      <w:r>
        <w:rPr>
          <w:rFonts w:hint="default" w:ascii="Times New Roman" w:hAnsi="Times New Roman" w:eastAsia="方正仿宋_GBK" w:cs="Times New Roman"/>
          <w:bCs/>
          <w:i w:val="0"/>
          <w:iCs w:val="0"/>
          <w:caps w:val="0"/>
          <w:color w:val="000000"/>
          <w:spacing w:val="0"/>
          <w:kern w:val="0"/>
          <w:sz w:val="32"/>
          <w:szCs w:val="32"/>
          <w:shd w:val="clear"/>
          <w:lang w:eastAsia="zh-CN"/>
        </w:rPr>
        <w:t>。</w:t>
      </w:r>
      <w:r>
        <w:rPr>
          <w:rFonts w:hint="default" w:ascii="Times New Roman" w:hAnsi="Times New Roman" w:eastAsia="方正仿宋_GBK" w:cs="Times New Roman"/>
          <w:bCs/>
          <w:color w:val="000000"/>
          <w:kern w:val="0"/>
          <w:sz w:val="32"/>
          <w:szCs w:val="32"/>
        </w:rPr>
        <w:t>班子成员</w:t>
      </w:r>
      <w:r>
        <w:rPr>
          <w:rFonts w:hint="default" w:ascii="Times New Roman" w:hAnsi="Times New Roman" w:eastAsia="方正仿宋_GBK" w:cs="Times New Roman"/>
          <w:bCs/>
          <w:color w:val="000000"/>
          <w:kern w:val="0"/>
          <w:sz w:val="32"/>
          <w:szCs w:val="32"/>
          <w:lang w:eastAsia="zh-CN"/>
        </w:rPr>
        <w:t>根据分工</w:t>
      </w:r>
      <w:r>
        <w:rPr>
          <w:rFonts w:hint="default" w:ascii="Times New Roman" w:hAnsi="Times New Roman" w:eastAsia="方正仿宋_GBK" w:cs="Times New Roman"/>
          <w:bCs/>
          <w:color w:val="000000"/>
          <w:kern w:val="0"/>
          <w:sz w:val="32"/>
          <w:szCs w:val="32"/>
        </w:rPr>
        <w:t>抽调工作人员，</w:t>
      </w:r>
      <w:r>
        <w:rPr>
          <w:rFonts w:hint="default" w:ascii="Times New Roman" w:hAnsi="Times New Roman" w:eastAsia="方正仿宋_GBK" w:cs="Times New Roman"/>
          <w:bCs/>
          <w:color w:val="000000"/>
          <w:kern w:val="0"/>
          <w:sz w:val="32"/>
          <w:szCs w:val="32"/>
          <w:lang w:eastAsia="zh-CN"/>
        </w:rPr>
        <w:t>组建重点产业双招双引“链长制”工作推进专班</w:t>
      </w:r>
      <w:r>
        <w:rPr>
          <w:rFonts w:hint="default" w:ascii="Times New Roman" w:hAnsi="Times New Roman" w:eastAsia="方正仿宋_GBK" w:cs="Times New Roman"/>
          <w:bCs/>
          <w:color w:val="000000"/>
          <w:kern w:val="0"/>
          <w:sz w:val="32"/>
          <w:szCs w:val="32"/>
        </w:rPr>
        <w:t>，全程协调解决项目</w:t>
      </w:r>
      <w:r>
        <w:rPr>
          <w:rFonts w:hint="default" w:ascii="Times New Roman" w:hAnsi="Times New Roman" w:eastAsia="方正仿宋_GBK" w:cs="Times New Roman"/>
          <w:bCs/>
          <w:color w:val="000000"/>
          <w:kern w:val="0"/>
          <w:sz w:val="32"/>
          <w:szCs w:val="32"/>
          <w:lang w:eastAsia="zh-CN"/>
        </w:rPr>
        <w:t>建设中</w:t>
      </w:r>
      <w:r>
        <w:rPr>
          <w:rFonts w:hint="default" w:ascii="Times New Roman" w:hAnsi="Times New Roman" w:eastAsia="方正仿宋_GBK" w:cs="Times New Roman"/>
          <w:bCs/>
          <w:color w:val="000000"/>
          <w:kern w:val="0"/>
          <w:sz w:val="32"/>
          <w:szCs w:val="32"/>
        </w:rPr>
        <w:t>遇到的问题，</w:t>
      </w:r>
      <w:r>
        <w:rPr>
          <w:rFonts w:hint="default" w:ascii="Times New Roman" w:hAnsi="Times New Roman" w:eastAsia="方正仿宋_GBK" w:cs="Times New Roman"/>
          <w:bCs/>
          <w:color w:val="000000"/>
          <w:kern w:val="0"/>
          <w:sz w:val="32"/>
          <w:szCs w:val="32"/>
          <w:lang w:eastAsia="zh-CN"/>
        </w:rPr>
        <w:t>优化项目入区流程，</w:t>
      </w:r>
      <w:r>
        <w:rPr>
          <w:rFonts w:hint="default" w:ascii="Times New Roman" w:hAnsi="Times New Roman" w:eastAsia="方正仿宋_GBK" w:cs="Times New Roman"/>
          <w:bCs/>
          <w:color w:val="000000"/>
          <w:kern w:val="0"/>
          <w:sz w:val="32"/>
          <w:szCs w:val="32"/>
        </w:rPr>
        <w:t>提高项目落地成功率</w:t>
      </w:r>
      <w:r>
        <w:rPr>
          <w:rFonts w:hint="default" w:ascii="Times New Roman" w:hAnsi="Times New Roman" w:eastAsia="方正仿宋_GBK" w:cs="Times New Roman"/>
          <w:bCs/>
          <w:color w:val="000000"/>
          <w:kern w:val="0"/>
          <w:sz w:val="32"/>
          <w:szCs w:val="32"/>
          <w:lang w:eastAsia="zh-CN"/>
        </w:rPr>
        <w:t>（详见附件</w:t>
      </w:r>
      <w:r>
        <w:rPr>
          <w:rFonts w:hint="default" w:ascii="Times New Roman" w:hAnsi="Times New Roman" w:eastAsia="方正仿宋_GBK" w:cs="Times New Roman"/>
          <w:bCs/>
          <w:color w:val="000000"/>
          <w:kern w:val="0"/>
          <w:sz w:val="32"/>
          <w:szCs w:val="32"/>
          <w:lang w:val="en-US" w:eastAsia="zh-CN"/>
        </w:rPr>
        <w:t>1）</w:t>
      </w:r>
      <w:r>
        <w:rPr>
          <w:rFonts w:hint="default" w:ascii="Times New Roman" w:hAnsi="Times New Roman" w:eastAsia="方正仿宋_GBK" w:cs="Times New Roman"/>
          <w:bCs/>
          <w:color w:val="000000"/>
          <w:kern w:val="0"/>
          <w:sz w:val="32"/>
          <w:szCs w:val="32"/>
        </w:rPr>
        <w:t>。</w:t>
      </w:r>
    </w:p>
    <w:p w14:paraId="7FCB3952">
      <w:pPr>
        <w:keepNext w:val="0"/>
        <w:keepLines w:val="0"/>
        <w:pageBreakBefore w:val="0"/>
        <w:widowControl w:val="0"/>
        <w:kinsoku/>
        <w:wordWrap/>
        <w:autoSpaceDE/>
        <w:autoSpaceDN/>
        <w:bidi w:val="0"/>
        <w:snapToGrid/>
        <w:spacing w:line="590" w:lineRule="exact"/>
        <w:ind w:firstLine="643" w:firstLineChars="200"/>
        <w:jc w:val="both"/>
        <w:textAlignment w:val="auto"/>
        <w:rPr>
          <w:rFonts w:hint="default" w:ascii="Times New Roman" w:hAnsi="Times New Roman" w:eastAsia="方正仿宋_GBK" w:cs="Times New Roman"/>
          <w:bCs/>
          <w:color w:val="000000"/>
          <w:kern w:val="0"/>
          <w:sz w:val="32"/>
          <w:szCs w:val="32"/>
          <w:shd w:val="clear"/>
        </w:rPr>
      </w:pPr>
      <w:r>
        <w:rPr>
          <w:rFonts w:hint="default" w:ascii="Times New Roman" w:hAnsi="Times New Roman" w:eastAsia="方正仿宋_GBK" w:cs="Times New Roman"/>
          <w:b/>
          <w:sz w:val="32"/>
          <w:szCs w:val="32"/>
          <w:shd w:val="clear"/>
        </w:rPr>
        <w:t>2.完善重点项目调度机制。</w:t>
      </w:r>
      <w:r>
        <w:rPr>
          <w:rFonts w:hint="default" w:ascii="Times New Roman" w:hAnsi="Times New Roman" w:eastAsia="方正仿宋_GBK" w:cs="Times New Roman"/>
          <w:bCs/>
          <w:color w:val="000000"/>
          <w:kern w:val="0"/>
          <w:sz w:val="32"/>
          <w:szCs w:val="32"/>
          <w:shd w:val="clear"/>
        </w:rPr>
        <w:t>加强招商引资重点项目储备库建设，建立《经开区招商引资重点项目跟踪清单》《经开区招商引资重点项目签约清单》；对于亿元以上工业项目及时建档立卡、重点调度。落实</w:t>
      </w:r>
      <w:r>
        <w:rPr>
          <w:rFonts w:hint="default" w:ascii="Times New Roman" w:hAnsi="Times New Roman" w:eastAsia="方正仿宋_GBK" w:cs="Times New Roman"/>
          <w:bCs/>
          <w:color w:val="000000"/>
          <w:kern w:val="0"/>
          <w:sz w:val="32"/>
          <w:szCs w:val="32"/>
          <w:shd w:val="clear"/>
          <w:lang w:eastAsia="zh-CN"/>
        </w:rPr>
        <w:t>经开区</w:t>
      </w:r>
      <w:r>
        <w:rPr>
          <w:rFonts w:hint="default" w:ascii="Times New Roman" w:hAnsi="Times New Roman" w:eastAsia="方正仿宋_GBK" w:cs="Times New Roman"/>
          <w:bCs/>
          <w:color w:val="000000"/>
          <w:kern w:val="0"/>
          <w:sz w:val="32"/>
          <w:szCs w:val="32"/>
          <w:shd w:val="clear"/>
        </w:rPr>
        <w:t>重点项目建设调度会议制度、首招负责制、交办督办制等制度，由营商环境局</w:t>
      </w:r>
      <w:r>
        <w:rPr>
          <w:rFonts w:hint="default" w:ascii="Times New Roman" w:hAnsi="Times New Roman" w:eastAsia="方正仿宋_GBK" w:cs="Times New Roman"/>
          <w:bCs/>
          <w:color w:val="000000"/>
          <w:kern w:val="0"/>
          <w:sz w:val="32"/>
          <w:szCs w:val="32"/>
          <w:shd w:val="clear"/>
          <w:lang w:eastAsia="zh-CN"/>
        </w:rPr>
        <w:t>会同相关职能</w:t>
      </w:r>
      <w:r>
        <w:rPr>
          <w:rFonts w:hint="default" w:ascii="Times New Roman" w:hAnsi="Times New Roman" w:eastAsia="方正仿宋_GBK" w:cs="Times New Roman"/>
          <w:bCs/>
          <w:color w:val="000000"/>
          <w:kern w:val="0"/>
          <w:sz w:val="32"/>
          <w:szCs w:val="32"/>
          <w:shd w:val="clear"/>
        </w:rPr>
        <w:t>部门，结合“四送一服”，持续开展企业走访回访、跟踪服务、督查调度等工作，帮助投资企业解决落地、经营等各环节的问题，加速项目</w:t>
      </w:r>
      <w:r>
        <w:rPr>
          <w:rFonts w:hint="default" w:ascii="Times New Roman" w:hAnsi="Times New Roman" w:eastAsia="方正仿宋_GBK" w:cs="Times New Roman"/>
          <w:bCs/>
          <w:color w:val="000000"/>
          <w:kern w:val="0"/>
          <w:sz w:val="32"/>
          <w:szCs w:val="32"/>
          <w:shd w:val="clear"/>
          <w:lang w:eastAsia="zh-CN"/>
        </w:rPr>
        <w:t>投产达效</w:t>
      </w:r>
      <w:r>
        <w:rPr>
          <w:rFonts w:hint="default" w:ascii="Times New Roman" w:hAnsi="Times New Roman" w:eastAsia="方正仿宋_GBK" w:cs="Times New Roman"/>
          <w:bCs/>
          <w:color w:val="000000"/>
          <w:kern w:val="0"/>
          <w:sz w:val="32"/>
          <w:szCs w:val="32"/>
          <w:shd w:val="clear"/>
        </w:rPr>
        <w:t>。</w:t>
      </w:r>
    </w:p>
    <w:p w14:paraId="51B08DCD">
      <w:pPr>
        <w:keepNext w:val="0"/>
        <w:keepLines w:val="0"/>
        <w:pageBreakBefore w:val="0"/>
        <w:widowControl w:val="0"/>
        <w:kinsoku/>
        <w:wordWrap/>
        <w:autoSpaceDE/>
        <w:autoSpaceDN/>
        <w:bidi w:val="0"/>
        <w:snapToGrid/>
        <w:spacing w:line="590" w:lineRule="exact"/>
        <w:ind w:firstLine="643" w:firstLineChars="200"/>
        <w:jc w:val="both"/>
        <w:textAlignment w:val="auto"/>
        <w:rPr>
          <w:rFonts w:hint="default" w:ascii="Times New Roman" w:hAnsi="Times New Roman" w:eastAsia="方正仿宋_GBK" w:cs="Times New Roman"/>
          <w:bCs/>
          <w:color w:val="000000"/>
          <w:kern w:val="0"/>
          <w:sz w:val="32"/>
          <w:szCs w:val="32"/>
          <w:shd w:val="clear"/>
        </w:rPr>
      </w:pPr>
      <w:r>
        <w:rPr>
          <w:rFonts w:hint="default" w:ascii="Times New Roman" w:hAnsi="Times New Roman" w:eastAsia="方正仿宋_GBK" w:cs="Times New Roman"/>
          <w:b/>
          <w:sz w:val="32"/>
          <w:szCs w:val="32"/>
          <w:shd w:val="clear"/>
        </w:rPr>
        <w:t>3.提高要素保障能力。</w:t>
      </w:r>
      <w:r>
        <w:rPr>
          <w:rFonts w:hint="default" w:ascii="Times New Roman" w:hAnsi="Times New Roman" w:eastAsia="方正仿宋_GBK" w:cs="Times New Roman"/>
          <w:bCs/>
          <w:color w:val="000000"/>
          <w:kern w:val="0"/>
          <w:sz w:val="32"/>
          <w:szCs w:val="32"/>
          <w:shd w:val="clear"/>
        </w:rPr>
        <w:t>一是积极争取计划内指标，同时在现有财力基础上，通过增减挂分批解决土地指标难题，每年争取解决土地指标不低于500亩</w:t>
      </w:r>
      <w:r>
        <w:rPr>
          <w:rFonts w:hint="default" w:ascii="Times New Roman" w:hAnsi="Times New Roman" w:eastAsia="方正仿宋_GBK" w:cs="Times New Roman"/>
          <w:bCs/>
          <w:color w:val="000000"/>
          <w:kern w:val="0"/>
          <w:sz w:val="32"/>
          <w:szCs w:val="32"/>
          <w:shd w:val="clear"/>
          <w:lang w:val="en-US" w:eastAsia="zh-CN"/>
        </w:rPr>
        <w:t>，</w:t>
      </w:r>
      <w:r>
        <w:rPr>
          <w:rFonts w:hint="default" w:ascii="Times New Roman" w:hAnsi="Times New Roman" w:eastAsia="方正仿宋_GBK" w:cs="Times New Roman"/>
          <w:bCs/>
          <w:color w:val="000000"/>
          <w:kern w:val="0"/>
          <w:sz w:val="32"/>
          <w:szCs w:val="32"/>
          <w:shd w:val="clear"/>
        </w:rPr>
        <w:t>对投资超过5亿元的招商项目，争取纳入省重点项目库，保障项目用地指标；二是主动盘活土地存量，在现有低效企业中</w:t>
      </w:r>
      <w:r>
        <w:rPr>
          <w:rFonts w:hint="default" w:ascii="Times New Roman" w:hAnsi="Times New Roman" w:eastAsia="方正仿宋_GBK" w:cs="Times New Roman"/>
          <w:bCs/>
          <w:color w:val="000000"/>
          <w:kern w:val="0"/>
          <w:sz w:val="32"/>
          <w:szCs w:val="32"/>
          <w:shd w:val="clear"/>
          <w:lang w:eastAsia="zh-CN"/>
        </w:rPr>
        <w:t>依法</w:t>
      </w:r>
      <w:r>
        <w:rPr>
          <w:rFonts w:hint="default" w:ascii="Times New Roman" w:hAnsi="Times New Roman" w:eastAsia="方正仿宋_GBK" w:cs="Times New Roman"/>
          <w:bCs/>
          <w:color w:val="000000"/>
          <w:kern w:val="0"/>
          <w:sz w:val="32"/>
          <w:szCs w:val="32"/>
          <w:shd w:val="clear"/>
        </w:rPr>
        <w:t>淘汰一批、倒逼提升一批、兼并重组一批，加快退出落后低效产能，为招商引资腾笼换鸟；三是有针对性成立3至4个规模1亿元的主导产业专项基金，重点支持优质项目落地；四是加快完善园区基础设施配套，超前布局水电路气暖等配套设施和公共信息、物流等企业服务平台，提升综合承载力，优化外来投资者投资、生活环境。</w:t>
      </w:r>
    </w:p>
    <w:p w14:paraId="59148685">
      <w:pPr>
        <w:pStyle w:val="11"/>
        <w:keepNext w:val="0"/>
        <w:keepLines w:val="0"/>
        <w:pageBreakBefore w:val="0"/>
        <w:widowControl w:val="0"/>
        <w:kinsoku/>
        <w:wordWrap/>
        <w:autoSpaceDE/>
        <w:autoSpaceDN/>
        <w:bidi w:val="0"/>
        <w:snapToGrid/>
        <w:spacing w:before="0" w:line="590" w:lineRule="exact"/>
        <w:ind w:firstLine="643" w:firstLineChars="200"/>
        <w:textAlignment w:val="auto"/>
        <w:rPr>
          <w:rFonts w:hint="default" w:ascii="Times New Roman" w:hAnsi="Times New Roman" w:eastAsia="方正仿宋_GBK" w:cs="Times New Roman"/>
          <w:bCs/>
          <w:color w:val="000000"/>
          <w:kern w:val="0"/>
          <w:sz w:val="32"/>
          <w:szCs w:val="32"/>
          <w:shd w:val="clear"/>
          <w:lang w:eastAsia="zh-CN"/>
        </w:rPr>
      </w:pPr>
      <w:r>
        <w:rPr>
          <w:rFonts w:hint="default" w:ascii="Times New Roman" w:hAnsi="Times New Roman" w:eastAsia="方正仿宋_GBK" w:cs="Times New Roman"/>
          <w:b/>
          <w:sz w:val="32"/>
          <w:szCs w:val="32"/>
          <w:shd w:val="clear"/>
          <w:lang w:eastAsia="zh-CN"/>
        </w:rPr>
        <w:t>4.提高招商队伍专业化水平。</w:t>
      </w:r>
      <w:r>
        <w:rPr>
          <w:rFonts w:hint="default" w:ascii="Times New Roman" w:hAnsi="Times New Roman" w:eastAsia="方正仿宋_GBK" w:cs="Times New Roman"/>
          <w:bCs/>
          <w:color w:val="000000"/>
          <w:kern w:val="0"/>
          <w:sz w:val="32"/>
          <w:szCs w:val="32"/>
          <w:shd w:val="clear"/>
          <w:lang w:eastAsia="zh-CN"/>
        </w:rPr>
        <w:t>一是对标重点产业方向，组建专业招商分局。其中招商一局重点招引生命健康产业；招商二局、五局重点招引高端装备制造业；招商三局重点招引新能源产业；招商四局重点招引新材料产业。分局之间相互推荐线索并成功签约的项目，在考核时，该项目给予推荐分局和被推荐分局各占50%计算；二是强化学习培训，组织招商人员，不定期开展“招商小课堂”系列培训，增强招商实战能力；三是聘请熟悉生物医药、新材料等产业的专业人员，充实招商队伍，增强队伍活力</w:t>
      </w:r>
      <w:r>
        <w:rPr>
          <w:rFonts w:hint="default" w:ascii="Times New Roman" w:hAnsi="Times New Roman"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shd w:val="clear"/>
          <w:lang w:eastAsia="zh-CN"/>
        </w:rPr>
        <w:t>选派优秀招商干部赴沪苏浙合作共建园区挂职锻炼，将招商窗口前移，在一线锻炼队伍；四是引入专家资源，继续落实《宿州经开区招商引资项目专家评审暂行办法》，在招商时邀请外聘专家参与项目考察、评审，</w:t>
      </w:r>
      <w:r>
        <w:rPr>
          <w:rFonts w:hint="default" w:ascii="Times New Roman" w:hAnsi="Times New Roman" w:eastAsia="方正仿宋_GBK" w:cs="Times New Roman"/>
          <w:bCs/>
          <w:color w:val="000000"/>
          <w:kern w:val="0"/>
          <w:sz w:val="32"/>
          <w:szCs w:val="32"/>
          <w:lang w:eastAsia="zh-CN"/>
        </w:rPr>
        <w:t>从源头上把好项目准入关；五是</w:t>
      </w:r>
      <w:r>
        <w:rPr>
          <w:rFonts w:hint="default" w:ascii="Times New Roman" w:hAnsi="Times New Roman" w:eastAsia="方正仿宋_GBK" w:cs="Times New Roman"/>
          <w:bCs/>
          <w:color w:val="000000"/>
          <w:kern w:val="0"/>
          <w:sz w:val="32"/>
          <w:szCs w:val="32"/>
          <w:shd w:val="clear"/>
          <w:lang w:eastAsia="zh-CN"/>
        </w:rPr>
        <w:t>在全国范围内聘请20名“双招双引”工作顾问，为园区发展献计献策，推荐项目，并根据工作实绩，适当给予奖励。</w:t>
      </w:r>
    </w:p>
    <w:p w14:paraId="32DD91A3">
      <w:pPr>
        <w:keepNext w:val="0"/>
        <w:keepLines w:val="0"/>
        <w:pageBreakBefore w:val="0"/>
        <w:widowControl w:val="0"/>
        <w:kinsoku/>
        <w:wordWrap/>
        <w:autoSpaceDE/>
        <w:autoSpaceDN/>
        <w:bidi w:val="0"/>
        <w:snapToGrid/>
        <w:spacing w:line="590" w:lineRule="exact"/>
        <w:ind w:firstLine="643" w:firstLineChars="200"/>
        <w:textAlignment w:val="auto"/>
        <w:rPr>
          <w:rFonts w:hint="default" w:ascii="Times New Roman" w:hAnsi="Times New Roman" w:eastAsia="方正仿宋_GBK" w:cs="Times New Roman"/>
          <w:bCs/>
          <w:color w:val="000000"/>
          <w:kern w:val="0"/>
          <w:sz w:val="32"/>
          <w:szCs w:val="32"/>
          <w:shd w:val="clear"/>
        </w:rPr>
      </w:pPr>
      <w:r>
        <w:rPr>
          <w:rFonts w:hint="default" w:ascii="Times New Roman" w:hAnsi="Times New Roman" w:eastAsia="方正仿宋_GBK" w:cs="Times New Roman"/>
          <w:b/>
          <w:sz w:val="32"/>
          <w:szCs w:val="32"/>
          <w:shd w:val="clear"/>
        </w:rPr>
        <w:t>5.落实招商引荐奖惩机制。</w:t>
      </w:r>
      <w:r>
        <w:rPr>
          <w:rFonts w:hint="default" w:ascii="Times New Roman" w:hAnsi="Times New Roman" w:eastAsia="方正仿宋_GBK" w:cs="Times New Roman"/>
          <w:bCs/>
          <w:color w:val="000000"/>
          <w:kern w:val="0"/>
          <w:sz w:val="32"/>
          <w:szCs w:val="32"/>
          <w:shd w:val="clear"/>
        </w:rPr>
        <w:t>一是对个人或</w:t>
      </w:r>
      <w:r>
        <w:rPr>
          <w:rFonts w:hint="default" w:ascii="Times New Roman" w:hAnsi="Times New Roman" w:eastAsia="方正仿宋_GBK" w:cs="Times New Roman"/>
          <w:bCs/>
          <w:color w:val="000000"/>
          <w:kern w:val="0"/>
          <w:sz w:val="32"/>
          <w:szCs w:val="32"/>
          <w:shd w:val="clear"/>
          <w:lang w:eastAsia="zh-CN"/>
        </w:rPr>
        <w:t>单位</w:t>
      </w:r>
      <w:r>
        <w:rPr>
          <w:rFonts w:hint="default" w:ascii="Times New Roman" w:hAnsi="Times New Roman" w:eastAsia="方正仿宋_GBK" w:cs="Times New Roman"/>
          <w:bCs/>
          <w:color w:val="000000"/>
          <w:kern w:val="0"/>
          <w:sz w:val="32"/>
          <w:szCs w:val="32"/>
          <w:shd w:val="clear"/>
        </w:rPr>
        <w:t>提供投资信息，全程参与并促进投资成功的，在项目建成投产后</w:t>
      </w:r>
      <w:r>
        <w:rPr>
          <w:rFonts w:hint="default" w:ascii="Times New Roman" w:hAnsi="Times New Roman" w:eastAsia="方正仿宋_GBK" w:cs="Times New Roman"/>
          <w:bCs/>
          <w:color w:val="000000"/>
          <w:kern w:val="0"/>
          <w:sz w:val="32"/>
          <w:szCs w:val="32"/>
          <w:shd w:val="clear"/>
          <w:lang w:eastAsia="zh-CN"/>
        </w:rPr>
        <w:t>，</w:t>
      </w:r>
      <w:r>
        <w:rPr>
          <w:rFonts w:hint="default" w:ascii="Times New Roman" w:hAnsi="Times New Roman" w:eastAsia="方正仿宋_GBK" w:cs="Times New Roman"/>
          <w:bCs/>
          <w:color w:val="000000"/>
          <w:kern w:val="0"/>
          <w:sz w:val="32"/>
          <w:szCs w:val="32"/>
          <w:shd w:val="clear"/>
        </w:rPr>
        <w:t>经考核审定，按照项目实际固定资产投资额和第一年度实现税收的奖励标准给予奖励；二是</w:t>
      </w:r>
      <w:r>
        <w:rPr>
          <w:rFonts w:hint="default" w:ascii="Times New Roman" w:hAnsi="Times New Roman" w:eastAsia="方正仿宋_GBK" w:cs="Times New Roman"/>
          <w:bCs/>
          <w:color w:val="000000"/>
          <w:kern w:val="0"/>
          <w:sz w:val="32"/>
          <w:szCs w:val="32"/>
          <w:shd w:val="clear"/>
          <w:lang w:eastAsia="zh-CN"/>
        </w:rPr>
        <w:t>对</w:t>
      </w:r>
      <w:r>
        <w:rPr>
          <w:rFonts w:hint="default" w:ascii="Times New Roman" w:hAnsi="Times New Roman" w:eastAsia="方正仿宋_GBK" w:cs="Times New Roman"/>
          <w:bCs/>
          <w:color w:val="000000"/>
          <w:kern w:val="0"/>
          <w:sz w:val="32"/>
          <w:szCs w:val="32"/>
          <w:shd w:val="clear"/>
        </w:rPr>
        <w:t>经开区各部门</w:t>
      </w:r>
      <w:r>
        <w:rPr>
          <w:rFonts w:hint="default" w:ascii="Times New Roman" w:hAnsi="Times New Roman" w:eastAsia="方正仿宋_GBK" w:cs="Times New Roman"/>
          <w:bCs/>
          <w:color w:val="000000"/>
          <w:kern w:val="0"/>
          <w:sz w:val="32"/>
          <w:szCs w:val="32"/>
          <w:shd w:val="clear"/>
          <w:lang w:eastAsia="zh-CN"/>
        </w:rPr>
        <w:t>人员（招商专职</w:t>
      </w:r>
      <w:r>
        <w:rPr>
          <w:rFonts w:hint="default" w:ascii="Times New Roman" w:hAnsi="Times New Roman" w:eastAsia="方正仿宋_GBK" w:cs="Times New Roman"/>
          <w:bCs/>
          <w:color w:val="000000"/>
          <w:kern w:val="0"/>
          <w:sz w:val="32"/>
          <w:szCs w:val="32"/>
          <w:shd w:val="clear"/>
        </w:rPr>
        <w:t>人员</w:t>
      </w:r>
      <w:r>
        <w:rPr>
          <w:rFonts w:hint="default" w:ascii="Times New Roman" w:hAnsi="Times New Roman" w:eastAsia="方正仿宋_GBK" w:cs="Times New Roman"/>
          <w:bCs/>
          <w:color w:val="000000"/>
          <w:kern w:val="0"/>
          <w:sz w:val="32"/>
          <w:szCs w:val="32"/>
          <w:shd w:val="clear"/>
          <w:lang w:eastAsia="zh-CN"/>
        </w:rPr>
        <w:t>除外）</w:t>
      </w:r>
      <w:r>
        <w:rPr>
          <w:rFonts w:hint="default" w:ascii="Times New Roman" w:hAnsi="Times New Roman" w:eastAsia="方正仿宋_GBK" w:cs="Times New Roman"/>
          <w:bCs/>
          <w:color w:val="000000"/>
          <w:kern w:val="0"/>
          <w:sz w:val="32"/>
          <w:szCs w:val="32"/>
          <w:shd w:val="clear"/>
        </w:rPr>
        <w:t>积极提供</w:t>
      </w:r>
      <w:r>
        <w:rPr>
          <w:rFonts w:hint="default" w:ascii="Times New Roman" w:hAnsi="Times New Roman" w:eastAsia="方正仿宋_GBK" w:cs="Times New Roman"/>
          <w:bCs/>
          <w:color w:val="000000"/>
          <w:kern w:val="0"/>
          <w:sz w:val="32"/>
          <w:szCs w:val="32"/>
          <w:shd w:val="clear"/>
          <w:lang w:eastAsia="zh-CN"/>
        </w:rPr>
        <w:t>有价值</w:t>
      </w:r>
      <w:r>
        <w:rPr>
          <w:rFonts w:hint="default" w:ascii="Times New Roman" w:hAnsi="Times New Roman" w:eastAsia="方正仿宋_GBK" w:cs="Times New Roman"/>
          <w:bCs/>
          <w:color w:val="000000"/>
          <w:kern w:val="0"/>
          <w:sz w:val="32"/>
          <w:szCs w:val="32"/>
          <w:shd w:val="clear"/>
        </w:rPr>
        <w:t>招商线索，</w:t>
      </w:r>
      <w:r>
        <w:rPr>
          <w:rFonts w:hint="default" w:ascii="Times New Roman" w:hAnsi="Times New Roman" w:eastAsia="方正仿宋_GBK" w:cs="Times New Roman"/>
          <w:bCs/>
          <w:color w:val="000000"/>
          <w:kern w:val="0"/>
          <w:sz w:val="32"/>
          <w:szCs w:val="32"/>
          <w:shd w:val="clear"/>
          <w:lang w:eastAsia="zh-CN"/>
        </w:rPr>
        <w:t>为项目招引做出贡献的，经招商局认定后给予每个项目</w:t>
      </w:r>
      <w:r>
        <w:rPr>
          <w:rFonts w:hint="default" w:ascii="Times New Roman" w:hAnsi="Times New Roman" w:eastAsia="方正仿宋_GBK" w:cs="Times New Roman"/>
          <w:bCs/>
          <w:color w:val="000000"/>
          <w:kern w:val="0"/>
          <w:sz w:val="32"/>
          <w:szCs w:val="32"/>
          <w:shd w:val="clear"/>
          <w:lang w:val="en-US" w:eastAsia="zh-CN"/>
        </w:rPr>
        <w:t>1000元奖励。</w:t>
      </w:r>
      <w:r>
        <w:rPr>
          <w:rFonts w:hint="default" w:ascii="Times New Roman" w:hAnsi="Times New Roman" w:eastAsia="方正仿宋_GBK" w:cs="Times New Roman"/>
          <w:bCs/>
          <w:color w:val="000000"/>
          <w:kern w:val="0"/>
          <w:sz w:val="32"/>
          <w:szCs w:val="32"/>
          <w:shd w:val="clear"/>
        </w:rPr>
        <w:t>三是评选招商引资年度先进个人，对招商引资工作做出贡献的管委会内设部门</w:t>
      </w:r>
      <w:r>
        <w:rPr>
          <w:rFonts w:hint="default" w:ascii="Times New Roman" w:hAnsi="Times New Roman" w:eastAsia="方正仿宋_GBK" w:cs="Times New Roman"/>
          <w:bCs/>
          <w:color w:val="000000"/>
          <w:kern w:val="0"/>
          <w:sz w:val="32"/>
          <w:szCs w:val="32"/>
          <w:shd w:val="clear"/>
          <w:lang w:eastAsia="zh-CN"/>
        </w:rPr>
        <w:t>和</w:t>
      </w:r>
      <w:r>
        <w:rPr>
          <w:rFonts w:hint="default" w:ascii="Times New Roman" w:hAnsi="Times New Roman" w:eastAsia="方正仿宋_GBK" w:cs="Times New Roman"/>
          <w:bCs/>
          <w:color w:val="000000"/>
          <w:kern w:val="0"/>
          <w:sz w:val="32"/>
          <w:szCs w:val="32"/>
          <w:shd w:val="clear"/>
        </w:rPr>
        <w:t>职工，进行通报表扬和奖励；四是</w:t>
      </w:r>
      <w:r>
        <w:rPr>
          <w:rFonts w:hint="default" w:ascii="Times New Roman" w:hAnsi="Times New Roman" w:eastAsia="方正仿宋_GBK" w:cs="Times New Roman"/>
          <w:bCs/>
          <w:color w:val="000000"/>
          <w:kern w:val="0"/>
          <w:sz w:val="32"/>
          <w:szCs w:val="32"/>
          <w:shd w:val="clear"/>
          <w:lang w:eastAsia="zh-CN"/>
        </w:rPr>
        <w:t>参考年度</w:t>
      </w:r>
      <w:r>
        <w:rPr>
          <w:rFonts w:hint="default" w:ascii="Times New Roman" w:hAnsi="Times New Roman" w:eastAsia="方正仿宋_GBK" w:cs="Times New Roman"/>
          <w:bCs/>
          <w:color w:val="000000"/>
          <w:kern w:val="0"/>
          <w:sz w:val="32"/>
          <w:szCs w:val="32"/>
          <w:shd w:val="clear"/>
        </w:rPr>
        <w:t>绩效考核结果，动态调整招商队伍，推行能者上弱者下的竞争机制。</w:t>
      </w:r>
    </w:p>
    <w:p w14:paraId="1CAA1A1C">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（三）深化园区合作共建，加快承接重点区域产业转移</w:t>
      </w:r>
    </w:p>
    <w:p w14:paraId="240B19C4">
      <w:pPr>
        <w:pStyle w:val="11"/>
        <w:keepNext w:val="0"/>
        <w:keepLines w:val="0"/>
        <w:pageBreakBefore w:val="0"/>
        <w:widowControl w:val="0"/>
        <w:kinsoku/>
        <w:wordWrap/>
        <w:autoSpaceDE/>
        <w:autoSpaceDN/>
        <w:bidi w:val="0"/>
        <w:snapToGrid/>
        <w:spacing w:before="0" w:line="590" w:lineRule="exact"/>
        <w:ind w:firstLine="640" w:firstLineChars="200"/>
        <w:textAlignment w:val="auto"/>
        <w:rPr>
          <w:rFonts w:hint="default" w:ascii="Times New Roman" w:hAnsi="Times New Roman" w:eastAsia="方正仿宋_GBK" w:cs="Times New Roman"/>
          <w:bCs/>
          <w:color w:val="000000"/>
          <w:kern w:val="0"/>
          <w:sz w:val="32"/>
          <w:szCs w:val="32"/>
          <w:lang w:eastAsia="zh-CN"/>
        </w:rPr>
      </w:pPr>
      <w:r>
        <w:rPr>
          <w:rFonts w:hint="default" w:ascii="Times New Roman" w:hAnsi="Times New Roman" w:eastAsia="方正仿宋_GBK" w:cs="Times New Roman"/>
          <w:bCs/>
          <w:color w:val="000000"/>
          <w:kern w:val="0"/>
          <w:sz w:val="32"/>
          <w:szCs w:val="32"/>
          <w:shd w:val="clear"/>
          <w:lang w:eastAsia="zh-CN"/>
        </w:rPr>
        <w:t>持续推进聚焦长三角地区定向招商引资，继续深化同南京栖霞高新区等园区的合作共建。探索飞地园区、</w:t>
      </w:r>
      <w:r>
        <w:rPr>
          <w:rFonts w:hint="default" w:ascii="Times New Roman" w:hAnsi="Times New Roman" w:eastAsia="方正仿宋_GBK" w:cs="Times New Roman"/>
          <w:bCs/>
          <w:color w:val="000000"/>
          <w:kern w:val="0"/>
          <w:sz w:val="32"/>
          <w:szCs w:val="32"/>
          <w:lang w:eastAsia="zh-CN"/>
        </w:rPr>
        <w:t>税收利益分享等成本分担和利益共享机制，</w:t>
      </w:r>
      <w:r>
        <w:rPr>
          <w:rFonts w:hint="default" w:ascii="Times New Roman" w:hAnsi="Times New Roman" w:eastAsia="方正仿宋_GBK" w:cs="Times New Roman"/>
          <w:bCs/>
          <w:color w:val="000000"/>
          <w:kern w:val="0"/>
          <w:sz w:val="32"/>
          <w:szCs w:val="32"/>
          <w:shd w:val="clear"/>
          <w:lang w:eastAsia="zh-CN"/>
        </w:rPr>
        <w:t>打通产业有序转移与精准承接通道。对于沪苏浙转移进入经开区的优质项目，采取“一事一议”、“一企一策”方式给予倾斜政策配套。</w:t>
      </w:r>
    </w:p>
    <w:p w14:paraId="5A08908B">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（四）创新招商引资路径</w:t>
      </w:r>
    </w:p>
    <w:p w14:paraId="6B46169E">
      <w:pPr>
        <w:keepNext w:val="0"/>
        <w:keepLines w:val="0"/>
        <w:pageBreakBefore w:val="0"/>
        <w:widowControl w:val="0"/>
        <w:kinsoku/>
        <w:wordWrap/>
        <w:autoSpaceDE/>
        <w:autoSpaceDN/>
        <w:bidi w:val="0"/>
        <w:snapToGrid/>
        <w:spacing w:line="590" w:lineRule="exact"/>
        <w:ind w:firstLine="643" w:firstLineChars="200"/>
        <w:textAlignment w:val="auto"/>
        <w:rPr>
          <w:rFonts w:hint="default" w:ascii="Times New Roman" w:hAnsi="Times New Roman" w:eastAsia="方正仿宋_GBK" w:cs="Times New Roman"/>
          <w:bCs/>
          <w:color w:val="000000"/>
          <w:kern w:val="0"/>
          <w:sz w:val="32"/>
          <w:szCs w:val="32"/>
          <w:shd w:val="clear"/>
        </w:rPr>
      </w:pPr>
      <w:r>
        <w:rPr>
          <w:rFonts w:hint="default" w:ascii="Times New Roman" w:hAnsi="Times New Roman" w:eastAsia="方正仿宋_GBK" w:cs="Times New Roman"/>
          <w:b/>
          <w:sz w:val="32"/>
          <w:szCs w:val="32"/>
          <w:shd w:val="clear"/>
        </w:rPr>
        <w:t>1.集中开展招商引资系列活动，实施经开区“项目集中攻坚年”行动。</w:t>
      </w:r>
      <w:r>
        <w:rPr>
          <w:rFonts w:hint="default" w:ascii="Times New Roman" w:hAnsi="Times New Roman" w:eastAsia="方正仿宋_GBK" w:cs="Times New Roman"/>
          <w:bCs/>
          <w:color w:val="000000"/>
          <w:kern w:val="0"/>
          <w:sz w:val="32"/>
          <w:szCs w:val="32"/>
          <w:shd w:val="clear"/>
        </w:rPr>
        <w:t>一是领导带头外出招商。管委会班子成员要结合分管工作，落实“</w:t>
      </w:r>
      <w:r>
        <w:rPr>
          <w:rFonts w:hint="default" w:ascii="Times New Roman" w:hAnsi="Times New Roman" w:eastAsia="方正仿宋_GBK" w:cs="Times New Roman"/>
          <w:bCs/>
          <w:color w:val="000000"/>
          <w:kern w:val="0"/>
          <w:sz w:val="32"/>
          <w:szCs w:val="32"/>
          <w:shd w:val="clear"/>
          <w:lang w:val="en-US" w:eastAsia="zh-CN"/>
        </w:rPr>
        <w:t>链长</w:t>
      </w:r>
      <w:r>
        <w:rPr>
          <w:rFonts w:hint="default" w:ascii="Times New Roman" w:hAnsi="Times New Roman" w:eastAsia="方正仿宋_GBK" w:cs="Times New Roman"/>
          <w:bCs/>
          <w:color w:val="000000"/>
          <w:kern w:val="0"/>
          <w:sz w:val="32"/>
          <w:szCs w:val="32"/>
          <w:shd w:val="clear"/>
        </w:rPr>
        <w:t>”责任制，围绕产业链</w:t>
      </w:r>
      <w:r>
        <w:rPr>
          <w:rFonts w:hint="default" w:ascii="Times New Roman" w:hAnsi="Times New Roman" w:eastAsia="方正仿宋_GBK" w:cs="Times New Roman"/>
          <w:bCs/>
          <w:color w:val="000000"/>
          <w:kern w:val="0"/>
          <w:sz w:val="32"/>
          <w:szCs w:val="32"/>
          <w:shd w:val="clear"/>
          <w:lang w:eastAsia="zh-CN"/>
        </w:rPr>
        <w:t>分工，</w:t>
      </w:r>
      <w:r>
        <w:rPr>
          <w:rFonts w:hint="default" w:ascii="Times New Roman" w:hAnsi="Times New Roman" w:eastAsia="方正仿宋_GBK" w:cs="Times New Roman"/>
          <w:bCs/>
          <w:color w:val="000000"/>
          <w:kern w:val="0"/>
          <w:sz w:val="32"/>
          <w:szCs w:val="32"/>
          <w:shd w:val="clear"/>
        </w:rPr>
        <w:t>梳理链条企业清单、招商引资对象清单、创新平台清单等，列出时间表、路线图</w:t>
      </w:r>
      <w:r>
        <w:rPr>
          <w:rFonts w:hint="default" w:ascii="Times New Roman" w:hAnsi="Times New Roman" w:eastAsia="方正仿宋_GBK" w:cs="Times New Roman"/>
          <w:bCs/>
          <w:color w:val="000000"/>
          <w:kern w:val="0"/>
          <w:sz w:val="32"/>
          <w:szCs w:val="32"/>
          <w:shd w:val="clear"/>
          <w:lang w:eastAsia="zh-CN"/>
        </w:rPr>
        <w:t>，</w:t>
      </w:r>
      <w:r>
        <w:rPr>
          <w:rFonts w:hint="default" w:ascii="Times New Roman" w:hAnsi="Times New Roman" w:eastAsia="方正仿宋_GBK" w:cs="Times New Roman"/>
          <w:bCs/>
          <w:color w:val="000000"/>
          <w:kern w:val="0"/>
          <w:sz w:val="32"/>
          <w:szCs w:val="32"/>
          <w:shd w:val="clear"/>
        </w:rPr>
        <w:t>主动</w:t>
      </w:r>
      <w:r>
        <w:rPr>
          <w:rFonts w:hint="default" w:ascii="Times New Roman" w:hAnsi="Times New Roman" w:eastAsia="方正仿宋_GBK" w:cs="Times New Roman"/>
          <w:bCs/>
          <w:color w:val="000000"/>
          <w:kern w:val="0"/>
          <w:sz w:val="32"/>
          <w:szCs w:val="32"/>
          <w:shd w:val="clear"/>
          <w:lang w:eastAsia="zh-CN"/>
        </w:rPr>
        <w:t>对接行业协会、研究机构、商会，开展</w:t>
      </w:r>
      <w:r>
        <w:rPr>
          <w:rFonts w:hint="default" w:ascii="Times New Roman" w:hAnsi="Times New Roman" w:eastAsia="方正仿宋_GBK" w:cs="Times New Roman"/>
          <w:bCs/>
          <w:color w:val="000000"/>
          <w:kern w:val="0"/>
          <w:sz w:val="32"/>
          <w:szCs w:val="32"/>
          <w:shd w:val="clear"/>
        </w:rPr>
        <w:t>外出招商。园区主要领导、分管领导每月外出招商不少于2次，其他班子成员每月不少于1次；二是继续坚持驻外招商。加强项目线索的摸排，根据产业招商地图，挖掘招商线索，每个分局至少保证每月10天以上时间在外招商；三是注重活动招商。积极参加中国汽车工程</w:t>
      </w:r>
      <w:r>
        <w:rPr>
          <w:rFonts w:hint="default" w:ascii="Times New Roman" w:hAnsi="Times New Roman" w:eastAsia="方正仿宋_GBK" w:cs="Times New Roman"/>
          <w:bCs/>
          <w:color w:val="000000"/>
          <w:kern w:val="0"/>
          <w:sz w:val="32"/>
          <w:szCs w:val="32"/>
          <w:shd w:val="clear"/>
          <w:lang w:eastAsia="zh-CN"/>
        </w:rPr>
        <w:t>学</w:t>
      </w:r>
      <w:r>
        <w:rPr>
          <w:rFonts w:hint="default" w:ascii="Times New Roman" w:hAnsi="Times New Roman" w:eastAsia="方正仿宋_GBK" w:cs="Times New Roman"/>
          <w:bCs/>
          <w:color w:val="000000"/>
          <w:kern w:val="0"/>
          <w:sz w:val="32"/>
          <w:szCs w:val="32"/>
          <w:shd w:val="clear"/>
        </w:rPr>
        <w:t>会、安徽省医药协会、南京仙谷研究院、药融圈等行业平台举办的绿色原料药发展、医药大健康、汽车零配件等产业发展论坛、行业峰会，拓展项目来源；四是强化推介招商。策划招商推介、产业对接活动，扩大园区影响力和知名度，每季度至少举办一次招商推介活动；五是推进委托招商。持续推进与德晟律所、</w:t>
      </w:r>
      <w:r>
        <w:rPr>
          <w:rFonts w:hint="default" w:ascii="Times New Roman" w:hAnsi="Times New Roman" w:eastAsia="方正仿宋_GBK" w:cs="Times New Roman"/>
          <w:bCs/>
          <w:color w:val="000000"/>
          <w:kern w:val="0"/>
          <w:sz w:val="32"/>
          <w:szCs w:val="32"/>
          <w:shd w:val="clear"/>
          <w:lang w:eastAsia="zh-CN"/>
        </w:rPr>
        <w:t>杭州火石</w:t>
      </w:r>
      <w:r>
        <w:rPr>
          <w:rFonts w:hint="default" w:ascii="Times New Roman" w:hAnsi="Times New Roman" w:eastAsia="方正仿宋_GBK" w:cs="Times New Roman"/>
          <w:bCs/>
          <w:color w:val="000000"/>
          <w:kern w:val="0"/>
          <w:sz w:val="32"/>
          <w:szCs w:val="32"/>
          <w:shd w:val="clear"/>
        </w:rPr>
        <w:t>等专业机构的委托招商，继续聘请业内专家、企业家或行业协会</w:t>
      </w:r>
      <w:r>
        <w:rPr>
          <w:rFonts w:hint="default" w:ascii="Times New Roman" w:hAnsi="Times New Roman" w:eastAsia="方正仿宋_GBK" w:cs="Times New Roman"/>
          <w:bCs/>
          <w:color w:val="000000"/>
          <w:kern w:val="0"/>
          <w:sz w:val="32"/>
          <w:szCs w:val="32"/>
          <w:shd w:val="clear"/>
          <w:lang w:eastAsia="zh-CN"/>
        </w:rPr>
        <w:t>负责人</w:t>
      </w:r>
      <w:r>
        <w:rPr>
          <w:rFonts w:hint="default" w:ascii="Times New Roman" w:hAnsi="Times New Roman" w:eastAsia="方正仿宋_GBK" w:cs="Times New Roman"/>
          <w:bCs/>
          <w:color w:val="000000"/>
          <w:kern w:val="0"/>
          <w:sz w:val="32"/>
          <w:szCs w:val="32"/>
          <w:shd w:val="clear"/>
        </w:rPr>
        <w:t>为经开区的招商顾问，规范招商顾问运作机制</w:t>
      </w:r>
      <w:r>
        <w:rPr>
          <w:rFonts w:hint="default" w:ascii="Times New Roman" w:hAnsi="Times New Roman" w:eastAsia="方正仿宋_GBK" w:cs="Times New Roman"/>
          <w:bCs/>
          <w:color w:val="000000"/>
          <w:kern w:val="0"/>
          <w:sz w:val="32"/>
          <w:szCs w:val="32"/>
          <w:shd w:val="clear"/>
          <w:lang w:eastAsia="zh-CN"/>
        </w:rPr>
        <w:t>，完善</w:t>
      </w:r>
      <w:r>
        <w:rPr>
          <w:rFonts w:hint="default" w:ascii="Times New Roman" w:hAnsi="Times New Roman" w:eastAsia="方正仿宋_GBK" w:cs="Times New Roman"/>
          <w:bCs/>
          <w:color w:val="000000"/>
          <w:kern w:val="0"/>
          <w:sz w:val="32"/>
          <w:szCs w:val="32"/>
          <w:shd w:val="clear"/>
        </w:rPr>
        <w:t>中介招商奖励政策，</w:t>
      </w:r>
      <w:r>
        <w:rPr>
          <w:rFonts w:hint="default" w:ascii="Times New Roman" w:hAnsi="Times New Roman" w:eastAsia="方正仿宋_GBK" w:cs="Times New Roman"/>
          <w:bCs/>
          <w:color w:val="000000"/>
          <w:kern w:val="0"/>
          <w:sz w:val="32"/>
          <w:szCs w:val="32"/>
          <w:shd w:val="clear"/>
          <w:lang w:eastAsia="zh-CN"/>
        </w:rPr>
        <w:t>探索</w:t>
      </w:r>
      <w:r>
        <w:rPr>
          <w:rFonts w:hint="default" w:ascii="Times New Roman" w:hAnsi="Times New Roman" w:eastAsia="方正仿宋_GBK" w:cs="Times New Roman"/>
          <w:bCs/>
          <w:color w:val="000000"/>
          <w:kern w:val="0"/>
          <w:sz w:val="32"/>
          <w:szCs w:val="32"/>
          <w:shd w:val="clear"/>
        </w:rPr>
        <w:t>实施绩效考核。</w:t>
      </w:r>
    </w:p>
    <w:p w14:paraId="729610DF">
      <w:pPr>
        <w:pStyle w:val="11"/>
        <w:keepNext w:val="0"/>
        <w:keepLines w:val="0"/>
        <w:pageBreakBefore w:val="0"/>
        <w:widowControl w:val="0"/>
        <w:kinsoku/>
        <w:wordWrap/>
        <w:autoSpaceDE/>
        <w:autoSpaceDN/>
        <w:bidi w:val="0"/>
        <w:snapToGrid/>
        <w:spacing w:before="0" w:line="590" w:lineRule="exact"/>
        <w:ind w:firstLine="643" w:firstLineChars="200"/>
        <w:textAlignment w:val="auto"/>
        <w:rPr>
          <w:rFonts w:hint="default" w:ascii="Times New Roman" w:hAnsi="Times New Roman" w:eastAsia="方正仿宋_GBK" w:cs="Times New Roman"/>
          <w:bCs/>
          <w:color w:val="000000"/>
          <w:kern w:val="0"/>
          <w:sz w:val="32"/>
          <w:szCs w:val="32"/>
          <w:shd w:val="clear"/>
          <w:lang w:eastAsia="zh-CN"/>
        </w:rPr>
      </w:pPr>
      <w:r>
        <w:rPr>
          <w:rFonts w:hint="default" w:ascii="Times New Roman" w:hAnsi="Times New Roman" w:eastAsia="方正仿宋_GBK" w:cs="Times New Roman"/>
          <w:b/>
          <w:sz w:val="32"/>
          <w:szCs w:val="32"/>
          <w:shd w:val="clear"/>
          <w:lang w:eastAsia="zh-CN"/>
        </w:rPr>
        <w:t>2.修订招商引资扶持政策。</w:t>
      </w:r>
      <w:r>
        <w:rPr>
          <w:rFonts w:hint="default" w:ascii="Times New Roman" w:hAnsi="Times New Roman" w:eastAsia="方正仿宋_GBK" w:cs="Times New Roman"/>
          <w:bCs/>
          <w:color w:val="000000"/>
          <w:kern w:val="0"/>
          <w:sz w:val="32"/>
          <w:szCs w:val="32"/>
          <w:shd w:val="clear"/>
          <w:lang w:eastAsia="zh-CN"/>
        </w:rPr>
        <w:t>梳理园区现有招商引资政策，借鉴发达地区与周边园区的先进做法，树立“亩产论英雄”的理念，按照产业分类、固定资产投资强度、亩均税收贡献度等分类、分档修订扶持政策。对于符合园区主导产业、投资体量大、亩均贡献度高的项目要适当放宽政策，一事一议，提高招商政策的精准度与吸引力。</w:t>
      </w:r>
    </w:p>
    <w:p w14:paraId="06DF2BD6">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（五）聚焦招才引智，深化产学研合作</w:t>
      </w:r>
    </w:p>
    <w:p w14:paraId="3D9C48F6">
      <w:pPr>
        <w:keepNext w:val="0"/>
        <w:keepLines w:val="0"/>
        <w:pageBreakBefore w:val="0"/>
        <w:widowControl w:val="0"/>
        <w:kinsoku/>
        <w:wordWrap/>
        <w:autoSpaceDE/>
        <w:autoSpaceDN/>
        <w:bidi w:val="0"/>
        <w:snapToGrid/>
        <w:spacing w:line="590" w:lineRule="exact"/>
        <w:ind w:firstLine="643"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方正仿宋_GBK" w:cs="Times New Roman"/>
          <w:b/>
          <w:sz w:val="32"/>
          <w:szCs w:val="32"/>
          <w:shd w:val="clear"/>
        </w:rPr>
        <w:t>1.大力引进领军人才。</w:t>
      </w:r>
      <w:r>
        <w:rPr>
          <w:rFonts w:hint="default" w:ascii="Times New Roman" w:hAnsi="Times New Roman" w:eastAsia="方正仿宋_GBK" w:cs="Times New Roman"/>
          <w:bCs/>
          <w:color w:val="000000"/>
          <w:kern w:val="0"/>
          <w:sz w:val="32"/>
          <w:szCs w:val="32"/>
          <w:shd w:val="clear"/>
        </w:rPr>
        <w:t>围绕主导产业领域人才需求，高位推动招才引智，每年集中开展1至2次人才招引活动。对引进的特需人才及其科研团队，在经开区创办科技型企业，给予科研经费资助。加快推进与中科大先研院、武汉理工大学等院校合作，以电子氧肺项目、</w:t>
      </w:r>
      <w:r>
        <w:rPr>
          <w:rFonts w:hint="default" w:ascii="Times New Roman" w:hAnsi="Times New Roman" w:eastAsia="方正仿宋_GBK" w:cs="Times New Roman"/>
          <w:bCs/>
          <w:color w:val="000000"/>
          <w:kern w:val="0"/>
          <w:sz w:val="32"/>
          <w:szCs w:val="32"/>
          <w:shd w:val="clear"/>
          <w:lang w:eastAsia="zh-CN"/>
        </w:rPr>
        <w:t>特色</w:t>
      </w:r>
      <w:r>
        <w:rPr>
          <w:rFonts w:hint="default" w:ascii="Times New Roman" w:hAnsi="Times New Roman" w:eastAsia="方正仿宋_GBK" w:cs="Times New Roman"/>
          <w:bCs/>
          <w:color w:val="000000"/>
          <w:kern w:val="0"/>
          <w:sz w:val="32"/>
          <w:szCs w:val="32"/>
          <w:shd w:val="clear"/>
        </w:rPr>
        <w:t>原料药项目落地为契机，</w:t>
      </w:r>
      <w:r>
        <w:rPr>
          <w:rFonts w:hint="default" w:ascii="Times New Roman" w:hAnsi="Times New Roman" w:eastAsia="方正仿宋_GBK" w:cs="Times New Roman"/>
          <w:bCs/>
          <w:color w:val="000000"/>
          <w:kern w:val="0"/>
          <w:sz w:val="32"/>
          <w:szCs w:val="32"/>
          <w:shd w:val="clear"/>
          <w:lang w:eastAsia="zh-CN"/>
        </w:rPr>
        <w:t>推进</w:t>
      </w:r>
      <w:r>
        <w:rPr>
          <w:rFonts w:hint="default" w:ascii="Times New Roman" w:hAnsi="Times New Roman" w:eastAsia="方正仿宋_GBK" w:cs="Times New Roman"/>
          <w:bCs/>
          <w:color w:val="000000"/>
          <w:kern w:val="0"/>
          <w:sz w:val="32"/>
          <w:szCs w:val="32"/>
          <w:shd w:val="clear"/>
        </w:rPr>
        <w:t>其在经开区创办博士工作站、研发转化生产中心。</w:t>
      </w:r>
    </w:p>
    <w:p w14:paraId="1C99E62F">
      <w:pPr>
        <w:keepNext w:val="0"/>
        <w:keepLines w:val="0"/>
        <w:pageBreakBefore w:val="0"/>
        <w:widowControl w:val="0"/>
        <w:kinsoku/>
        <w:wordWrap/>
        <w:autoSpaceDE/>
        <w:autoSpaceDN/>
        <w:bidi w:val="0"/>
        <w:snapToGrid/>
        <w:spacing w:line="590" w:lineRule="exact"/>
        <w:ind w:firstLine="643" w:firstLineChars="200"/>
        <w:textAlignment w:val="auto"/>
        <w:rPr>
          <w:rFonts w:hint="default" w:ascii="Times New Roman" w:hAnsi="Times New Roman" w:eastAsia="方正仿宋_GBK" w:cs="Times New Roman"/>
          <w:bCs/>
          <w:color w:val="000000"/>
          <w:kern w:val="0"/>
          <w:sz w:val="32"/>
          <w:szCs w:val="32"/>
          <w:shd w:val="clear"/>
        </w:rPr>
      </w:pPr>
      <w:r>
        <w:rPr>
          <w:rFonts w:hint="default" w:ascii="Times New Roman" w:hAnsi="Times New Roman" w:eastAsia="方正仿宋_GBK" w:cs="Times New Roman"/>
          <w:b/>
          <w:sz w:val="32"/>
          <w:szCs w:val="32"/>
          <w:shd w:val="clear"/>
        </w:rPr>
        <w:t>2.鼓励科技成果转化。</w:t>
      </w:r>
      <w:r>
        <w:rPr>
          <w:rFonts w:hint="default" w:ascii="Times New Roman" w:hAnsi="Times New Roman" w:eastAsia="方正仿宋_GBK" w:cs="Times New Roman"/>
          <w:bCs/>
          <w:color w:val="000000"/>
          <w:kern w:val="0"/>
          <w:sz w:val="32"/>
          <w:szCs w:val="32"/>
          <w:shd w:val="clear"/>
        </w:rPr>
        <w:t>鼓励科研院所及其领军人物在经开区设立拥有独立法人资格的研发机构，开展科技创新和研发转化。</w:t>
      </w:r>
      <w:r>
        <w:rPr>
          <w:rFonts w:hint="default" w:ascii="Times New Roman" w:hAnsi="Times New Roman" w:eastAsia="方正仿宋_GBK" w:cs="Times New Roman"/>
          <w:bCs/>
          <w:color w:val="000000"/>
          <w:kern w:val="0"/>
          <w:sz w:val="32"/>
          <w:szCs w:val="32"/>
          <w:shd w:val="clear"/>
          <w:lang w:eastAsia="zh-CN"/>
        </w:rPr>
        <w:t>支持安徽建筑大学和区内企业联合设立</w:t>
      </w:r>
      <w:r>
        <w:rPr>
          <w:rFonts w:hint="default" w:ascii="Times New Roman" w:hAnsi="Times New Roman" w:eastAsia="方正仿宋_GBK" w:cs="Times New Roman"/>
          <w:bCs/>
          <w:color w:val="000000"/>
          <w:kern w:val="0"/>
          <w:sz w:val="32"/>
          <w:szCs w:val="32"/>
          <w:shd w:val="clear"/>
          <w:lang w:val="en-US" w:eastAsia="zh-CN"/>
        </w:rPr>
        <w:t>省级实验室宿州分室</w:t>
      </w:r>
      <w:r>
        <w:rPr>
          <w:rFonts w:hint="default" w:ascii="Times New Roman" w:hAnsi="Times New Roman" w:eastAsia="方正仿宋_GBK" w:cs="Times New Roman"/>
          <w:bCs/>
          <w:color w:val="000000"/>
          <w:kern w:val="0"/>
          <w:sz w:val="32"/>
          <w:szCs w:val="32"/>
          <w:shd w:val="clear"/>
          <w:lang w:eastAsia="zh-CN"/>
        </w:rPr>
        <w:t>。推进</w:t>
      </w:r>
      <w:r>
        <w:rPr>
          <w:rFonts w:hint="default" w:ascii="Times New Roman" w:hAnsi="Times New Roman" w:eastAsia="方正仿宋_GBK" w:cs="Times New Roman"/>
          <w:bCs/>
          <w:color w:val="000000"/>
          <w:kern w:val="0"/>
          <w:sz w:val="32"/>
          <w:szCs w:val="32"/>
          <w:shd w:val="clear"/>
          <w:lang w:val="en-US" w:eastAsia="zh-CN"/>
        </w:rPr>
        <w:t>5F孵化器、光彩孵化器的运营，打造创新创业服务平台。</w:t>
      </w:r>
      <w:r>
        <w:rPr>
          <w:rFonts w:hint="default" w:ascii="Times New Roman" w:hAnsi="Times New Roman" w:eastAsia="方正仿宋_GBK" w:cs="Times New Roman"/>
          <w:bCs/>
          <w:color w:val="000000"/>
          <w:kern w:val="0"/>
          <w:sz w:val="32"/>
          <w:szCs w:val="32"/>
          <w:shd w:val="clear"/>
        </w:rPr>
        <w:t>支持新区建投公司联合国内科研院所，合资设立生物医药、智能制造、新材料等工程技术研究中心，转化科研成果，助力园区企业转型升级。</w:t>
      </w:r>
    </w:p>
    <w:p w14:paraId="60B38774">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bCs/>
          <w:color w:val="000000"/>
          <w:sz w:val="32"/>
          <w:szCs w:val="32"/>
        </w:rPr>
        <w:t>三、</w:t>
      </w:r>
      <w:r>
        <w:rPr>
          <w:rFonts w:hint="default" w:ascii="Times New Roman" w:hAnsi="Times New Roman" w:eastAsia="方正黑体_GBK" w:cs="Times New Roman"/>
          <w:color w:val="000000"/>
          <w:kern w:val="0"/>
          <w:sz w:val="32"/>
          <w:szCs w:val="32"/>
        </w:rPr>
        <w:t>保障机制</w:t>
      </w:r>
    </w:p>
    <w:p w14:paraId="1E17464B">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（一）完善组织领导</w:t>
      </w:r>
    </w:p>
    <w:p w14:paraId="7420ADC0">
      <w:pPr>
        <w:pStyle w:val="11"/>
        <w:keepNext w:val="0"/>
        <w:keepLines w:val="0"/>
        <w:pageBreakBefore w:val="0"/>
        <w:widowControl w:val="0"/>
        <w:kinsoku/>
        <w:wordWrap/>
        <w:overflowPunct w:val="0"/>
        <w:topLinePunct/>
        <w:autoSpaceDE/>
        <w:autoSpaceDN/>
        <w:bidi w:val="0"/>
        <w:adjustRightInd w:val="0"/>
        <w:snapToGrid/>
        <w:spacing w:before="0" w:line="590" w:lineRule="exact"/>
        <w:ind w:firstLine="640" w:firstLineChars="200"/>
        <w:textAlignment w:val="auto"/>
        <w:rPr>
          <w:rFonts w:hint="default" w:ascii="Times New Roman" w:hAnsi="Times New Roman" w:eastAsia="方正仿宋_GBK" w:cs="Times New Roman"/>
          <w:bCs/>
          <w:color w:val="000000"/>
          <w:kern w:val="0"/>
          <w:sz w:val="32"/>
          <w:szCs w:val="32"/>
          <w:lang w:eastAsia="zh-CN"/>
        </w:rPr>
      </w:pPr>
      <w:r>
        <w:rPr>
          <w:rFonts w:hint="default" w:ascii="Times New Roman" w:hAnsi="Times New Roman" w:eastAsia="方正仿宋_GBK" w:cs="Times New Roman"/>
          <w:bCs/>
          <w:color w:val="000000"/>
          <w:kern w:val="0"/>
          <w:sz w:val="32"/>
          <w:szCs w:val="32"/>
          <w:lang w:eastAsia="zh-CN"/>
        </w:rPr>
        <w:t>成立经开区“双招双引”工作领导小组及重点产业双招双引“链长制”工作推进专班，完善工作职责、工作机制，每月召开“双招双引”工作调度会及产业“链长制”工作专班碰头会，听取活动进展情况汇报，统筹协调招商引资、项目落地、要素保障等重点问题，以行政合力推动经开区“双招双引”工作良性运行。</w:t>
      </w:r>
    </w:p>
    <w:p w14:paraId="5E64A79E">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（二）严格考核督办</w:t>
      </w:r>
    </w:p>
    <w:p w14:paraId="5AFE370F">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方正仿宋_GBK" w:cs="Times New Roman"/>
          <w:bCs/>
          <w:color w:val="000000"/>
          <w:kern w:val="0"/>
          <w:sz w:val="32"/>
          <w:szCs w:val="32"/>
          <w:shd w:val="clear"/>
          <w:lang w:val="en-US" w:eastAsia="zh-CN"/>
        </w:rPr>
        <w:t>制订项目包保责任制奖励办法</w:t>
      </w:r>
      <w:r>
        <w:rPr>
          <w:rFonts w:hint="default" w:ascii="Times New Roman" w:hAnsi="Times New Roman" w:eastAsia="方正仿宋_GBK" w:cs="Times New Roman"/>
          <w:bCs/>
          <w:color w:val="000000"/>
          <w:kern w:val="0"/>
          <w:sz w:val="32"/>
          <w:szCs w:val="32"/>
          <w:shd w:val="clear"/>
          <w:lang w:eastAsia="zh-CN"/>
        </w:rPr>
        <w:t>（详见附件</w:t>
      </w:r>
      <w:r>
        <w:rPr>
          <w:rFonts w:hint="default" w:ascii="Times New Roman" w:hAnsi="Times New Roman" w:eastAsia="方正仿宋_GBK" w:cs="Times New Roman"/>
          <w:bCs/>
          <w:color w:val="000000"/>
          <w:kern w:val="0"/>
          <w:sz w:val="32"/>
          <w:szCs w:val="32"/>
          <w:shd w:val="clear"/>
          <w:lang w:val="en-US" w:eastAsia="zh-CN"/>
        </w:rPr>
        <w:t>3），</w:t>
      </w:r>
      <w:r>
        <w:rPr>
          <w:rFonts w:hint="default" w:ascii="Times New Roman" w:hAnsi="Times New Roman" w:eastAsia="方正仿宋_GBK" w:cs="Times New Roman"/>
          <w:bCs/>
          <w:color w:val="000000"/>
          <w:kern w:val="0"/>
          <w:sz w:val="32"/>
          <w:szCs w:val="32"/>
          <w:shd w:val="clear"/>
        </w:rPr>
        <w:t>树立以实绩论英雄用干部的鲜明导向。对“双招双引”工作发挥重要作用，做出重大贡献的各类机构、单位和人员，按相关规定给予奖励。</w:t>
      </w:r>
    </w:p>
    <w:p w14:paraId="5E9F434B">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（三）优化营商环境</w:t>
      </w:r>
    </w:p>
    <w:p w14:paraId="7D650CD4">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在项目推进过程中，强化职能部门之间的协同配合，加强沟通协作，优化简化办理手续，压缩办事流程，对重点项目探索实行容缺审批，以企业“少跑腿”、“少等待”为标准，实行审批环节并联同步推进。对项目建设中遇到的问题，要认真做到“顶格倾听、顶格协调、顶格推进”，让企业家放心投资、安心发展。</w:t>
      </w:r>
    </w:p>
    <w:p w14:paraId="2CA3D74A">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（四）强化宣传引导</w:t>
      </w:r>
    </w:p>
    <w:p w14:paraId="0D35017C">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全方位挖掘整理富有经开区特色的人文、地理、区位、交通、产业、平台等亮点，加大宣传力度，增强对投资者和人才的吸引力。探索运用抖音、快手、微信公众号等自媒体，宣传、推介经开区招商政策、投资环境、承载平台，营造浓厚招商氛围。</w:t>
      </w:r>
    </w:p>
    <w:p w14:paraId="0E996498">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（五）实施容错免责机制</w:t>
      </w:r>
    </w:p>
    <w:p w14:paraId="499925A2">
      <w:pPr>
        <w:pStyle w:val="11"/>
        <w:keepNext w:val="0"/>
        <w:keepLines w:val="0"/>
        <w:pageBreakBefore w:val="0"/>
        <w:widowControl w:val="0"/>
        <w:kinsoku/>
        <w:wordWrap/>
        <w:autoSpaceDE/>
        <w:autoSpaceDN/>
        <w:bidi w:val="0"/>
        <w:snapToGrid/>
        <w:spacing w:before="0" w:line="590" w:lineRule="exact"/>
        <w:ind w:firstLine="640" w:firstLineChars="200"/>
        <w:textAlignment w:val="auto"/>
        <w:rPr>
          <w:rFonts w:hint="default" w:ascii="Times New Roman" w:hAnsi="Times New Roman" w:eastAsia="仿宋" w:cs="Times New Roman"/>
          <w:color w:val="000000"/>
          <w:sz w:val="32"/>
          <w:szCs w:val="32"/>
          <w:shd w:val="clear" w:color="auto" w:fill="FFFFFF"/>
          <w:lang w:eastAsia="zh-CN"/>
        </w:rPr>
      </w:pPr>
      <w:r>
        <w:rPr>
          <w:rFonts w:hint="default" w:ascii="Times New Roman" w:hAnsi="Times New Roman" w:eastAsia="方正仿宋_GBK" w:cs="Times New Roman"/>
          <w:bCs/>
          <w:color w:val="000000"/>
          <w:kern w:val="0"/>
          <w:sz w:val="32"/>
          <w:szCs w:val="32"/>
          <w:shd w:val="clear"/>
          <w:lang w:eastAsia="zh-CN"/>
        </w:rPr>
        <w:t>对在招商引资和招才引智过程中出于公心、没有为个人或他人谋取私利，因法律法规未明令禁止、政策界限不明确等情形而出现工作失误或过失的，应坚持宽严相济原则，给予容错免责。</w:t>
      </w:r>
    </w:p>
    <w:p w14:paraId="2FC9E75A">
      <w:pPr>
        <w:keepNext w:val="0"/>
        <w:keepLines w:val="0"/>
        <w:pageBreakBefore w:val="0"/>
        <w:widowControl w:val="0"/>
        <w:kinsoku/>
        <w:wordWrap/>
        <w:autoSpaceDE/>
        <w:autoSpaceDN/>
        <w:bidi w:val="0"/>
        <w:snapToGrid/>
        <w:spacing w:line="590" w:lineRule="exact"/>
        <w:ind w:firstLine="640" w:firstLineChars="20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w:t>
      </w:r>
    </w:p>
    <w:p w14:paraId="3D7DEAFA">
      <w:pPr>
        <w:keepNext w:val="0"/>
        <w:keepLines w:val="0"/>
        <w:pageBreakBefore w:val="0"/>
        <w:widowControl w:val="0"/>
        <w:tabs>
          <w:tab w:val="left" w:pos="1480"/>
        </w:tabs>
        <w:kinsoku/>
        <w:wordWrap/>
        <w:autoSpaceDE/>
        <w:autoSpaceDN/>
        <w:bidi w:val="0"/>
        <w:snapToGrid/>
        <w:spacing w:line="590" w:lineRule="exact"/>
        <w:ind w:left="1477" w:leftChars="48" w:hanging="1376" w:hangingChars="43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附件：1.</w:t>
      </w:r>
      <w:r>
        <w:rPr>
          <w:rFonts w:hint="default" w:ascii="Times New Roman" w:hAnsi="Times New Roman" w:eastAsia="方正仿宋_GBK" w:cs="Times New Roman"/>
          <w:w w:val="96"/>
          <w:sz w:val="32"/>
          <w:szCs w:val="32"/>
          <w:lang w:eastAsia="zh-CN"/>
        </w:rPr>
        <w:t>经开区</w:t>
      </w:r>
      <w:r>
        <w:rPr>
          <w:rFonts w:hint="default" w:ascii="Times New Roman" w:hAnsi="Times New Roman" w:eastAsia="方正仿宋_GBK" w:cs="Times New Roman"/>
          <w:w w:val="96"/>
          <w:sz w:val="32"/>
          <w:szCs w:val="32"/>
        </w:rPr>
        <w:t>招商引资项目</w:t>
      </w:r>
      <w:r>
        <w:rPr>
          <w:rFonts w:hint="default" w:ascii="Times New Roman" w:hAnsi="Times New Roman" w:eastAsia="方正仿宋_GBK" w:cs="Times New Roman"/>
          <w:w w:val="96"/>
          <w:sz w:val="32"/>
          <w:szCs w:val="32"/>
          <w:lang w:eastAsia="zh-CN"/>
        </w:rPr>
        <w:t>签约流程及</w:t>
      </w:r>
      <w:r>
        <w:rPr>
          <w:rFonts w:hint="default" w:ascii="Times New Roman" w:hAnsi="Times New Roman" w:eastAsia="方正仿宋_GBK" w:cs="Times New Roman"/>
          <w:w w:val="96"/>
          <w:sz w:val="32"/>
          <w:szCs w:val="32"/>
        </w:rPr>
        <w:t>入区</w:t>
      </w:r>
      <w:r>
        <w:rPr>
          <w:rFonts w:hint="default" w:ascii="Times New Roman" w:hAnsi="Times New Roman" w:eastAsia="方正仿宋_GBK" w:cs="Times New Roman"/>
          <w:w w:val="96"/>
          <w:sz w:val="32"/>
          <w:szCs w:val="32"/>
          <w:lang w:eastAsia="zh-CN"/>
        </w:rPr>
        <w:t>前期工作流程图</w:t>
      </w:r>
      <w:r>
        <w:rPr>
          <w:rFonts w:hint="default" w:ascii="Times New Roman" w:hAnsi="Times New Roman" w:eastAsia="方正仿宋_GBK" w:cs="Times New Roman"/>
          <w:w w:val="96"/>
          <w:sz w:val="32"/>
          <w:szCs w:val="32"/>
          <w:lang w:val="en-US" w:eastAsia="zh-CN"/>
        </w:rPr>
        <w:t xml:space="preserve">  </w:t>
      </w:r>
    </w:p>
    <w:p w14:paraId="53B65D21">
      <w:pPr>
        <w:keepNext w:val="0"/>
        <w:keepLines w:val="0"/>
        <w:pageBreakBefore w:val="0"/>
        <w:widowControl w:val="0"/>
        <w:kinsoku/>
        <w:wordWrap/>
        <w:autoSpaceDE/>
        <w:autoSpaceDN/>
        <w:bidi w:val="0"/>
        <w:snapToGrid/>
        <w:spacing w:line="590" w:lineRule="exact"/>
        <w:ind w:left="2000" w:leftChars="800" w:hanging="320" w:hanging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经开区</w:t>
      </w:r>
      <w:r>
        <w:rPr>
          <w:rFonts w:hint="default" w:ascii="Times New Roman" w:hAnsi="Times New Roman" w:eastAsia="方正仿宋_GBK" w:cs="Times New Roman"/>
          <w:sz w:val="32"/>
          <w:szCs w:val="32"/>
          <w:lang w:eastAsia="zh-CN"/>
        </w:rPr>
        <w:t>重点产业双招双引“链长制”工作推进专班及</w:t>
      </w:r>
      <w:r>
        <w:rPr>
          <w:rFonts w:hint="default" w:ascii="Times New Roman" w:hAnsi="Times New Roman" w:eastAsia="方正仿宋_GBK" w:cs="Times New Roman"/>
          <w:sz w:val="32"/>
          <w:szCs w:val="32"/>
        </w:rPr>
        <w:t>项目包保责任制奖励办法</w:t>
      </w:r>
    </w:p>
    <w:p w14:paraId="2E20D99D">
      <w:pPr>
        <w:keepNext w:val="0"/>
        <w:keepLines w:val="0"/>
        <w:pageBreakBefore w:val="0"/>
        <w:kinsoku/>
        <w:wordWrap/>
        <w:bidi w:val="0"/>
        <w:spacing w:line="590" w:lineRule="exact"/>
        <w:ind w:firstLine="960" w:firstLineChars="300"/>
        <w:rPr>
          <w:rFonts w:hint="default" w:ascii="Times New Roman" w:hAnsi="Times New Roman" w:eastAsia="方正仿宋_GBK" w:cs="Times New Roman"/>
          <w:sz w:val="32"/>
          <w:szCs w:val="32"/>
        </w:rPr>
      </w:pPr>
    </w:p>
    <w:p w14:paraId="08EE6D75">
      <w:pPr>
        <w:keepNext w:val="0"/>
        <w:keepLines w:val="0"/>
        <w:pageBreakBefore w:val="0"/>
        <w:kinsoku/>
        <w:wordWrap/>
        <w:bidi w:val="0"/>
        <w:spacing w:line="590" w:lineRule="exact"/>
        <w:ind w:firstLine="960" w:firstLineChars="300"/>
        <w:rPr>
          <w:rFonts w:hint="default" w:ascii="Times New Roman" w:hAnsi="Times New Roman" w:eastAsia="方正仿宋_GBK" w:cs="Times New Roman"/>
          <w:sz w:val="32"/>
          <w:szCs w:val="32"/>
        </w:rPr>
      </w:pPr>
    </w:p>
    <w:p w14:paraId="1CCD987B">
      <w:pPr>
        <w:pStyle w:val="2"/>
        <w:keepNext w:val="0"/>
        <w:keepLines w:val="0"/>
        <w:pageBreakBefore w:val="0"/>
        <w:kinsoku/>
        <w:wordWrap/>
        <w:bidi w:val="0"/>
        <w:spacing w:line="590" w:lineRule="exact"/>
        <w:rPr>
          <w:rFonts w:hint="default" w:ascii="Times New Roman" w:hAnsi="Times New Roman" w:eastAsia="方正仿宋_GBK" w:cs="Times New Roman"/>
          <w:sz w:val="32"/>
          <w:szCs w:val="32"/>
          <w:lang w:eastAsia="zh-CN"/>
        </w:rPr>
        <w:sectPr>
          <w:headerReference r:id="rId3" w:type="default"/>
          <w:footerReference r:id="rId4" w:type="default"/>
          <w:pgSz w:w="11906" w:h="16838"/>
          <w:pgMar w:top="1984" w:right="1474" w:bottom="1417" w:left="1474" w:header="851" w:footer="1361" w:gutter="0"/>
          <w:pgNumType w:fmt="numberInDash"/>
          <w:cols w:space="0" w:num="1"/>
          <w:rtlGutter w:val="0"/>
          <w:docGrid w:type="lines" w:linePitch="312" w:charSpace="0"/>
        </w:sectPr>
      </w:pPr>
    </w:p>
    <w:p w14:paraId="0CB0C09A">
      <w:pPr>
        <w:keepNext w:val="0"/>
        <w:keepLines w:val="0"/>
        <w:pageBreakBefore w:val="0"/>
        <w:kinsoku/>
        <w:wordWrap/>
        <w:bidi w:val="0"/>
        <w:spacing w:line="590"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附件</w:t>
      </w:r>
      <w:r>
        <w:rPr>
          <w:rFonts w:hint="default" w:ascii="Times New Roman" w:hAnsi="Times New Roman" w:eastAsia="方正黑体_GBK" w:cs="Times New Roman"/>
          <w:sz w:val="32"/>
          <w:szCs w:val="32"/>
          <w:lang w:val="en-US" w:eastAsia="zh-CN"/>
        </w:rPr>
        <w:t>1</w:t>
      </w:r>
    </w:p>
    <w:tbl>
      <w:tblPr>
        <w:tblStyle w:val="8"/>
        <w:tblpPr w:leftFromText="180" w:rightFromText="180" w:vertAnchor="text" w:horzAnchor="page" w:tblpX="1545" w:tblpY="634"/>
        <w:tblOverlap w:val="never"/>
        <w:tblW w:w="0" w:type="auto"/>
        <w:tblInd w:w="0" w:type="dxa"/>
        <w:shd w:val="clear" w:color="auto" w:fill="auto"/>
        <w:tblLayout w:type="fixed"/>
        <w:tblCellMar>
          <w:top w:w="0" w:type="dxa"/>
          <w:left w:w="108" w:type="dxa"/>
          <w:bottom w:w="0" w:type="dxa"/>
          <w:right w:w="108" w:type="dxa"/>
        </w:tblCellMar>
      </w:tblPr>
      <w:tblGrid>
        <w:gridCol w:w="44"/>
        <w:gridCol w:w="49"/>
        <w:gridCol w:w="1282"/>
        <w:gridCol w:w="13"/>
        <w:gridCol w:w="457"/>
        <w:gridCol w:w="1416"/>
        <w:gridCol w:w="278"/>
        <w:gridCol w:w="1456"/>
        <w:gridCol w:w="300"/>
        <w:gridCol w:w="1266"/>
        <w:gridCol w:w="366"/>
        <w:gridCol w:w="5"/>
        <w:gridCol w:w="1146"/>
        <w:gridCol w:w="317"/>
        <w:gridCol w:w="2166"/>
        <w:gridCol w:w="347"/>
        <w:gridCol w:w="2003"/>
        <w:gridCol w:w="350"/>
        <w:gridCol w:w="817"/>
      </w:tblGrid>
      <w:tr w14:paraId="36E0E5FF">
        <w:tblPrEx>
          <w:shd w:val="clear" w:color="auto" w:fill="auto"/>
          <w:tblCellMar>
            <w:top w:w="0" w:type="dxa"/>
            <w:left w:w="108" w:type="dxa"/>
            <w:bottom w:w="0" w:type="dxa"/>
            <w:right w:w="108" w:type="dxa"/>
          </w:tblCellMar>
        </w:tblPrEx>
        <w:trPr>
          <w:gridBefore w:val="2"/>
          <w:wBefore w:w="93" w:type="dxa"/>
          <w:trHeight w:val="1317" w:hRule="atLeast"/>
        </w:trPr>
        <w:tc>
          <w:tcPr>
            <w:tcW w:w="13985" w:type="dxa"/>
            <w:gridSpan w:val="17"/>
            <w:tcBorders>
              <w:top w:val="nil"/>
              <w:left w:val="nil"/>
              <w:bottom w:val="single" w:color="auto" w:sz="4" w:space="0"/>
              <w:right w:val="nil"/>
            </w:tcBorders>
            <w:shd w:val="clear" w:color="auto" w:fill="auto"/>
            <w:vAlign w:val="center"/>
          </w:tcPr>
          <w:p w14:paraId="5AACF6C6">
            <w:pPr>
              <w:keepNext w:val="0"/>
              <w:keepLines w:val="0"/>
              <w:pageBreakBefore w:val="0"/>
              <w:widowControl/>
              <w:suppressLineNumbers w:val="0"/>
              <w:tabs>
                <w:tab w:val="left" w:pos="6731"/>
              </w:tabs>
              <w:kinsoku/>
              <w:wordWrap/>
              <w:bidi w:val="0"/>
              <w:spacing w:line="590" w:lineRule="exact"/>
              <w:jc w:val="center"/>
              <w:textAlignment w:val="center"/>
              <w:rPr>
                <w:rFonts w:hint="default" w:ascii="Times New Roman" w:hAnsi="Times New Roman" w:eastAsia="方正小标宋_GBK" w:cs="Times New Roman"/>
                <w:b w:val="0"/>
                <w:bCs w:val="0"/>
                <w:i w:val="0"/>
                <w:iCs w:val="0"/>
                <w:color w:val="000000"/>
                <w:kern w:val="2"/>
                <w:sz w:val="44"/>
                <w:szCs w:val="44"/>
                <w:u w:val="none"/>
                <w:lang w:val="en-US" w:eastAsia="zh-CN" w:bidi="ar-SA"/>
              </w:rPr>
            </w:pPr>
            <w:r>
              <w:rPr>
                <w:rFonts w:hint="default" w:ascii="Times New Roman" w:hAnsi="Times New Roman" w:eastAsia="方正小标宋_GBK" w:cs="Times New Roman"/>
                <w:b w:val="0"/>
                <w:bCs w:val="0"/>
                <w:i w:val="0"/>
                <w:iCs w:val="0"/>
                <w:color w:val="000000"/>
                <w:kern w:val="2"/>
                <w:sz w:val="44"/>
                <w:szCs w:val="44"/>
                <w:u w:val="none"/>
                <w:lang w:val="en-US" w:eastAsia="zh-CN" w:bidi="ar-SA"/>
              </w:rPr>
              <w:t>经开区招商引资项目签约流程</w:t>
            </w:r>
          </w:p>
          <w:p w14:paraId="452E685F">
            <w:pPr>
              <w:pStyle w:val="11"/>
              <w:keepNext w:val="0"/>
              <w:keepLines w:val="0"/>
              <w:pageBreakBefore w:val="0"/>
              <w:kinsoku/>
              <w:wordWrap/>
              <w:bidi w:val="0"/>
              <w:spacing w:line="590" w:lineRule="exact"/>
              <w:jc w:val="right"/>
              <w:rPr>
                <w:rFonts w:hint="default" w:ascii="Times New Roman" w:hAnsi="Times New Roman" w:cs="Times New Roman"/>
                <w:lang w:val="en-US" w:eastAsia="zh-CN"/>
              </w:rPr>
            </w:pPr>
            <w:r>
              <w:rPr>
                <w:rFonts w:hint="default" w:ascii="Times New Roman" w:hAnsi="Times New Roman" w:eastAsia="方正黑体_GBK" w:cs="Times New Roman"/>
                <w:b w:val="0"/>
                <w:bCs w:val="0"/>
                <w:i w:val="0"/>
                <w:iCs w:val="0"/>
                <w:color w:val="000000"/>
                <w:sz w:val="24"/>
                <w:szCs w:val="24"/>
                <w:u w:val="none"/>
                <w:lang w:val="en-US" w:eastAsia="zh-CN"/>
              </w:rPr>
              <w:t>办理部门：招商局牵头，</w:t>
            </w:r>
            <w:r>
              <w:rPr>
                <w:rFonts w:hint="default" w:ascii="Times New Roman" w:hAnsi="Times New Roman" w:eastAsia="方正黑体_GBK" w:cs="Times New Roman"/>
                <w:b w:val="0"/>
                <w:bCs w:val="0"/>
                <w:i w:val="0"/>
                <w:iCs w:val="0"/>
                <w:color w:val="000000"/>
                <w:kern w:val="2"/>
                <w:sz w:val="24"/>
                <w:szCs w:val="24"/>
                <w:u w:val="none"/>
                <w:lang w:val="en-US" w:eastAsia="zh-CN" w:bidi="ar-SA"/>
              </w:rPr>
              <w:t>相关部门配合</w:t>
            </w:r>
          </w:p>
        </w:tc>
      </w:tr>
      <w:tr w14:paraId="2AAA6113">
        <w:tblPrEx>
          <w:tblCellMar>
            <w:top w:w="0" w:type="dxa"/>
            <w:left w:w="108" w:type="dxa"/>
            <w:bottom w:w="0" w:type="dxa"/>
            <w:right w:w="108" w:type="dxa"/>
          </w:tblCellMar>
        </w:tblPrEx>
        <w:trPr>
          <w:gridBefore w:val="2"/>
          <w:wBefore w:w="93" w:type="dxa"/>
          <w:trHeight w:val="1011" w:hRule="atLeast"/>
        </w:trPr>
        <w:tc>
          <w:tcPr>
            <w:tcW w:w="129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8B2293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20"/>
                <w:szCs w:val="20"/>
                <w:u w:val="none"/>
                <w:lang w:val="en-US" w:eastAsia="zh-CN" w:bidi="ar-SA"/>
              </w:rPr>
              <w:t>招商洽谈</w:t>
            </w:r>
          </w:p>
        </w:tc>
        <w:tc>
          <w:tcPr>
            <w:tcW w:w="457" w:type="dxa"/>
            <w:tcBorders>
              <w:top w:val="single" w:color="auto" w:sz="4" w:space="0"/>
              <w:left w:val="single" w:color="000000" w:sz="4" w:space="0"/>
              <w:bottom w:val="single" w:color="000000" w:sz="4" w:space="0"/>
              <w:right w:val="single" w:color="000000" w:sz="4" w:space="0"/>
            </w:tcBorders>
            <w:shd w:val="clear" w:color="auto" w:fill="auto"/>
            <w:vAlign w:val="center"/>
          </w:tcPr>
          <w:p w14:paraId="4A20503D">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16"/>
                <w:szCs w:val="16"/>
                <w:u w:val="none"/>
                <w:lang w:val="en-US" w:eastAsia="zh-CN" w:bidi="ar-SA"/>
              </w:rPr>
              <w:t>→</w:t>
            </w:r>
          </w:p>
        </w:tc>
        <w:tc>
          <w:tcPr>
            <w:tcW w:w="1416" w:type="dxa"/>
            <w:tcBorders>
              <w:top w:val="single" w:color="auto" w:sz="4" w:space="0"/>
              <w:left w:val="single" w:color="000000" w:sz="4" w:space="0"/>
              <w:bottom w:val="single" w:color="000000" w:sz="4" w:space="0"/>
              <w:right w:val="single" w:color="000000" w:sz="4" w:space="0"/>
            </w:tcBorders>
            <w:shd w:val="clear" w:color="auto" w:fill="auto"/>
            <w:vAlign w:val="center"/>
          </w:tcPr>
          <w:p w14:paraId="14F7E80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20"/>
                <w:szCs w:val="20"/>
                <w:u w:val="none"/>
                <w:lang w:val="en-US" w:eastAsia="zh-CN" w:bidi="ar-SA"/>
              </w:rPr>
              <w:t>实地考察</w:t>
            </w:r>
          </w:p>
        </w:tc>
        <w:tc>
          <w:tcPr>
            <w:tcW w:w="278" w:type="dxa"/>
            <w:tcBorders>
              <w:top w:val="single" w:color="auto" w:sz="4" w:space="0"/>
              <w:left w:val="single" w:color="000000" w:sz="4" w:space="0"/>
              <w:bottom w:val="single" w:color="000000" w:sz="4" w:space="0"/>
              <w:right w:val="single" w:color="000000" w:sz="4" w:space="0"/>
            </w:tcBorders>
            <w:shd w:val="clear" w:color="auto" w:fill="auto"/>
            <w:vAlign w:val="center"/>
          </w:tcPr>
          <w:p w14:paraId="72EDB6F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16"/>
                <w:szCs w:val="16"/>
                <w:u w:val="none"/>
                <w:lang w:val="en-US" w:eastAsia="zh-CN" w:bidi="ar-SA"/>
              </w:rPr>
              <w:t>→</w:t>
            </w:r>
          </w:p>
        </w:tc>
        <w:tc>
          <w:tcPr>
            <w:tcW w:w="1456" w:type="dxa"/>
            <w:tcBorders>
              <w:top w:val="single" w:color="auto" w:sz="4" w:space="0"/>
              <w:left w:val="single" w:color="000000" w:sz="4" w:space="0"/>
              <w:bottom w:val="single" w:color="000000" w:sz="4" w:space="0"/>
              <w:right w:val="single" w:color="000000" w:sz="4" w:space="0"/>
            </w:tcBorders>
            <w:shd w:val="clear" w:color="auto" w:fill="auto"/>
            <w:vAlign w:val="center"/>
          </w:tcPr>
          <w:p w14:paraId="037FB36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20"/>
                <w:szCs w:val="20"/>
                <w:u w:val="none"/>
                <w:lang w:val="en-US" w:eastAsia="zh-CN" w:bidi="ar-SA"/>
              </w:rPr>
              <w:t>专家评审</w:t>
            </w:r>
          </w:p>
        </w:tc>
        <w:tc>
          <w:tcPr>
            <w:tcW w:w="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04DE689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16"/>
                <w:szCs w:val="16"/>
                <w:u w:val="none"/>
                <w:lang w:val="en-US" w:eastAsia="zh-CN" w:bidi="ar-SA"/>
              </w:rPr>
              <w:t>→</w:t>
            </w:r>
          </w:p>
        </w:tc>
        <w:tc>
          <w:tcPr>
            <w:tcW w:w="1266" w:type="dxa"/>
            <w:tcBorders>
              <w:top w:val="single" w:color="auto" w:sz="4" w:space="0"/>
              <w:left w:val="single" w:color="000000" w:sz="4" w:space="0"/>
              <w:bottom w:val="single" w:color="000000" w:sz="4" w:space="0"/>
              <w:right w:val="single" w:color="000000" w:sz="4" w:space="0"/>
            </w:tcBorders>
            <w:shd w:val="clear" w:color="auto" w:fill="auto"/>
            <w:vAlign w:val="center"/>
          </w:tcPr>
          <w:p w14:paraId="1F2E20D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20"/>
                <w:szCs w:val="20"/>
                <w:u w:val="none"/>
                <w:lang w:val="en-US" w:eastAsia="zh-CN" w:bidi="ar-SA"/>
              </w:rPr>
              <w:t>双方谈判</w:t>
            </w:r>
          </w:p>
        </w:tc>
        <w:tc>
          <w:tcPr>
            <w:tcW w:w="37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0CB9F7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16"/>
                <w:szCs w:val="16"/>
                <w:u w:val="none"/>
                <w:lang w:val="en-US" w:eastAsia="zh-CN" w:bidi="ar-SA"/>
              </w:rPr>
              <w:t>→</w:t>
            </w:r>
          </w:p>
        </w:tc>
        <w:tc>
          <w:tcPr>
            <w:tcW w:w="1146" w:type="dxa"/>
            <w:tcBorders>
              <w:top w:val="single" w:color="auto" w:sz="4" w:space="0"/>
              <w:left w:val="single" w:color="000000" w:sz="4" w:space="0"/>
              <w:bottom w:val="single" w:color="000000" w:sz="4" w:space="0"/>
              <w:right w:val="single" w:color="000000" w:sz="4" w:space="0"/>
            </w:tcBorders>
            <w:shd w:val="clear" w:color="auto" w:fill="auto"/>
            <w:vAlign w:val="center"/>
          </w:tcPr>
          <w:p w14:paraId="1A520CB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20"/>
                <w:szCs w:val="20"/>
                <w:u w:val="none"/>
                <w:lang w:val="en-US" w:eastAsia="zh-CN" w:bidi="ar-SA"/>
              </w:rPr>
              <w:t>合同起草</w:t>
            </w:r>
          </w:p>
        </w:tc>
        <w:tc>
          <w:tcPr>
            <w:tcW w:w="317" w:type="dxa"/>
            <w:tcBorders>
              <w:top w:val="single" w:color="auto" w:sz="4" w:space="0"/>
              <w:left w:val="single" w:color="000000" w:sz="4" w:space="0"/>
              <w:bottom w:val="single" w:color="000000" w:sz="4" w:space="0"/>
              <w:right w:val="single" w:color="000000" w:sz="4" w:space="0"/>
            </w:tcBorders>
            <w:shd w:val="clear" w:color="auto" w:fill="auto"/>
            <w:vAlign w:val="center"/>
          </w:tcPr>
          <w:p w14:paraId="702B5E4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16"/>
                <w:szCs w:val="16"/>
                <w:u w:val="none"/>
                <w:lang w:val="en-US" w:eastAsia="zh-CN" w:bidi="ar-SA"/>
              </w:rPr>
              <w:t>→</w:t>
            </w:r>
          </w:p>
        </w:tc>
        <w:tc>
          <w:tcPr>
            <w:tcW w:w="21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2C9CAF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征求意见及合法性审查</w:t>
            </w:r>
          </w:p>
        </w:tc>
        <w:tc>
          <w:tcPr>
            <w:tcW w:w="347" w:type="dxa"/>
            <w:tcBorders>
              <w:top w:val="single" w:color="auto" w:sz="4" w:space="0"/>
              <w:left w:val="single" w:color="000000" w:sz="4" w:space="0"/>
              <w:bottom w:val="single" w:color="000000" w:sz="4" w:space="0"/>
              <w:right w:val="single" w:color="000000" w:sz="4" w:space="0"/>
            </w:tcBorders>
            <w:shd w:val="clear" w:color="auto" w:fill="auto"/>
            <w:vAlign w:val="center"/>
          </w:tcPr>
          <w:p w14:paraId="2B34F83D">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16"/>
                <w:szCs w:val="16"/>
                <w:u w:val="none"/>
                <w:lang w:val="en-US" w:eastAsia="zh-CN" w:bidi="ar-SA"/>
              </w:rPr>
              <w:t>→</w:t>
            </w:r>
          </w:p>
        </w:tc>
        <w:tc>
          <w:tcPr>
            <w:tcW w:w="2003" w:type="dxa"/>
            <w:tcBorders>
              <w:top w:val="single" w:color="auto" w:sz="4" w:space="0"/>
              <w:left w:val="single" w:color="000000" w:sz="4" w:space="0"/>
              <w:bottom w:val="single" w:color="000000" w:sz="4" w:space="0"/>
              <w:right w:val="single" w:color="000000" w:sz="4" w:space="0"/>
            </w:tcBorders>
            <w:shd w:val="clear" w:color="auto" w:fill="auto"/>
            <w:vAlign w:val="center"/>
          </w:tcPr>
          <w:p w14:paraId="04BC50C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16"/>
                <w:szCs w:val="16"/>
                <w:u w:val="none"/>
                <w:lang w:val="en-US" w:eastAsia="zh-CN" w:bidi="ar-SA"/>
              </w:rPr>
              <w:t>提请主任办公会议研究，通过后出台会议纪要</w:t>
            </w:r>
          </w:p>
        </w:tc>
        <w:tc>
          <w:tcPr>
            <w:tcW w:w="350" w:type="dxa"/>
            <w:tcBorders>
              <w:top w:val="single" w:color="auto" w:sz="4" w:space="0"/>
              <w:left w:val="single" w:color="000000" w:sz="4" w:space="0"/>
              <w:bottom w:val="single" w:color="000000" w:sz="4" w:space="0"/>
              <w:right w:val="single" w:color="000000" w:sz="4" w:space="0"/>
            </w:tcBorders>
            <w:shd w:val="clear" w:color="auto" w:fill="auto"/>
            <w:vAlign w:val="center"/>
          </w:tcPr>
          <w:p w14:paraId="33CE0F8C">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16"/>
                <w:szCs w:val="16"/>
                <w:u w:val="none"/>
                <w:lang w:val="en-US" w:eastAsia="zh-CN" w:bidi="ar-SA"/>
              </w:rPr>
              <w:t>→</w:t>
            </w:r>
          </w:p>
        </w:tc>
        <w:tc>
          <w:tcPr>
            <w:tcW w:w="817" w:type="dxa"/>
            <w:tcBorders>
              <w:top w:val="single" w:color="auto" w:sz="4" w:space="0"/>
              <w:left w:val="single" w:color="000000" w:sz="4" w:space="0"/>
              <w:bottom w:val="single" w:color="000000" w:sz="4" w:space="0"/>
              <w:right w:val="single" w:color="000000" w:sz="4" w:space="0"/>
            </w:tcBorders>
            <w:shd w:val="clear" w:color="auto" w:fill="auto"/>
            <w:vAlign w:val="center"/>
          </w:tcPr>
          <w:p w14:paraId="45C7EE4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kern w:val="2"/>
                <w:sz w:val="16"/>
                <w:szCs w:val="16"/>
                <w:u w:val="none"/>
                <w:lang w:val="en-US" w:eastAsia="zh-CN" w:bidi="ar-SA"/>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签约</w:t>
            </w:r>
          </w:p>
        </w:tc>
      </w:tr>
      <w:tr w14:paraId="00A2A92A">
        <w:tblPrEx>
          <w:tblCellMar>
            <w:top w:w="0" w:type="dxa"/>
            <w:left w:w="108" w:type="dxa"/>
            <w:bottom w:w="0" w:type="dxa"/>
            <w:right w:w="108" w:type="dxa"/>
          </w:tblCellMar>
        </w:tblPrEx>
        <w:trPr>
          <w:gridBefore w:val="1"/>
          <w:wBefore w:w="44" w:type="dxa"/>
          <w:trHeight w:val="90" w:hRule="atLeast"/>
        </w:trPr>
        <w:tc>
          <w:tcPr>
            <w:tcW w:w="1331" w:type="dxa"/>
            <w:gridSpan w:val="2"/>
            <w:tcBorders>
              <w:top w:val="nil"/>
              <w:left w:val="nil"/>
              <w:bottom w:val="nil"/>
              <w:right w:val="nil"/>
            </w:tcBorders>
            <w:shd w:val="clear" w:color="auto" w:fill="auto"/>
            <w:noWrap/>
            <w:vAlign w:val="center"/>
          </w:tcPr>
          <w:p w14:paraId="0729D21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sz w:val="36"/>
                <w:szCs w:val="36"/>
                <w:u w:val="none"/>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470" w:type="dxa"/>
            <w:gridSpan w:val="2"/>
            <w:tcBorders>
              <w:top w:val="nil"/>
              <w:left w:val="nil"/>
              <w:bottom w:val="nil"/>
              <w:right w:val="nil"/>
            </w:tcBorders>
            <w:shd w:val="clear" w:color="auto" w:fill="auto"/>
            <w:noWrap/>
            <w:vAlign w:val="center"/>
          </w:tcPr>
          <w:p w14:paraId="46C11A36">
            <w:pPr>
              <w:keepNext w:val="0"/>
              <w:keepLines w:val="0"/>
              <w:pageBreakBefore w:val="0"/>
              <w:widowControl/>
              <w:kinsoku/>
              <w:wordWrap/>
              <w:overflowPunct/>
              <w:topLinePunct w:val="0"/>
              <w:autoSpaceDE/>
              <w:autoSpaceDN/>
              <w:bidi w:val="0"/>
              <w:adjustRightInd/>
              <w:snapToGrid/>
              <w:spacing w:line="590" w:lineRule="exact"/>
              <w:rPr>
                <w:rFonts w:hint="default" w:ascii="Times New Roman" w:hAnsi="Times New Roman" w:eastAsia="宋体" w:cs="Times New Roman"/>
                <w:i w:val="0"/>
                <w:iCs w:val="0"/>
                <w:color w:val="000000"/>
                <w:sz w:val="22"/>
                <w:szCs w:val="22"/>
                <w:u w:val="none"/>
              </w:rPr>
            </w:pPr>
          </w:p>
        </w:tc>
        <w:tc>
          <w:tcPr>
            <w:tcW w:w="1416" w:type="dxa"/>
            <w:tcBorders>
              <w:top w:val="nil"/>
              <w:left w:val="nil"/>
              <w:bottom w:val="nil"/>
              <w:right w:val="nil"/>
            </w:tcBorders>
            <w:shd w:val="clear" w:color="auto" w:fill="auto"/>
            <w:noWrap/>
            <w:vAlign w:val="center"/>
          </w:tcPr>
          <w:p w14:paraId="0ED95FF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278" w:type="dxa"/>
            <w:tcBorders>
              <w:top w:val="nil"/>
              <w:left w:val="nil"/>
              <w:bottom w:val="nil"/>
              <w:right w:val="nil"/>
            </w:tcBorders>
            <w:shd w:val="clear" w:color="auto" w:fill="auto"/>
            <w:noWrap/>
            <w:vAlign w:val="center"/>
          </w:tcPr>
          <w:p w14:paraId="384D843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1456" w:type="dxa"/>
            <w:tcBorders>
              <w:top w:val="nil"/>
              <w:left w:val="nil"/>
              <w:bottom w:val="nil"/>
              <w:right w:val="nil"/>
            </w:tcBorders>
            <w:shd w:val="clear" w:color="auto" w:fill="auto"/>
            <w:noWrap/>
            <w:vAlign w:val="center"/>
          </w:tcPr>
          <w:p w14:paraId="7E082AC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300" w:type="dxa"/>
            <w:tcBorders>
              <w:top w:val="nil"/>
              <w:left w:val="nil"/>
              <w:bottom w:val="nil"/>
              <w:right w:val="nil"/>
            </w:tcBorders>
            <w:shd w:val="clear" w:color="auto" w:fill="auto"/>
            <w:noWrap/>
            <w:vAlign w:val="center"/>
          </w:tcPr>
          <w:p w14:paraId="282CFBE8">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1266" w:type="dxa"/>
            <w:tcBorders>
              <w:top w:val="nil"/>
              <w:left w:val="nil"/>
              <w:bottom w:val="nil"/>
              <w:right w:val="nil"/>
            </w:tcBorders>
            <w:shd w:val="clear" w:color="auto" w:fill="auto"/>
            <w:noWrap/>
            <w:vAlign w:val="center"/>
          </w:tcPr>
          <w:p w14:paraId="754AA11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366" w:type="dxa"/>
            <w:tcBorders>
              <w:top w:val="nil"/>
              <w:left w:val="nil"/>
              <w:bottom w:val="nil"/>
              <w:right w:val="nil"/>
            </w:tcBorders>
            <w:shd w:val="clear" w:color="auto" w:fill="auto"/>
            <w:noWrap/>
            <w:vAlign w:val="center"/>
          </w:tcPr>
          <w:p w14:paraId="24ED2CC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1151" w:type="dxa"/>
            <w:gridSpan w:val="2"/>
            <w:tcBorders>
              <w:top w:val="nil"/>
              <w:left w:val="nil"/>
              <w:bottom w:val="nil"/>
              <w:right w:val="nil"/>
            </w:tcBorders>
            <w:shd w:val="clear" w:color="auto" w:fill="auto"/>
            <w:noWrap/>
            <w:vAlign w:val="center"/>
          </w:tcPr>
          <w:p w14:paraId="40152A5B">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317" w:type="dxa"/>
            <w:tcBorders>
              <w:top w:val="nil"/>
              <w:left w:val="nil"/>
              <w:bottom w:val="nil"/>
              <w:right w:val="nil"/>
            </w:tcBorders>
            <w:shd w:val="clear" w:color="auto" w:fill="auto"/>
            <w:noWrap/>
            <w:vAlign w:val="center"/>
          </w:tcPr>
          <w:p w14:paraId="71708466">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2166" w:type="dxa"/>
            <w:tcBorders>
              <w:top w:val="nil"/>
              <w:left w:val="nil"/>
              <w:bottom w:val="nil"/>
              <w:right w:val="nil"/>
            </w:tcBorders>
            <w:shd w:val="clear" w:color="auto" w:fill="auto"/>
            <w:noWrap/>
            <w:vAlign w:val="center"/>
          </w:tcPr>
          <w:p w14:paraId="70626DC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347" w:type="dxa"/>
            <w:tcBorders>
              <w:top w:val="nil"/>
              <w:left w:val="nil"/>
              <w:bottom w:val="nil"/>
              <w:right w:val="nil"/>
            </w:tcBorders>
            <w:shd w:val="clear" w:color="auto" w:fill="auto"/>
            <w:noWrap/>
            <w:vAlign w:val="center"/>
          </w:tcPr>
          <w:p w14:paraId="4122647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2003" w:type="dxa"/>
            <w:tcBorders>
              <w:top w:val="nil"/>
              <w:left w:val="nil"/>
              <w:bottom w:val="nil"/>
              <w:right w:val="nil"/>
            </w:tcBorders>
            <w:shd w:val="clear" w:color="auto" w:fill="auto"/>
            <w:noWrap/>
            <w:vAlign w:val="center"/>
          </w:tcPr>
          <w:p w14:paraId="52828518">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350" w:type="dxa"/>
            <w:tcBorders>
              <w:top w:val="nil"/>
              <w:left w:val="nil"/>
              <w:bottom w:val="nil"/>
              <w:right w:val="nil"/>
            </w:tcBorders>
            <w:shd w:val="clear" w:color="auto" w:fill="auto"/>
            <w:noWrap/>
            <w:vAlign w:val="center"/>
          </w:tcPr>
          <w:p w14:paraId="4A4B400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817" w:type="dxa"/>
            <w:tcBorders>
              <w:top w:val="nil"/>
              <w:left w:val="nil"/>
              <w:bottom w:val="nil"/>
              <w:right w:val="nil"/>
            </w:tcBorders>
            <w:shd w:val="clear" w:color="auto" w:fill="auto"/>
            <w:noWrap/>
            <w:vAlign w:val="center"/>
          </w:tcPr>
          <w:p w14:paraId="6AD001C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r>
      <w:tr w14:paraId="569A5F2A">
        <w:tblPrEx>
          <w:tblCellMar>
            <w:top w:w="0" w:type="dxa"/>
            <w:left w:w="108" w:type="dxa"/>
            <w:bottom w:w="0" w:type="dxa"/>
            <w:right w:w="108" w:type="dxa"/>
          </w:tblCellMar>
        </w:tblPrEx>
        <w:trPr>
          <w:gridBefore w:val="1"/>
          <w:wBefore w:w="44" w:type="dxa"/>
          <w:trHeight w:val="2485" w:hRule="atLeast"/>
        </w:trPr>
        <w:tc>
          <w:tcPr>
            <w:tcW w:w="1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3067A">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双方人员互访，达成初步投资意向</w:t>
            </w:r>
          </w:p>
        </w:tc>
        <w:tc>
          <w:tcPr>
            <w:tcW w:w="470" w:type="dxa"/>
            <w:gridSpan w:val="2"/>
            <w:tcBorders>
              <w:top w:val="nil"/>
              <w:left w:val="nil"/>
              <w:bottom w:val="nil"/>
              <w:right w:val="nil"/>
            </w:tcBorders>
            <w:shd w:val="clear" w:color="auto" w:fill="auto"/>
            <w:noWrap/>
            <w:vAlign w:val="center"/>
          </w:tcPr>
          <w:p w14:paraId="6CD3A241">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4490">
            <w:pPr>
              <w:keepNext w:val="0"/>
              <w:keepLines w:val="0"/>
              <w:pageBreakBefore w:val="0"/>
              <w:widowControl/>
              <w:suppressLineNumbers w:val="0"/>
              <w:kinsoku/>
              <w:wordWrap/>
              <w:bidi w:val="0"/>
              <w:spacing w:line="59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有明确投资意向后，赴企业实地考察，研判企业实力，评审项目质量（5个工作日）</w:t>
            </w:r>
          </w:p>
        </w:tc>
        <w:tc>
          <w:tcPr>
            <w:tcW w:w="278" w:type="dxa"/>
            <w:tcBorders>
              <w:top w:val="nil"/>
              <w:left w:val="nil"/>
              <w:bottom w:val="nil"/>
              <w:right w:val="nil"/>
            </w:tcBorders>
            <w:shd w:val="clear" w:color="auto" w:fill="auto"/>
            <w:noWrap/>
            <w:vAlign w:val="center"/>
          </w:tcPr>
          <w:p w14:paraId="40762092">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70FB">
            <w:pPr>
              <w:keepNext w:val="0"/>
              <w:keepLines w:val="0"/>
              <w:pageBreakBefore w:val="0"/>
              <w:widowControl/>
              <w:suppressLineNumbers w:val="0"/>
              <w:kinsoku/>
              <w:wordWrap/>
              <w:bidi w:val="0"/>
              <w:spacing w:line="59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企业提供项目可研报告，从专家库中抽取相关专家进行评审（3个工作日），现场评审则5个工作日内出具评审意见</w:t>
            </w:r>
          </w:p>
        </w:tc>
        <w:tc>
          <w:tcPr>
            <w:tcW w:w="300" w:type="dxa"/>
            <w:tcBorders>
              <w:top w:val="nil"/>
              <w:left w:val="nil"/>
              <w:bottom w:val="nil"/>
              <w:right w:val="nil"/>
            </w:tcBorders>
            <w:shd w:val="clear" w:color="auto" w:fill="auto"/>
            <w:noWrap/>
            <w:vAlign w:val="center"/>
          </w:tcPr>
          <w:p w14:paraId="53D71E94">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7618">
            <w:pPr>
              <w:keepNext w:val="0"/>
              <w:keepLines w:val="0"/>
              <w:pageBreakBefore w:val="0"/>
              <w:widowControl/>
              <w:suppressLineNumbers w:val="0"/>
              <w:kinsoku/>
              <w:wordWrap/>
              <w:bidi w:val="0"/>
              <w:spacing w:line="59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经开区与企业就项目选址、投资规模、扶持政策等进行洽谈</w:t>
            </w:r>
          </w:p>
        </w:tc>
        <w:tc>
          <w:tcPr>
            <w:tcW w:w="366" w:type="dxa"/>
            <w:tcBorders>
              <w:top w:val="nil"/>
              <w:left w:val="nil"/>
              <w:bottom w:val="nil"/>
              <w:right w:val="nil"/>
            </w:tcBorders>
            <w:shd w:val="clear" w:color="auto" w:fill="auto"/>
            <w:noWrap/>
            <w:vAlign w:val="center"/>
          </w:tcPr>
          <w:p w14:paraId="7BF047F5">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EB592">
            <w:pPr>
              <w:keepNext w:val="0"/>
              <w:keepLines w:val="0"/>
              <w:pageBreakBefore w:val="0"/>
              <w:widowControl/>
              <w:suppressLineNumbers w:val="0"/>
              <w:kinsoku/>
              <w:wordWrap/>
              <w:bidi w:val="0"/>
              <w:spacing w:line="59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谈判达成一致后进行项目投资合同起草</w:t>
            </w:r>
          </w:p>
        </w:tc>
        <w:tc>
          <w:tcPr>
            <w:tcW w:w="317" w:type="dxa"/>
            <w:tcBorders>
              <w:top w:val="nil"/>
              <w:left w:val="nil"/>
              <w:bottom w:val="nil"/>
              <w:right w:val="nil"/>
            </w:tcBorders>
            <w:shd w:val="clear" w:color="auto" w:fill="auto"/>
            <w:noWrap/>
            <w:vAlign w:val="center"/>
          </w:tcPr>
          <w:p w14:paraId="731E2834">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2E0B">
            <w:pPr>
              <w:keepNext w:val="0"/>
              <w:keepLines w:val="0"/>
              <w:pageBreakBefore w:val="0"/>
              <w:widowControl/>
              <w:suppressLineNumbers w:val="0"/>
              <w:kinsoku/>
              <w:wordWrap/>
              <w:bidi w:val="0"/>
              <w:spacing w:line="59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征求部门、律师意见、法制部门意见、领导意见，并根据反馈意见进行合同修改，提请主任办公会研究（2个工作日）</w:t>
            </w:r>
          </w:p>
        </w:tc>
        <w:tc>
          <w:tcPr>
            <w:tcW w:w="347" w:type="dxa"/>
            <w:tcBorders>
              <w:top w:val="nil"/>
              <w:left w:val="nil"/>
              <w:bottom w:val="nil"/>
              <w:right w:val="nil"/>
            </w:tcBorders>
            <w:shd w:val="clear" w:color="auto" w:fill="auto"/>
            <w:noWrap/>
            <w:vAlign w:val="center"/>
          </w:tcPr>
          <w:p w14:paraId="31143D2C">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2003" w:type="dxa"/>
            <w:tcBorders>
              <w:top w:val="single" w:color="000000" w:sz="4" w:space="0"/>
              <w:left w:val="single" w:color="000000" w:sz="4" w:space="0"/>
              <w:bottom w:val="single" w:color="000000" w:sz="4" w:space="0"/>
              <w:right w:val="single" w:color="auto" w:sz="4" w:space="0"/>
            </w:tcBorders>
            <w:shd w:val="clear" w:color="auto" w:fill="auto"/>
            <w:vAlign w:val="center"/>
          </w:tcPr>
          <w:p w14:paraId="1865401C">
            <w:pPr>
              <w:keepNext w:val="0"/>
              <w:keepLines w:val="0"/>
              <w:pageBreakBefore w:val="0"/>
              <w:widowControl/>
              <w:suppressLineNumbers w:val="0"/>
              <w:kinsoku/>
              <w:wordWrap/>
              <w:bidi w:val="0"/>
              <w:spacing w:line="59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主任办公会议研究  （3个工作日印发会议纪要）</w:t>
            </w:r>
          </w:p>
        </w:tc>
        <w:tc>
          <w:tcPr>
            <w:tcW w:w="350" w:type="dxa"/>
            <w:tcBorders>
              <w:top w:val="nil"/>
              <w:left w:val="single" w:color="auto" w:sz="4" w:space="0"/>
              <w:bottom w:val="nil"/>
              <w:right w:val="single" w:color="auto" w:sz="4" w:space="0"/>
            </w:tcBorders>
            <w:shd w:val="clear" w:color="auto" w:fill="auto"/>
            <w:vAlign w:val="center"/>
          </w:tcPr>
          <w:p w14:paraId="01C1223F">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17" w:type="dxa"/>
            <w:tcBorders>
              <w:top w:val="single" w:color="000000" w:sz="4" w:space="0"/>
              <w:left w:val="single" w:color="auto" w:sz="4" w:space="0"/>
              <w:bottom w:val="single" w:color="000000" w:sz="4" w:space="0"/>
              <w:right w:val="single" w:color="000000" w:sz="4" w:space="0"/>
            </w:tcBorders>
            <w:shd w:val="clear" w:color="auto" w:fill="auto"/>
            <w:vAlign w:val="center"/>
          </w:tcPr>
          <w:p w14:paraId="454FC9DD">
            <w:pPr>
              <w:keepNext w:val="0"/>
              <w:keepLines w:val="0"/>
              <w:pageBreakBefore w:val="0"/>
              <w:widowControl/>
              <w:suppressLineNumbers w:val="0"/>
              <w:kinsoku/>
              <w:wordWrap/>
              <w:bidi w:val="0"/>
              <w:spacing w:line="59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按照合同管理办法履行签约程序</w:t>
            </w:r>
          </w:p>
        </w:tc>
      </w:tr>
      <w:tr w14:paraId="185C902A">
        <w:tblPrEx>
          <w:tblCellMar>
            <w:top w:w="0" w:type="dxa"/>
            <w:left w:w="108" w:type="dxa"/>
            <w:bottom w:w="0" w:type="dxa"/>
            <w:right w:w="108" w:type="dxa"/>
          </w:tblCellMar>
        </w:tblPrEx>
        <w:trPr>
          <w:gridBefore w:val="1"/>
          <w:wBefore w:w="44" w:type="dxa"/>
          <w:trHeight w:val="528" w:hRule="atLeast"/>
        </w:trPr>
        <w:tc>
          <w:tcPr>
            <w:tcW w:w="1331" w:type="dxa"/>
            <w:gridSpan w:val="2"/>
            <w:tcBorders>
              <w:top w:val="nil"/>
              <w:left w:val="nil"/>
              <w:bottom w:val="nil"/>
              <w:right w:val="nil"/>
            </w:tcBorders>
            <w:shd w:val="clear" w:color="auto" w:fill="auto"/>
            <w:noWrap/>
            <w:vAlign w:val="center"/>
          </w:tcPr>
          <w:p w14:paraId="3C11412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sz w:val="36"/>
                <w:szCs w:val="36"/>
                <w:u w:val="none"/>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470" w:type="dxa"/>
            <w:gridSpan w:val="2"/>
            <w:tcBorders>
              <w:top w:val="nil"/>
              <w:left w:val="nil"/>
              <w:bottom w:val="nil"/>
              <w:right w:val="nil"/>
            </w:tcBorders>
            <w:shd w:val="clear" w:color="auto" w:fill="auto"/>
            <w:noWrap/>
            <w:vAlign w:val="center"/>
          </w:tcPr>
          <w:p w14:paraId="27A67FB7">
            <w:pPr>
              <w:keepNext w:val="0"/>
              <w:keepLines w:val="0"/>
              <w:pageBreakBefore w:val="0"/>
              <w:widowControl/>
              <w:kinsoku/>
              <w:wordWrap/>
              <w:overflowPunct/>
              <w:topLinePunct w:val="0"/>
              <w:autoSpaceDE/>
              <w:autoSpaceDN/>
              <w:bidi w:val="0"/>
              <w:adjustRightInd/>
              <w:snapToGrid/>
              <w:spacing w:line="590" w:lineRule="exact"/>
              <w:rPr>
                <w:rFonts w:hint="default" w:ascii="Times New Roman" w:hAnsi="Times New Roman" w:eastAsia="宋体" w:cs="Times New Roman"/>
                <w:i w:val="0"/>
                <w:iCs w:val="0"/>
                <w:color w:val="000000"/>
                <w:sz w:val="22"/>
                <w:szCs w:val="22"/>
                <w:u w:val="none"/>
              </w:rPr>
            </w:pPr>
          </w:p>
        </w:tc>
        <w:tc>
          <w:tcPr>
            <w:tcW w:w="1416" w:type="dxa"/>
            <w:tcBorders>
              <w:top w:val="nil"/>
              <w:left w:val="nil"/>
              <w:bottom w:val="nil"/>
              <w:right w:val="nil"/>
            </w:tcBorders>
            <w:shd w:val="clear" w:color="auto" w:fill="auto"/>
            <w:noWrap/>
            <w:vAlign w:val="center"/>
          </w:tcPr>
          <w:p w14:paraId="49A7C15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278" w:type="dxa"/>
            <w:tcBorders>
              <w:top w:val="nil"/>
              <w:left w:val="nil"/>
              <w:bottom w:val="nil"/>
              <w:right w:val="nil"/>
            </w:tcBorders>
            <w:shd w:val="clear" w:color="auto" w:fill="auto"/>
            <w:noWrap/>
            <w:vAlign w:val="center"/>
          </w:tcPr>
          <w:p w14:paraId="4BCC7666">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1456" w:type="dxa"/>
            <w:tcBorders>
              <w:top w:val="nil"/>
              <w:left w:val="nil"/>
              <w:bottom w:val="nil"/>
              <w:right w:val="nil"/>
            </w:tcBorders>
            <w:shd w:val="clear" w:color="auto" w:fill="auto"/>
            <w:noWrap/>
            <w:vAlign w:val="center"/>
          </w:tcPr>
          <w:p w14:paraId="5276483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300" w:type="dxa"/>
            <w:tcBorders>
              <w:top w:val="nil"/>
              <w:left w:val="nil"/>
              <w:bottom w:val="nil"/>
              <w:right w:val="nil"/>
            </w:tcBorders>
            <w:shd w:val="clear" w:color="auto" w:fill="auto"/>
            <w:noWrap/>
            <w:vAlign w:val="center"/>
          </w:tcPr>
          <w:p w14:paraId="15EE5FCD">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1266" w:type="dxa"/>
            <w:tcBorders>
              <w:top w:val="nil"/>
              <w:left w:val="nil"/>
              <w:bottom w:val="nil"/>
              <w:right w:val="nil"/>
            </w:tcBorders>
            <w:shd w:val="clear" w:color="auto" w:fill="auto"/>
            <w:noWrap/>
            <w:vAlign w:val="center"/>
          </w:tcPr>
          <w:p w14:paraId="128CE53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366" w:type="dxa"/>
            <w:tcBorders>
              <w:top w:val="nil"/>
              <w:left w:val="nil"/>
              <w:bottom w:val="nil"/>
              <w:right w:val="nil"/>
            </w:tcBorders>
            <w:shd w:val="clear" w:color="auto" w:fill="auto"/>
            <w:noWrap/>
            <w:vAlign w:val="center"/>
          </w:tcPr>
          <w:p w14:paraId="665F8705">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1151" w:type="dxa"/>
            <w:gridSpan w:val="2"/>
            <w:tcBorders>
              <w:top w:val="nil"/>
              <w:left w:val="nil"/>
              <w:bottom w:val="nil"/>
              <w:right w:val="nil"/>
            </w:tcBorders>
            <w:shd w:val="clear" w:color="auto" w:fill="auto"/>
            <w:noWrap/>
            <w:vAlign w:val="center"/>
          </w:tcPr>
          <w:p w14:paraId="0272B80C">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317" w:type="dxa"/>
            <w:tcBorders>
              <w:top w:val="nil"/>
              <w:left w:val="nil"/>
              <w:bottom w:val="nil"/>
              <w:right w:val="nil"/>
            </w:tcBorders>
            <w:shd w:val="clear" w:color="auto" w:fill="auto"/>
            <w:noWrap/>
            <w:vAlign w:val="center"/>
          </w:tcPr>
          <w:p w14:paraId="16F2ED0E">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2166" w:type="dxa"/>
            <w:tcBorders>
              <w:top w:val="nil"/>
              <w:left w:val="nil"/>
              <w:bottom w:val="nil"/>
              <w:right w:val="nil"/>
            </w:tcBorders>
            <w:shd w:val="clear" w:color="auto" w:fill="auto"/>
            <w:noWrap/>
            <w:vAlign w:val="center"/>
          </w:tcPr>
          <w:p w14:paraId="4BB69F5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347" w:type="dxa"/>
            <w:tcBorders>
              <w:top w:val="nil"/>
              <w:left w:val="nil"/>
              <w:bottom w:val="nil"/>
              <w:right w:val="nil"/>
            </w:tcBorders>
            <w:shd w:val="clear" w:color="auto" w:fill="auto"/>
            <w:noWrap/>
            <w:vAlign w:val="center"/>
          </w:tcPr>
          <w:p w14:paraId="5505B51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2003" w:type="dxa"/>
            <w:tcBorders>
              <w:top w:val="nil"/>
              <w:left w:val="nil"/>
              <w:bottom w:val="nil"/>
              <w:right w:val="nil"/>
            </w:tcBorders>
            <w:shd w:val="clear" w:color="auto" w:fill="auto"/>
            <w:noWrap/>
            <w:vAlign w:val="center"/>
          </w:tcPr>
          <w:p w14:paraId="7E7F7CAD">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350" w:type="dxa"/>
            <w:tcBorders>
              <w:top w:val="nil"/>
              <w:left w:val="nil"/>
              <w:bottom w:val="nil"/>
              <w:right w:val="nil"/>
            </w:tcBorders>
            <w:shd w:val="clear" w:color="auto" w:fill="auto"/>
            <w:noWrap/>
            <w:vAlign w:val="center"/>
          </w:tcPr>
          <w:p w14:paraId="0042690C">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817" w:type="dxa"/>
            <w:tcBorders>
              <w:top w:val="nil"/>
              <w:left w:val="nil"/>
              <w:bottom w:val="single" w:color="auto" w:sz="4" w:space="0"/>
              <w:right w:val="nil"/>
            </w:tcBorders>
            <w:shd w:val="clear" w:color="auto" w:fill="auto"/>
            <w:noWrap/>
            <w:vAlign w:val="center"/>
          </w:tcPr>
          <w:p w14:paraId="0BA259D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r>
      <w:tr w14:paraId="391E0F8B">
        <w:tblPrEx>
          <w:tblCellMar>
            <w:top w:w="0" w:type="dxa"/>
            <w:left w:w="108" w:type="dxa"/>
            <w:bottom w:w="0" w:type="dxa"/>
            <w:right w:w="108" w:type="dxa"/>
          </w:tblCellMar>
        </w:tblPrEx>
        <w:trPr>
          <w:trHeight w:val="823" w:hRule="atLeast"/>
        </w:trPr>
        <w:tc>
          <w:tcPr>
            <w:tcW w:w="1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FC298">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招商局</w:t>
            </w:r>
          </w:p>
        </w:tc>
        <w:tc>
          <w:tcPr>
            <w:tcW w:w="470" w:type="dxa"/>
            <w:gridSpan w:val="2"/>
            <w:tcBorders>
              <w:top w:val="nil"/>
              <w:left w:val="single" w:color="000000" w:sz="4" w:space="0"/>
              <w:bottom w:val="nil"/>
              <w:right w:val="single" w:color="000000" w:sz="4" w:space="0"/>
            </w:tcBorders>
            <w:shd w:val="clear" w:color="auto" w:fill="auto"/>
            <w:vAlign w:val="center"/>
          </w:tcPr>
          <w:p w14:paraId="6E662E5B">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1416" w:type="dxa"/>
            <w:tcBorders>
              <w:top w:val="single" w:color="000000" w:sz="4" w:space="0"/>
              <w:left w:val="nil"/>
              <w:bottom w:val="single" w:color="000000" w:sz="4" w:space="0"/>
              <w:right w:val="nil"/>
            </w:tcBorders>
            <w:shd w:val="clear" w:color="auto" w:fill="auto"/>
            <w:vAlign w:val="center"/>
          </w:tcPr>
          <w:p w14:paraId="34AD5BAF">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招商局</w:t>
            </w:r>
          </w:p>
        </w:tc>
        <w:tc>
          <w:tcPr>
            <w:tcW w:w="278" w:type="dxa"/>
            <w:tcBorders>
              <w:top w:val="nil"/>
              <w:left w:val="single" w:color="000000" w:sz="4" w:space="0"/>
              <w:bottom w:val="nil"/>
              <w:right w:val="single" w:color="000000" w:sz="4" w:space="0"/>
            </w:tcBorders>
            <w:shd w:val="clear" w:color="auto" w:fill="auto"/>
            <w:vAlign w:val="top"/>
          </w:tcPr>
          <w:p w14:paraId="257FD5FB">
            <w:pPr>
              <w:keepNext w:val="0"/>
              <w:keepLines w:val="0"/>
              <w:pageBreakBefore w:val="0"/>
              <w:kinsoku/>
              <w:wordWrap/>
              <w:bidi w:val="0"/>
              <w:spacing w:line="590" w:lineRule="exact"/>
              <w:jc w:val="both"/>
              <w:rPr>
                <w:rFonts w:hint="default" w:ascii="Times New Roman" w:hAnsi="Times New Roman" w:eastAsia="宋体" w:cs="Times New Roman"/>
                <w:i w:val="0"/>
                <w:iCs w:val="0"/>
                <w:color w:val="000000"/>
                <w:sz w:val="18"/>
                <w:szCs w:val="18"/>
                <w:u w:val="none"/>
              </w:rPr>
            </w:pPr>
          </w:p>
        </w:tc>
        <w:tc>
          <w:tcPr>
            <w:tcW w:w="1456" w:type="dxa"/>
            <w:tcBorders>
              <w:top w:val="single" w:color="000000" w:sz="4" w:space="0"/>
              <w:left w:val="nil"/>
              <w:bottom w:val="single" w:color="000000" w:sz="4" w:space="0"/>
              <w:right w:val="nil"/>
            </w:tcBorders>
            <w:shd w:val="clear" w:color="auto" w:fill="auto"/>
            <w:vAlign w:val="center"/>
          </w:tcPr>
          <w:p w14:paraId="41E46527">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招商局</w:t>
            </w:r>
          </w:p>
        </w:tc>
        <w:tc>
          <w:tcPr>
            <w:tcW w:w="300" w:type="dxa"/>
            <w:tcBorders>
              <w:top w:val="nil"/>
              <w:left w:val="single" w:color="000000" w:sz="4" w:space="0"/>
              <w:bottom w:val="nil"/>
              <w:right w:val="single" w:color="000000" w:sz="4" w:space="0"/>
            </w:tcBorders>
            <w:shd w:val="clear" w:color="auto" w:fill="auto"/>
            <w:vAlign w:val="center"/>
          </w:tcPr>
          <w:p w14:paraId="28A91DD8">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1266" w:type="dxa"/>
            <w:tcBorders>
              <w:top w:val="single" w:color="000000" w:sz="4" w:space="0"/>
              <w:left w:val="nil"/>
              <w:bottom w:val="single" w:color="000000" w:sz="4" w:space="0"/>
              <w:right w:val="nil"/>
            </w:tcBorders>
            <w:shd w:val="clear" w:color="auto" w:fill="auto"/>
            <w:vAlign w:val="center"/>
          </w:tcPr>
          <w:p w14:paraId="6FA71888">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招商局</w:t>
            </w:r>
            <w:r>
              <w:rPr>
                <w:rFonts w:hint="default" w:ascii="Times New Roman" w:hAnsi="Times New Roman" w:eastAsia="宋体" w:cs="Times New Roman"/>
                <w:i w:val="0"/>
                <w:iCs w:val="0"/>
                <w:color w:val="000000"/>
                <w:kern w:val="0"/>
                <w:sz w:val="18"/>
                <w:szCs w:val="18"/>
                <w:u w:val="none"/>
                <w:lang w:eastAsia="zh-CN" w:bidi="ar"/>
              </w:rPr>
              <w:t>、管委会相关部门</w:t>
            </w:r>
          </w:p>
        </w:tc>
        <w:tc>
          <w:tcPr>
            <w:tcW w:w="366" w:type="dxa"/>
            <w:tcBorders>
              <w:top w:val="nil"/>
              <w:left w:val="single" w:color="000000" w:sz="4" w:space="0"/>
              <w:bottom w:val="nil"/>
              <w:right w:val="single" w:color="000000" w:sz="4" w:space="0"/>
            </w:tcBorders>
            <w:shd w:val="clear" w:color="auto" w:fill="auto"/>
            <w:vAlign w:val="top"/>
          </w:tcPr>
          <w:p w14:paraId="488BD054">
            <w:pPr>
              <w:keepNext w:val="0"/>
              <w:keepLines w:val="0"/>
              <w:pageBreakBefore w:val="0"/>
              <w:kinsoku/>
              <w:wordWrap/>
              <w:bidi w:val="0"/>
              <w:spacing w:line="590" w:lineRule="exact"/>
              <w:jc w:val="both"/>
              <w:rPr>
                <w:rFonts w:hint="default" w:ascii="Times New Roman" w:hAnsi="Times New Roman" w:eastAsia="宋体" w:cs="Times New Roman"/>
                <w:i w:val="0"/>
                <w:iCs w:val="0"/>
                <w:color w:val="000000"/>
                <w:sz w:val="18"/>
                <w:szCs w:val="18"/>
                <w:u w:val="none"/>
              </w:rPr>
            </w:pPr>
          </w:p>
        </w:tc>
        <w:tc>
          <w:tcPr>
            <w:tcW w:w="1151" w:type="dxa"/>
            <w:gridSpan w:val="2"/>
            <w:tcBorders>
              <w:top w:val="single" w:color="000000" w:sz="4" w:space="0"/>
              <w:left w:val="nil"/>
              <w:bottom w:val="single" w:color="000000" w:sz="4" w:space="0"/>
              <w:right w:val="nil"/>
            </w:tcBorders>
            <w:shd w:val="clear" w:color="auto" w:fill="auto"/>
            <w:vAlign w:val="center"/>
          </w:tcPr>
          <w:p w14:paraId="025C17CC">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招商局</w:t>
            </w:r>
          </w:p>
        </w:tc>
        <w:tc>
          <w:tcPr>
            <w:tcW w:w="317" w:type="dxa"/>
            <w:tcBorders>
              <w:top w:val="nil"/>
              <w:left w:val="single" w:color="000000" w:sz="4" w:space="0"/>
              <w:bottom w:val="nil"/>
              <w:right w:val="single" w:color="000000" w:sz="4" w:space="0"/>
            </w:tcBorders>
            <w:shd w:val="clear" w:color="auto" w:fill="auto"/>
            <w:vAlign w:val="center"/>
          </w:tcPr>
          <w:p w14:paraId="23640244">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2166" w:type="dxa"/>
            <w:tcBorders>
              <w:top w:val="single" w:color="000000" w:sz="4" w:space="0"/>
              <w:left w:val="nil"/>
              <w:bottom w:val="single" w:color="000000" w:sz="4" w:space="0"/>
              <w:right w:val="nil"/>
            </w:tcBorders>
            <w:shd w:val="clear" w:color="auto" w:fill="auto"/>
            <w:vAlign w:val="center"/>
          </w:tcPr>
          <w:p w14:paraId="47FE7F47">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lang w:eastAsia="zh-CN"/>
              </w:rPr>
            </w:pPr>
            <w:r>
              <w:rPr>
                <w:rFonts w:hint="default" w:ascii="Times New Roman" w:hAnsi="Times New Roman" w:eastAsia="宋体" w:cs="Times New Roman"/>
                <w:i w:val="0"/>
                <w:iCs w:val="0"/>
                <w:color w:val="000000"/>
                <w:sz w:val="18"/>
                <w:szCs w:val="18"/>
                <w:u w:val="none"/>
                <w:lang w:eastAsia="zh-CN"/>
              </w:rPr>
              <w:t>管委会相关部门、律师、法制部门</w:t>
            </w:r>
          </w:p>
        </w:tc>
        <w:tc>
          <w:tcPr>
            <w:tcW w:w="347" w:type="dxa"/>
            <w:tcBorders>
              <w:top w:val="nil"/>
              <w:left w:val="single" w:color="000000" w:sz="4" w:space="0"/>
              <w:bottom w:val="nil"/>
              <w:right w:val="single" w:color="000000" w:sz="4" w:space="0"/>
            </w:tcBorders>
            <w:shd w:val="clear" w:color="auto" w:fill="auto"/>
            <w:vAlign w:val="center"/>
          </w:tcPr>
          <w:p w14:paraId="17D322D5">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2003" w:type="dxa"/>
            <w:tcBorders>
              <w:top w:val="single" w:color="000000" w:sz="4" w:space="0"/>
              <w:left w:val="nil"/>
              <w:bottom w:val="single" w:color="000000" w:sz="4" w:space="0"/>
              <w:right w:val="single" w:color="000000" w:sz="4" w:space="0"/>
            </w:tcBorders>
            <w:shd w:val="clear" w:color="auto" w:fill="auto"/>
            <w:vAlign w:val="center"/>
          </w:tcPr>
          <w:p w14:paraId="270F4DED">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党政办</w:t>
            </w:r>
          </w:p>
        </w:tc>
        <w:tc>
          <w:tcPr>
            <w:tcW w:w="350" w:type="dxa"/>
            <w:tcBorders>
              <w:top w:val="nil"/>
              <w:left w:val="nil"/>
              <w:bottom w:val="nil"/>
              <w:right w:val="single" w:color="auto" w:sz="4" w:space="0"/>
            </w:tcBorders>
            <w:shd w:val="clear" w:color="auto" w:fill="auto"/>
            <w:vAlign w:val="center"/>
          </w:tcPr>
          <w:p w14:paraId="344A8613">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6C49F67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招商局</w:t>
            </w:r>
          </w:p>
        </w:tc>
      </w:tr>
    </w:tbl>
    <w:p w14:paraId="20DD47B8">
      <w:pPr>
        <w:pStyle w:val="2"/>
        <w:keepNext w:val="0"/>
        <w:keepLines w:val="0"/>
        <w:pageBreakBefore w:val="0"/>
        <w:kinsoku/>
        <w:wordWrap/>
        <w:bidi w:val="0"/>
        <w:spacing w:line="590" w:lineRule="exact"/>
        <w:rPr>
          <w:rFonts w:hint="default" w:ascii="Times New Roman" w:hAnsi="Times New Roman" w:cs="Times New Roman"/>
          <w:sz w:val="18"/>
          <w:szCs w:val="18"/>
          <w:lang w:eastAsia="zh-CN"/>
        </w:rPr>
      </w:pPr>
    </w:p>
    <w:p w14:paraId="433C0401">
      <w:pPr>
        <w:pStyle w:val="2"/>
        <w:keepNext w:val="0"/>
        <w:keepLines w:val="0"/>
        <w:pageBreakBefore w:val="0"/>
        <w:kinsoku/>
        <w:wordWrap/>
        <w:bidi w:val="0"/>
        <w:spacing w:line="590" w:lineRule="exact"/>
        <w:rPr>
          <w:rFonts w:hint="default" w:ascii="Times New Roman" w:hAnsi="Times New Roman" w:cs="Times New Roman"/>
          <w:sz w:val="18"/>
          <w:szCs w:val="18"/>
          <w:lang w:eastAsia="zh-CN"/>
        </w:rPr>
      </w:pPr>
    </w:p>
    <w:p w14:paraId="42010A52">
      <w:pPr>
        <w:pStyle w:val="2"/>
        <w:keepNext w:val="0"/>
        <w:keepLines w:val="0"/>
        <w:pageBreakBefore w:val="0"/>
        <w:kinsoku/>
        <w:wordWrap/>
        <w:bidi w:val="0"/>
        <w:spacing w:line="590" w:lineRule="exact"/>
        <w:rPr>
          <w:rFonts w:hint="default" w:ascii="Times New Roman" w:hAnsi="Times New Roman" w:cs="Times New Roman"/>
          <w:sz w:val="18"/>
          <w:szCs w:val="18"/>
          <w:lang w:eastAsia="zh-CN"/>
        </w:rPr>
      </w:pPr>
    </w:p>
    <w:p w14:paraId="1C0B8CC0">
      <w:pPr>
        <w:pStyle w:val="2"/>
        <w:keepNext w:val="0"/>
        <w:keepLines w:val="0"/>
        <w:pageBreakBefore w:val="0"/>
        <w:kinsoku/>
        <w:wordWrap/>
        <w:bidi w:val="0"/>
        <w:spacing w:line="590" w:lineRule="exact"/>
        <w:rPr>
          <w:rFonts w:hint="default" w:ascii="Times New Roman" w:hAnsi="Times New Roman" w:cs="Times New Roman"/>
          <w:sz w:val="18"/>
          <w:szCs w:val="18"/>
          <w:lang w:eastAsia="zh-CN"/>
        </w:rPr>
      </w:pPr>
    </w:p>
    <w:p w14:paraId="00FB203B">
      <w:pPr>
        <w:pStyle w:val="2"/>
        <w:keepNext w:val="0"/>
        <w:keepLines w:val="0"/>
        <w:pageBreakBefore w:val="0"/>
        <w:kinsoku/>
        <w:wordWrap/>
        <w:bidi w:val="0"/>
        <w:spacing w:line="590" w:lineRule="exact"/>
        <w:rPr>
          <w:rFonts w:hint="default" w:ascii="Times New Roman" w:hAnsi="Times New Roman" w:cs="Times New Roman"/>
          <w:sz w:val="18"/>
          <w:szCs w:val="18"/>
          <w:lang w:eastAsia="zh-CN"/>
        </w:rPr>
      </w:pPr>
    </w:p>
    <w:p w14:paraId="54759288">
      <w:pPr>
        <w:pStyle w:val="2"/>
        <w:keepNext w:val="0"/>
        <w:keepLines w:val="0"/>
        <w:pageBreakBefore w:val="0"/>
        <w:kinsoku/>
        <w:wordWrap/>
        <w:bidi w:val="0"/>
        <w:spacing w:line="590" w:lineRule="exact"/>
        <w:rPr>
          <w:rFonts w:hint="default" w:ascii="Times New Roman" w:hAnsi="Times New Roman" w:cs="Times New Roman"/>
          <w:sz w:val="18"/>
          <w:szCs w:val="18"/>
          <w:lang w:eastAsia="zh-CN"/>
        </w:rPr>
      </w:pP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6"/>
        <w:gridCol w:w="518"/>
        <w:gridCol w:w="1504"/>
        <w:gridCol w:w="564"/>
        <w:gridCol w:w="1504"/>
        <w:gridCol w:w="430"/>
        <w:gridCol w:w="1530"/>
        <w:gridCol w:w="360"/>
        <w:gridCol w:w="2085"/>
        <w:gridCol w:w="396"/>
        <w:gridCol w:w="1507"/>
        <w:gridCol w:w="702"/>
        <w:gridCol w:w="1507"/>
        <w:gridCol w:w="31"/>
      </w:tblGrid>
      <w:tr w14:paraId="281D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30" w:type="pct"/>
          <w:trHeight w:val="1029" w:hRule="atLeast"/>
        </w:trPr>
        <w:tc>
          <w:tcPr>
            <w:tcW w:w="4469" w:type="pct"/>
            <w:gridSpan w:val="14"/>
            <w:tcBorders>
              <w:top w:val="nil"/>
              <w:left w:val="nil"/>
              <w:bottom w:val="single" w:color="auto" w:sz="4" w:space="0"/>
              <w:right w:val="nil"/>
            </w:tcBorders>
          </w:tcPr>
          <w:p w14:paraId="3EDD5305">
            <w:pPr>
              <w:keepNext w:val="0"/>
              <w:keepLines w:val="0"/>
              <w:pageBreakBefore w:val="0"/>
              <w:widowControl w:val="0"/>
              <w:kinsoku/>
              <w:wordWrap/>
              <w:overflowPunct/>
              <w:topLinePunct w:val="0"/>
              <w:autoSpaceDE/>
              <w:autoSpaceDN/>
              <w:bidi w:val="0"/>
              <w:adjustRightInd/>
              <w:snapToGrid/>
              <w:spacing w:line="590" w:lineRule="exact"/>
              <w:ind w:firstLine="2200" w:firstLineChars="500"/>
              <w:jc w:val="both"/>
              <w:textAlignment w:val="auto"/>
              <w:rPr>
                <w:rFonts w:hint="default" w:ascii="Times New Roman" w:hAnsi="Times New Roman" w:eastAsia="方正小标宋_GBK" w:cs="Times New Roman"/>
                <w:b w:val="0"/>
                <w:bCs w:val="0"/>
                <w:i w:val="0"/>
                <w:iCs w:val="0"/>
                <w:color w:val="000000"/>
                <w:kern w:val="2"/>
                <w:sz w:val="44"/>
                <w:szCs w:val="44"/>
                <w:u w:val="none"/>
                <w:lang w:val="en-US" w:eastAsia="zh-CN" w:bidi="ar-SA"/>
              </w:rPr>
            </w:pPr>
            <w:r>
              <w:rPr>
                <w:rFonts w:hint="default" w:ascii="Times New Roman" w:hAnsi="Times New Roman" w:eastAsia="方正小标宋_GBK" w:cs="Times New Roman"/>
                <w:b w:val="0"/>
                <w:bCs w:val="0"/>
                <w:i w:val="0"/>
                <w:iCs w:val="0"/>
                <w:color w:val="000000"/>
                <w:kern w:val="2"/>
                <w:sz w:val="44"/>
                <w:szCs w:val="44"/>
                <w:u w:val="none"/>
                <w:lang w:val="en-US" w:eastAsia="zh-CN" w:bidi="ar-SA"/>
              </w:rPr>
              <w:t>经开区招商引资入区前期工作流程</w:t>
            </w:r>
          </w:p>
          <w:p w14:paraId="59E2CA3E">
            <w:pPr>
              <w:pStyle w:val="11"/>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default" w:ascii="Times New Roman" w:hAnsi="Times New Roman" w:eastAsia="宋体" w:cs="Times New Roman"/>
                <w:b/>
                <w:bCs/>
                <w:i w:val="0"/>
                <w:iCs w:val="0"/>
                <w:color w:val="000000"/>
                <w:kern w:val="2"/>
                <w:sz w:val="44"/>
                <w:szCs w:val="44"/>
                <w:u w:val="none"/>
                <w:lang w:val="en-US" w:eastAsia="zh-CN" w:bidi="ar-SA"/>
              </w:rPr>
            </w:pPr>
            <w:r>
              <w:rPr>
                <w:rFonts w:hint="default" w:ascii="Times New Roman" w:hAnsi="Times New Roman" w:eastAsia="方正黑体_GBK" w:cs="Times New Roman"/>
                <w:b w:val="0"/>
                <w:bCs w:val="0"/>
                <w:i w:val="0"/>
                <w:iCs w:val="0"/>
                <w:color w:val="000000"/>
                <w:kern w:val="2"/>
                <w:sz w:val="24"/>
                <w:szCs w:val="24"/>
                <w:u w:val="none"/>
                <w:lang w:val="en-US" w:eastAsia="zh-CN" w:bidi="ar-SA"/>
              </w:rPr>
              <w:t>办理部门：营商环境局牵头，相关部门配合</w:t>
            </w:r>
          </w:p>
        </w:tc>
      </w:tr>
      <w:tr w14:paraId="16F39A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0" w:type="pct"/>
          <w:trHeight w:val="1045" w:hRule="atLeast"/>
        </w:trPr>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75B7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sz w:val="18"/>
                <w:szCs w:val="18"/>
                <w:u w:val="none"/>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注册登记</w:t>
            </w:r>
          </w:p>
        </w:tc>
        <w:tc>
          <w:tcPr>
            <w:tcW w:w="182" w:type="pct"/>
            <w:tcBorders>
              <w:top w:val="nil"/>
              <w:left w:val="nil"/>
              <w:bottom w:val="nil"/>
              <w:right w:val="nil"/>
            </w:tcBorders>
            <w:shd w:val="clear" w:color="auto" w:fill="auto"/>
            <w:noWrap/>
            <w:vAlign w:val="center"/>
          </w:tcPr>
          <w:p w14:paraId="36489824">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default" w:ascii="Times New Roman" w:hAnsi="Times New Roman" w:eastAsia="方正黑体_GBK" w:cs="Times New Roman"/>
                <w:b w:val="0"/>
                <w:bCs w:val="0"/>
                <w:i w:val="0"/>
                <w:iCs w:val="0"/>
                <w:color w:val="000000"/>
                <w:sz w:val="18"/>
                <w:szCs w:val="18"/>
                <w:u w:val="none"/>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B46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sz w:val="18"/>
                <w:szCs w:val="18"/>
                <w:u w:val="none"/>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项目核准备案</w:t>
            </w:r>
          </w:p>
        </w:tc>
        <w:tc>
          <w:tcPr>
            <w:tcW w:w="199" w:type="pct"/>
            <w:tcBorders>
              <w:top w:val="nil"/>
              <w:left w:val="nil"/>
              <w:bottom w:val="nil"/>
              <w:right w:val="nil"/>
            </w:tcBorders>
            <w:shd w:val="clear" w:color="auto" w:fill="auto"/>
            <w:noWrap/>
            <w:vAlign w:val="center"/>
          </w:tcPr>
          <w:p w14:paraId="46DB7850">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default" w:ascii="Times New Roman" w:hAnsi="Times New Roman" w:eastAsia="方正黑体_GBK" w:cs="Times New Roman"/>
                <w:b w:val="0"/>
                <w:bCs w:val="0"/>
                <w:i w:val="0"/>
                <w:iCs w:val="0"/>
                <w:color w:val="000000"/>
                <w:sz w:val="18"/>
                <w:szCs w:val="18"/>
                <w:u w:val="none"/>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284E9">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sz w:val="18"/>
                <w:szCs w:val="18"/>
                <w:u w:val="none"/>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环评、安评等手续办理</w:t>
            </w:r>
          </w:p>
        </w:tc>
        <w:tc>
          <w:tcPr>
            <w:tcW w:w="151" w:type="pct"/>
            <w:tcBorders>
              <w:top w:val="nil"/>
              <w:left w:val="nil"/>
              <w:bottom w:val="nil"/>
              <w:right w:val="nil"/>
            </w:tcBorders>
            <w:shd w:val="clear" w:color="auto" w:fill="auto"/>
            <w:noWrap/>
            <w:vAlign w:val="center"/>
          </w:tcPr>
          <w:p w14:paraId="41C823CC">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default" w:ascii="Times New Roman" w:hAnsi="Times New Roman" w:eastAsia="方正黑体_GBK" w:cs="Times New Roman"/>
                <w:b w:val="0"/>
                <w:bCs w:val="0"/>
                <w:i w:val="0"/>
                <w:iCs w:val="0"/>
                <w:color w:val="000000"/>
                <w:sz w:val="18"/>
                <w:szCs w:val="18"/>
                <w:u w:val="none"/>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C762C">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sz w:val="18"/>
                <w:szCs w:val="18"/>
                <w:u w:val="none"/>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规划建设手续办理</w:t>
            </w:r>
          </w:p>
        </w:tc>
        <w:tc>
          <w:tcPr>
            <w:tcW w:w="127" w:type="pct"/>
            <w:tcBorders>
              <w:top w:val="nil"/>
              <w:left w:val="nil"/>
              <w:bottom w:val="nil"/>
              <w:right w:val="nil"/>
            </w:tcBorders>
            <w:shd w:val="clear" w:color="auto" w:fill="auto"/>
            <w:noWrap/>
            <w:vAlign w:val="center"/>
          </w:tcPr>
          <w:p w14:paraId="1A87F4FE">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default" w:ascii="Times New Roman" w:hAnsi="Times New Roman" w:eastAsia="方正黑体_GBK" w:cs="Times New Roman"/>
                <w:b w:val="0"/>
                <w:bCs w:val="0"/>
                <w:i w:val="0"/>
                <w:iCs w:val="0"/>
                <w:color w:val="000000"/>
                <w:sz w:val="18"/>
                <w:szCs w:val="18"/>
                <w:u w:val="none"/>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CDA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sz w:val="18"/>
                <w:szCs w:val="18"/>
                <w:u w:val="none"/>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供地手续办理、规划方案评审</w:t>
            </w:r>
          </w:p>
        </w:tc>
        <w:tc>
          <w:tcPr>
            <w:tcW w:w="139" w:type="pct"/>
            <w:tcBorders>
              <w:top w:val="nil"/>
              <w:left w:val="nil"/>
              <w:bottom w:val="nil"/>
              <w:right w:val="nil"/>
            </w:tcBorders>
            <w:shd w:val="clear" w:color="auto" w:fill="auto"/>
            <w:noWrap/>
            <w:vAlign w:val="center"/>
          </w:tcPr>
          <w:p w14:paraId="0979ADD1">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default" w:ascii="Times New Roman" w:hAnsi="Times New Roman" w:eastAsia="方正黑体_GBK" w:cs="Times New Roman"/>
                <w:b w:val="0"/>
                <w:bCs w:val="0"/>
                <w:i w:val="0"/>
                <w:iCs w:val="0"/>
                <w:color w:val="000000"/>
                <w:sz w:val="18"/>
                <w:szCs w:val="18"/>
                <w:u w:val="none"/>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E801">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sz w:val="18"/>
                <w:szCs w:val="18"/>
                <w:u w:val="none"/>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土地征收</w:t>
            </w:r>
          </w:p>
        </w:tc>
        <w:tc>
          <w:tcPr>
            <w:tcW w:w="247" w:type="pct"/>
            <w:tcBorders>
              <w:top w:val="nil"/>
              <w:left w:val="nil"/>
              <w:bottom w:val="nil"/>
              <w:right w:val="nil"/>
            </w:tcBorders>
            <w:shd w:val="clear" w:color="auto" w:fill="auto"/>
            <w:noWrap/>
            <w:vAlign w:val="center"/>
          </w:tcPr>
          <w:p w14:paraId="3958D147">
            <w:pPr>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center"/>
              <w:rPr>
                <w:rFonts w:hint="default" w:ascii="Times New Roman" w:hAnsi="Times New Roman" w:eastAsia="方正黑体_GBK" w:cs="Times New Roman"/>
                <w:b w:val="0"/>
                <w:bCs w:val="0"/>
                <w:i w:val="0"/>
                <w:iCs w:val="0"/>
                <w:color w:val="000000"/>
                <w:sz w:val="18"/>
                <w:szCs w:val="18"/>
                <w:u w:val="none"/>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F0BF">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方正黑体_GBK" w:cs="Times New Roman"/>
                <w:b w:val="0"/>
                <w:bCs w:val="0"/>
                <w:i w:val="0"/>
                <w:iCs w:val="0"/>
                <w:color w:val="000000"/>
                <w:sz w:val="18"/>
                <w:szCs w:val="18"/>
                <w:u w:val="none"/>
              </w:rPr>
            </w:pPr>
            <w:r>
              <w:rPr>
                <w:rFonts w:hint="default" w:ascii="Times New Roman" w:hAnsi="Times New Roman" w:eastAsia="方正黑体_GBK" w:cs="Times New Roman"/>
                <w:b w:val="0"/>
                <w:bCs w:val="0"/>
                <w:i w:val="0"/>
                <w:iCs w:val="0"/>
                <w:color w:val="000000"/>
                <w:kern w:val="2"/>
                <w:sz w:val="18"/>
                <w:szCs w:val="18"/>
                <w:u w:val="none"/>
                <w:lang w:val="en-US" w:eastAsia="zh-CN" w:bidi="ar-SA"/>
              </w:rPr>
              <w:t>开工建设前手续办理</w:t>
            </w:r>
          </w:p>
        </w:tc>
      </w:tr>
      <w:tr w14:paraId="11B94D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0" w:type="pct"/>
          <w:trHeight w:val="454" w:hRule="atLeast"/>
        </w:trPr>
        <w:tc>
          <w:tcPr>
            <w:tcW w:w="536" w:type="pct"/>
            <w:gridSpan w:val="2"/>
            <w:tcBorders>
              <w:top w:val="nil"/>
              <w:left w:val="nil"/>
              <w:bottom w:val="nil"/>
              <w:right w:val="nil"/>
            </w:tcBorders>
            <w:shd w:val="clear" w:color="auto" w:fill="auto"/>
            <w:noWrap/>
            <w:vAlign w:val="center"/>
          </w:tcPr>
          <w:p w14:paraId="500B897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sz w:val="36"/>
                <w:szCs w:val="36"/>
                <w:u w:val="none"/>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182" w:type="pct"/>
            <w:tcBorders>
              <w:top w:val="nil"/>
              <w:left w:val="nil"/>
              <w:bottom w:val="nil"/>
              <w:right w:val="nil"/>
            </w:tcBorders>
            <w:shd w:val="clear" w:color="auto" w:fill="auto"/>
            <w:noWrap/>
            <w:vAlign w:val="center"/>
          </w:tcPr>
          <w:p w14:paraId="407E5828">
            <w:pPr>
              <w:keepNext w:val="0"/>
              <w:keepLines w:val="0"/>
              <w:pageBreakBefore w:val="0"/>
              <w:widowControl/>
              <w:kinsoku/>
              <w:wordWrap/>
              <w:overflowPunct/>
              <w:topLinePunct w:val="0"/>
              <w:autoSpaceDE/>
              <w:autoSpaceDN/>
              <w:bidi w:val="0"/>
              <w:adjustRightInd/>
              <w:snapToGrid/>
              <w:spacing w:line="590" w:lineRule="exact"/>
              <w:rPr>
                <w:rFonts w:hint="default" w:ascii="Times New Roman" w:hAnsi="Times New Roman" w:eastAsia="宋体" w:cs="Times New Roman"/>
                <w:i w:val="0"/>
                <w:iCs w:val="0"/>
                <w:color w:val="000000"/>
                <w:sz w:val="22"/>
                <w:szCs w:val="22"/>
                <w:u w:val="none"/>
              </w:rPr>
            </w:pPr>
          </w:p>
        </w:tc>
        <w:tc>
          <w:tcPr>
            <w:tcW w:w="531" w:type="pct"/>
            <w:tcBorders>
              <w:top w:val="nil"/>
              <w:left w:val="nil"/>
              <w:bottom w:val="nil"/>
              <w:right w:val="nil"/>
            </w:tcBorders>
            <w:shd w:val="clear" w:color="auto" w:fill="auto"/>
            <w:noWrap/>
            <w:vAlign w:val="center"/>
          </w:tcPr>
          <w:p w14:paraId="44EC2CD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199" w:type="pct"/>
            <w:tcBorders>
              <w:top w:val="nil"/>
              <w:left w:val="nil"/>
              <w:bottom w:val="nil"/>
              <w:right w:val="nil"/>
            </w:tcBorders>
            <w:shd w:val="clear" w:color="auto" w:fill="auto"/>
            <w:noWrap/>
            <w:vAlign w:val="center"/>
          </w:tcPr>
          <w:p w14:paraId="75B27273">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531" w:type="pct"/>
            <w:tcBorders>
              <w:top w:val="nil"/>
              <w:left w:val="nil"/>
              <w:bottom w:val="nil"/>
              <w:right w:val="nil"/>
            </w:tcBorders>
            <w:shd w:val="clear" w:color="auto" w:fill="auto"/>
            <w:noWrap/>
            <w:vAlign w:val="center"/>
          </w:tcPr>
          <w:p w14:paraId="0D05DD26">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151" w:type="pct"/>
            <w:tcBorders>
              <w:top w:val="nil"/>
              <w:left w:val="nil"/>
              <w:bottom w:val="nil"/>
              <w:right w:val="nil"/>
            </w:tcBorders>
            <w:shd w:val="clear" w:color="auto" w:fill="auto"/>
            <w:noWrap/>
            <w:vAlign w:val="center"/>
          </w:tcPr>
          <w:p w14:paraId="125B091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540" w:type="pct"/>
            <w:tcBorders>
              <w:top w:val="nil"/>
              <w:left w:val="nil"/>
              <w:bottom w:val="nil"/>
              <w:right w:val="nil"/>
            </w:tcBorders>
            <w:shd w:val="clear" w:color="auto" w:fill="auto"/>
            <w:noWrap/>
            <w:vAlign w:val="center"/>
          </w:tcPr>
          <w:p w14:paraId="0BF2624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127" w:type="pct"/>
            <w:tcBorders>
              <w:top w:val="nil"/>
              <w:left w:val="nil"/>
              <w:bottom w:val="nil"/>
              <w:right w:val="nil"/>
            </w:tcBorders>
            <w:shd w:val="clear" w:color="auto" w:fill="auto"/>
            <w:noWrap/>
            <w:vAlign w:val="center"/>
          </w:tcPr>
          <w:p w14:paraId="75CFDA52">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736" w:type="pct"/>
            <w:tcBorders>
              <w:top w:val="nil"/>
              <w:left w:val="nil"/>
              <w:bottom w:val="nil"/>
              <w:right w:val="nil"/>
            </w:tcBorders>
            <w:shd w:val="clear" w:color="auto" w:fill="auto"/>
            <w:noWrap/>
            <w:vAlign w:val="center"/>
          </w:tcPr>
          <w:p w14:paraId="08CC40B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139" w:type="pct"/>
            <w:tcBorders>
              <w:top w:val="nil"/>
              <w:left w:val="nil"/>
              <w:bottom w:val="nil"/>
              <w:right w:val="nil"/>
            </w:tcBorders>
            <w:shd w:val="clear" w:color="auto" w:fill="auto"/>
            <w:noWrap/>
            <w:vAlign w:val="center"/>
          </w:tcPr>
          <w:p w14:paraId="044BC750">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532" w:type="pct"/>
            <w:tcBorders>
              <w:top w:val="nil"/>
              <w:left w:val="nil"/>
              <w:bottom w:val="nil"/>
              <w:right w:val="nil"/>
            </w:tcBorders>
            <w:shd w:val="clear" w:color="auto" w:fill="auto"/>
            <w:noWrap/>
            <w:vAlign w:val="center"/>
          </w:tcPr>
          <w:p w14:paraId="3324ABC4">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247" w:type="pct"/>
            <w:tcBorders>
              <w:top w:val="nil"/>
              <w:left w:val="nil"/>
              <w:bottom w:val="nil"/>
              <w:right w:val="nil"/>
            </w:tcBorders>
            <w:shd w:val="clear" w:color="auto" w:fill="auto"/>
            <w:noWrap/>
            <w:vAlign w:val="center"/>
          </w:tcPr>
          <w:p w14:paraId="32E529BA">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p>
        </w:tc>
        <w:tc>
          <w:tcPr>
            <w:tcW w:w="532" w:type="pct"/>
            <w:tcBorders>
              <w:top w:val="nil"/>
              <w:left w:val="nil"/>
              <w:bottom w:val="nil"/>
              <w:right w:val="nil"/>
            </w:tcBorders>
            <w:shd w:val="clear" w:color="auto" w:fill="auto"/>
            <w:noWrap/>
            <w:vAlign w:val="center"/>
          </w:tcPr>
          <w:p w14:paraId="4633A8A7">
            <w:pPr>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center"/>
              <w:rPr>
                <w:rFonts w:hint="default" w:ascii="Times New Roman" w:hAnsi="Times New Roman" w:eastAsia="宋体" w:cs="Times New Roman"/>
                <w:b/>
                <w:bCs/>
                <w:i w:val="0"/>
                <w:iCs w:val="0"/>
                <w:color w:val="000000"/>
                <w:kern w:val="0"/>
                <w:sz w:val="28"/>
                <w:szCs w:val="28"/>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w:t>
            </w:r>
          </w:p>
        </w:tc>
      </w:tr>
      <w:tr w14:paraId="6F87F0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0" w:type="pct"/>
          <w:trHeight w:val="2590" w:hRule="atLeast"/>
        </w:trPr>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00D6F">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企业办理公司注册、税务登记、组织机构代码证</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（1个工作日）</w:t>
            </w:r>
          </w:p>
        </w:tc>
        <w:tc>
          <w:tcPr>
            <w:tcW w:w="182" w:type="pct"/>
            <w:tcBorders>
              <w:top w:val="nil"/>
              <w:left w:val="nil"/>
              <w:bottom w:val="nil"/>
              <w:right w:val="nil"/>
            </w:tcBorders>
            <w:shd w:val="clear" w:color="auto" w:fill="auto"/>
            <w:noWrap/>
            <w:vAlign w:val="center"/>
          </w:tcPr>
          <w:p w14:paraId="1620E7DF">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95A39">
            <w:pPr>
              <w:keepNext w:val="0"/>
              <w:keepLines w:val="0"/>
              <w:pageBreakBefore w:val="0"/>
              <w:widowControl/>
              <w:suppressLineNumbers w:val="0"/>
              <w:kinsoku/>
              <w:wordWrap/>
              <w:bidi w:val="0"/>
              <w:spacing w:line="59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企业对接经济发展局办理项目备案（2个工作日）</w:t>
            </w:r>
          </w:p>
        </w:tc>
        <w:tc>
          <w:tcPr>
            <w:tcW w:w="199" w:type="pct"/>
            <w:tcBorders>
              <w:top w:val="nil"/>
              <w:left w:val="nil"/>
              <w:bottom w:val="nil"/>
              <w:right w:val="nil"/>
            </w:tcBorders>
            <w:shd w:val="clear" w:color="auto" w:fill="auto"/>
            <w:noWrap/>
            <w:vAlign w:val="top"/>
          </w:tcPr>
          <w:p w14:paraId="2CB84D90">
            <w:pPr>
              <w:keepNext w:val="0"/>
              <w:keepLines w:val="0"/>
              <w:pageBreakBefore w:val="0"/>
              <w:kinsoku/>
              <w:wordWrap/>
              <w:bidi w:val="0"/>
              <w:spacing w:line="590" w:lineRule="exact"/>
              <w:jc w:val="both"/>
              <w:rPr>
                <w:rFonts w:hint="default" w:ascii="Times New Roman" w:hAnsi="Times New Roman" w:eastAsia="宋体" w:cs="Times New Roman"/>
                <w:i w:val="0"/>
                <w:iCs w:val="0"/>
                <w:color w:val="000000"/>
                <w:sz w:val="16"/>
                <w:szCs w:val="16"/>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09CD">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企业对接环评、安评、能评、职评机构进行相关手续办理（60个工作日）</w:t>
            </w:r>
          </w:p>
        </w:tc>
        <w:tc>
          <w:tcPr>
            <w:tcW w:w="151" w:type="pct"/>
            <w:tcBorders>
              <w:top w:val="nil"/>
              <w:left w:val="nil"/>
              <w:bottom w:val="nil"/>
              <w:right w:val="nil"/>
            </w:tcBorders>
            <w:shd w:val="clear" w:color="auto" w:fill="auto"/>
            <w:noWrap/>
            <w:vAlign w:val="top"/>
          </w:tcPr>
          <w:p w14:paraId="2C1C1F73">
            <w:pPr>
              <w:keepNext w:val="0"/>
              <w:keepLines w:val="0"/>
              <w:pageBreakBefore w:val="0"/>
              <w:kinsoku/>
              <w:wordWrap/>
              <w:bidi w:val="0"/>
              <w:spacing w:line="590" w:lineRule="exact"/>
              <w:jc w:val="both"/>
              <w:rPr>
                <w:rFonts w:hint="default" w:ascii="Times New Roman" w:hAnsi="Times New Roman" w:eastAsia="宋体" w:cs="Times New Roman"/>
                <w:i w:val="0"/>
                <w:iCs w:val="0"/>
                <w:color w:val="000000"/>
                <w:sz w:val="16"/>
                <w:szCs w:val="16"/>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F1632">
            <w:pPr>
              <w:keepNext w:val="0"/>
              <w:keepLines w:val="0"/>
              <w:pageBreakBefore w:val="0"/>
              <w:widowControl/>
              <w:numPr>
                <w:ilvl w:val="-1"/>
                <w:numId w:val="0"/>
              </w:numPr>
              <w:suppressLineNumbers w:val="0"/>
              <w:kinsoku/>
              <w:wordWrap/>
              <w:bidi w:val="0"/>
              <w:spacing w:line="59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1.编制图则</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（3个工作日）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上会+公示（30天）</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2.提供红线图及规划设计条件（3个工作日）            3.企业进行总平图和规划方案设（20个工作日）</w:t>
            </w:r>
          </w:p>
        </w:tc>
        <w:tc>
          <w:tcPr>
            <w:tcW w:w="127" w:type="pct"/>
            <w:tcBorders>
              <w:top w:val="nil"/>
              <w:left w:val="nil"/>
              <w:bottom w:val="nil"/>
              <w:right w:val="nil"/>
            </w:tcBorders>
            <w:shd w:val="clear" w:color="auto" w:fill="auto"/>
            <w:noWrap/>
            <w:vAlign w:val="top"/>
          </w:tcPr>
          <w:p w14:paraId="66B59E41">
            <w:pPr>
              <w:keepNext w:val="0"/>
              <w:keepLines w:val="0"/>
              <w:pageBreakBefore w:val="0"/>
              <w:kinsoku/>
              <w:wordWrap/>
              <w:bidi w:val="0"/>
              <w:spacing w:line="590" w:lineRule="exact"/>
              <w:jc w:val="both"/>
              <w:rPr>
                <w:rFonts w:hint="default" w:ascii="Times New Roman" w:hAnsi="Times New Roman" w:eastAsia="宋体" w:cs="Times New Roman"/>
                <w:i w:val="0"/>
                <w:iCs w:val="0"/>
                <w:color w:val="000000"/>
                <w:sz w:val="16"/>
                <w:szCs w:val="16"/>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top"/>
          </w:tcPr>
          <w:p w14:paraId="1D15C03D">
            <w:pPr>
              <w:keepNext w:val="0"/>
              <w:keepLines w:val="0"/>
              <w:pageBreakBefore w:val="0"/>
              <w:widowControl/>
              <w:numPr>
                <w:ilvl w:val="-1"/>
                <w:numId w:val="0"/>
              </w:numPr>
              <w:suppressLineNumbers w:val="0"/>
              <w:kinsoku/>
              <w:wordWrap/>
              <w:bidi w:val="0"/>
              <w:spacing w:line="59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1.自规中心组织对企业规划方案进行评审</w:t>
            </w:r>
          </w:p>
          <w:p w14:paraId="20830BE4">
            <w:pPr>
              <w:keepNext w:val="0"/>
              <w:keepLines w:val="0"/>
              <w:pageBreakBefore w:val="0"/>
              <w:widowControl/>
              <w:numPr>
                <w:ilvl w:val="-1"/>
                <w:numId w:val="0"/>
              </w:numPr>
              <w:suppressLineNumbers w:val="0"/>
              <w:kinsoku/>
              <w:wordWrap/>
              <w:bidi w:val="0"/>
              <w:spacing w:line="59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（35个工作日）</w:t>
            </w:r>
          </w:p>
          <w:p w14:paraId="17679803">
            <w:pPr>
              <w:keepNext w:val="0"/>
              <w:keepLines w:val="0"/>
              <w:pageBreakBefore w:val="0"/>
              <w:widowControl/>
              <w:numPr>
                <w:ilvl w:val="-1"/>
                <w:numId w:val="0"/>
              </w:numPr>
              <w:suppressLineNumbers w:val="0"/>
              <w:kinsoku/>
              <w:wordWrap/>
              <w:bidi w:val="0"/>
              <w:spacing w:line="59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2.方案审定报市局务会研究，上报市政府批准（35个工作日）出让公示（30天）</w:t>
            </w:r>
          </w:p>
          <w:p w14:paraId="69C1D58E">
            <w:pPr>
              <w:keepNext w:val="0"/>
              <w:keepLines w:val="0"/>
              <w:pageBreakBefore w:val="0"/>
              <w:widowControl/>
              <w:numPr>
                <w:ilvl w:val="-1"/>
                <w:numId w:val="0"/>
              </w:numPr>
              <w:suppressLineNumbers w:val="0"/>
              <w:kinsoku/>
              <w:wordWrap/>
              <w:bidi w:val="0"/>
              <w:spacing w:line="59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3.自规中心办理建设用地规划许可证核发（3个工作日）              </w:t>
            </w:r>
          </w:p>
        </w:tc>
        <w:tc>
          <w:tcPr>
            <w:tcW w:w="139" w:type="pct"/>
            <w:tcBorders>
              <w:top w:val="nil"/>
              <w:left w:val="nil"/>
              <w:bottom w:val="nil"/>
              <w:right w:val="nil"/>
            </w:tcBorders>
            <w:shd w:val="clear" w:color="auto" w:fill="auto"/>
            <w:noWrap/>
            <w:vAlign w:val="top"/>
          </w:tcPr>
          <w:p w14:paraId="20E00531">
            <w:pPr>
              <w:keepNext w:val="0"/>
              <w:keepLines w:val="0"/>
              <w:pageBreakBefore w:val="0"/>
              <w:kinsoku/>
              <w:wordWrap/>
              <w:bidi w:val="0"/>
              <w:spacing w:line="590" w:lineRule="exact"/>
              <w:jc w:val="both"/>
              <w:rPr>
                <w:rFonts w:hint="default" w:ascii="Times New Roman" w:hAnsi="Times New Roman" w:eastAsia="宋体" w:cs="Times New Roman"/>
                <w:i w:val="0"/>
                <w:iCs w:val="0"/>
                <w:color w:val="000000"/>
                <w:sz w:val="16"/>
                <w:szCs w:val="16"/>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03A2">
            <w:pPr>
              <w:keepNext w:val="0"/>
              <w:keepLines w:val="0"/>
              <w:pageBreakBefore w:val="0"/>
              <w:widowControl/>
              <w:suppressLineNumbers w:val="0"/>
              <w:kinsoku/>
              <w:wordWrap/>
              <w:bidi w:val="0"/>
              <w:spacing w:line="59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1.办理土地征收审批（5个工作日）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2.财政局拨付征地款。（3个工作日）</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3.社会事业局实施征地（30个工作日）</w:t>
            </w:r>
          </w:p>
        </w:tc>
        <w:tc>
          <w:tcPr>
            <w:tcW w:w="247" w:type="pct"/>
            <w:tcBorders>
              <w:top w:val="nil"/>
              <w:left w:val="nil"/>
              <w:bottom w:val="nil"/>
              <w:right w:val="nil"/>
            </w:tcBorders>
            <w:shd w:val="clear" w:color="auto" w:fill="auto"/>
            <w:noWrap/>
            <w:vAlign w:val="center"/>
          </w:tcPr>
          <w:p w14:paraId="77948BD6">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6"/>
                <w:szCs w:val="16"/>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5BDF">
            <w:pPr>
              <w:keepNext w:val="0"/>
              <w:keepLines w:val="0"/>
              <w:pageBreakBefore w:val="0"/>
              <w:widowControl/>
              <w:suppressLineNumbers w:val="0"/>
              <w:kinsoku/>
              <w:wordWrap/>
              <w:bidi w:val="0"/>
              <w:spacing w:line="59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1.企业进行施工图设计、审图（30个工作日）            2.规划建设局办理规划许可证、施工许可证等开工前手续（4个工作日）</w:t>
            </w:r>
          </w:p>
        </w:tc>
      </w:tr>
      <w:tr w14:paraId="41A34A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0" w:type="pct"/>
          <w:trHeight w:val="370" w:hRule="atLeast"/>
        </w:trPr>
        <w:tc>
          <w:tcPr>
            <w:tcW w:w="536" w:type="pct"/>
            <w:gridSpan w:val="2"/>
            <w:tcBorders>
              <w:top w:val="nil"/>
              <w:left w:val="nil"/>
              <w:bottom w:val="nil"/>
              <w:right w:val="nil"/>
            </w:tcBorders>
            <w:shd w:val="clear" w:color="auto" w:fill="auto"/>
            <w:noWrap/>
            <w:vAlign w:val="center"/>
          </w:tcPr>
          <w:p w14:paraId="49B39085">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82" w:type="pct"/>
            <w:tcBorders>
              <w:top w:val="nil"/>
              <w:left w:val="nil"/>
              <w:bottom w:val="nil"/>
              <w:right w:val="nil"/>
            </w:tcBorders>
            <w:shd w:val="clear" w:color="auto" w:fill="auto"/>
            <w:noWrap/>
            <w:vAlign w:val="center"/>
          </w:tcPr>
          <w:p w14:paraId="4F0978A5">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531" w:type="pct"/>
            <w:tcBorders>
              <w:top w:val="nil"/>
              <w:left w:val="nil"/>
              <w:bottom w:val="nil"/>
              <w:right w:val="nil"/>
            </w:tcBorders>
            <w:shd w:val="clear" w:color="auto" w:fill="auto"/>
            <w:noWrap/>
            <w:vAlign w:val="center"/>
          </w:tcPr>
          <w:p w14:paraId="0D7E7A6B">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99" w:type="pct"/>
            <w:tcBorders>
              <w:top w:val="nil"/>
              <w:left w:val="nil"/>
              <w:bottom w:val="nil"/>
              <w:right w:val="nil"/>
            </w:tcBorders>
            <w:shd w:val="clear" w:color="auto" w:fill="auto"/>
            <w:noWrap/>
            <w:vAlign w:val="center"/>
          </w:tcPr>
          <w:p w14:paraId="7689B5F1">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531" w:type="pct"/>
            <w:tcBorders>
              <w:top w:val="nil"/>
              <w:left w:val="nil"/>
              <w:bottom w:val="nil"/>
              <w:right w:val="nil"/>
            </w:tcBorders>
            <w:shd w:val="clear" w:color="auto" w:fill="auto"/>
            <w:noWrap/>
            <w:vAlign w:val="center"/>
          </w:tcPr>
          <w:p w14:paraId="4008118D">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51" w:type="pct"/>
            <w:tcBorders>
              <w:top w:val="nil"/>
              <w:left w:val="nil"/>
              <w:bottom w:val="nil"/>
              <w:right w:val="nil"/>
            </w:tcBorders>
            <w:shd w:val="clear" w:color="auto" w:fill="auto"/>
            <w:noWrap/>
            <w:vAlign w:val="center"/>
          </w:tcPr>
          <w:p w14:paraId="542A79F4">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540" w:type="pct"/>
            <w:tcBorders>
              <w:top w:val="nil"/>
              <w:left w:val="nil"/>
              <w:bottom w:val="nil"/>
              <w:right w:val="nil"/>
            </w:tcBorders>
            <w:shd w:val="clear" w:color="auto" w:fill="auto"/>
            <w:noWrap/>
            <w:vAlign w:val="center"/>
          </w:tcPr>
          <w:p w14:paraId="3CC35A27">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27" w:type="pct"/>
            <w:tcBorders>
              <w:top w:val="nil"/>
              <w:left w:val="nil"/>
              <w:bottom w:val="nil"/>
              <w:right w:val="nil"/>
            </w:tcBorders>
            <w:shd w:val="clear" w:color="auto" w:fill="auto"/>
            <w:noWrap/>
            <w:vAlign w:val="center"/>
          </w:tcPr>
          <w:p w14:paraId="66632056">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736" w:type="pct"/>
            <w:tcBorders>
              <w:top w:val="nil"/>
              <w:left w:val="nil"/>
              <w:bottom w:val="nil"/>
              <w:right w:val="nil"/>
            </w:tcBorders>
            <w:shd w:val="clear" w:color="auto" w:fill="auto"/>
            <w:noWrap/>
            <w:vAlign w:val="center"/>
          </w:tcPr>
          <w:p w14:paraId="09044572">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9" w:type="pct"/>
            <w:tcBorders>
              <w:top w:val="nil"/>
              <w:left w:val="nil"/>
              <w:bottom w:val="nil"/>
              <w:right w:val="nil"/>
            </w:tcBorders>
            <w:shd w:val="clear" w:color="auto" w:fill="auto"/>
            <w:noWrap/>
            <w:vAlign w:val="center"/>
          </w:tcPr>
          <w:p w14:paraId="521A254A">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532" w:type="pct"/>
            <w:tcBorders>
              <w:top w:val="nil"/>
              <w:left w:val="nil"/>
              <w:bottom w:val="nil"/>
              <w:right w:val="nil"/>
            </w:tcBorders>
            <w:shd w:val="clear" w:color="auto" w:fill="auto"/>
            <w:noWrap/>
            <w:vAlign w:val="center"/>
          </w:tcPr>
          <w:p w14:paraId="16CCE70B">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247" w:type="pct"/>
            <w:tcBorders>
              <w:top w:val="nil"/>
              <w:left w:val="nil"/>
              <w:bottom w:val="nil"/>
              <w:right w:val="nil"/>
            </w:tcBorders>
            <w:shd w:val="clear" w:color="auto" w:fill="auto"/>
            <w:noWrap/>
            <w:vAlign w:val="center"/>
          </w:tcPr>
          <w:p w14:paraId="42A1064E">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532" w:type="pct"/>
            <w:tcBorders>
              <w:top w:val="nil"/>
              <w:left w:val="nil"/>
              <w:bottom w:val="nil"/>
              <w:right w:val="nil"/>
            </w:tcBorders>
            <w:shd w:val="clear" w:color="auto" w:fill="auto"/>
            <w:noWrap/>
            <w:vAlign w:val="center"/>
          </w:tcPr>
          <w:p w14:paraId="5C1DFBBD">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r>
      <w:tr w14:paraId="223C2CD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gridAfter w:val="1"/>
          <w:wAfter w:w="10" w:type="pct"/>
          <w:trHeight w:val="925" w:hRule="atLeast"/>
        </w:trPr>
        <w:tc>
          <w:tcPr>
            <w:tcW w:w="5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28870">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政务服务大厅</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市场监管窗口</w:t>
            </w:r>
          </w:p>
        </w:tc>
        <w:tc>
          <w:tcPr>
            <w:tcW w:w="182" w:type="pct"/>
            <w:tcBorders>
              <w:top w:val="nil"/>
              <w:left w:val="single" w:color="000000" w:sz="4" w:space="0"/>
              <w:bottom w:val="nil"/>
              <w:right w:val="single" w:color="000000" w:sz="4" w:space="0"/>
            </w:tcBorders>
            <w:shd w:val="clear" w:color="auto" w:fill="auto"/>
            <w:vAlign w:val="center"/>
          </w:tcPr>
          <w:p w14:paraId="6C457B07">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531" w:type="pct"/>
            <w:tcBorders>
              <w:top w:val="single" w:color="000000" w:sz="4" w:space="0"/>
              <w:left w:val="nil"/>
              <w:bottom w:val="single" w:color="000000" w:sz="4" w:space="0"/>
              <w:right w:val="nil"/>
            </w:tcBorders>
            <w:shd w:val="clear" w:color="auto" w:fill="auto"/>
            <w:vAlign w:val="center"/>
          </w:tcPr>
          <w:p w14:paraId="1F8083F5">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经济发展局</w:t>
            </w:r>
          </w:p>
        </w:tc>
        <w:tc>
          <w:tcPr>
            <w:tcW w:w="199" w:type="pct"/>
            <w:tcBorders>
              <w:top w:val="nil"/>
              <w:left w:val="single" w:color="000000" w:sz="4" w:space="0"/>
              <w:bottom w:val="nil"/>
              <w:right w:val="single" w:color="000000" w:sz="4" w:space="0"/>
            </w:tcBorders>
            <w:shd w:val="clear" w:color="auto" w:fill="auto"/>
            <w:vAlign w:val="top"/>
          </w:tcPr>
          <w:p w14:paraId="0F924ED9">
            <w:pPr>
              <w:keepNext w:val="0"/>
              <w:keepLines w:val="0"/>
              <w:pageBreakBefore w:val="0"/>
              <w:kinsoku/>
              <w:wordWrap/>
              <w:bidi w:val="0"/>
              <w:spacing w:line="590" w:lineRule="exact"/>
              <w:jc w:val="both"/>
              <w:rPr>
                <w:rFonts w:hint="default" w:ascii="Times New Roman" w:hAnsi="Times New Roman" w:eastAsia="宋体" w:cs="Times New Roman"/>
                <w:i w:val="0"/>
                <w:iCs w:val="0"/>
                <w:color w:val="000000"/>
                <w:sz w:val="18"/>
                <w:szCs w:val="18"/>
                <w:u w:val="none"/>
              </w:rPr>
            </w:pPr>
          </w:p>
        </w:tc>
        <w:tc>
          <w:tcPr>
            <w:tcW w:w="531" w:type="pct"/>
            <w:tcBorders>
              <w:top w:val="single" w:color="000000" w:sz="4" w:space="0"/>
              <w:left w:val="nil"/>
              <w:bottom w:val="single" w:color="000000" w:sz="4" w:space="0"/>
              <w:right w:val="nil"/>
            </w:tcBorders>
            <w:shd w:val="clear" w:color="auto" w:fill="auto"/>
            <w:vAlign w:val="center"/>
          </w:tcPr>
          <w:p w14:paraId="2C08BC85">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相关资质单位</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环保分局</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应急管理局</w:t>
            </w:r>
          </w:p>
        </w:tc>
        <w:tc>
          <w:tcPr>
            <w:tcW w:w="151" w:type="pct"/>
            <w:tcBorders>
              <w:top w:val="nil"/>
              <w:left w:val="single" w:color="000000" w:sz="4" w:space="0"/>
              <w:bottom w:val="nil"/>
              <w:right w:val="single" w:color="000000" w:sz="4" w:space="0"/>
            </w:tcBorders>
            <w:shd w:val="clear" w:color="auto" w:fill="auto"/>
            <w:vAlign w:val="center"/>
          </w:tcPr>
          <w:p w14:paraId="7D4D98F9">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540" w:type="pct"/>
            <w:tcBorders>
              <w:top w:val="single" w:color="000000" w:sz="4" w:space="0"/>
              <w:left w:val="nil"/>
              <w:bottom w:val="single" w:color="000000" w:sz="4" w:space="0"/>
              <w:right w:val="nil"/>
            </w:tcBorders>
            <w:shd w:val="clear" w:color="auto" w:fill="auto"/>
            <w:vAlign w:val="center"/>
          </w:tcPr>
          <w:p w14:paraId="1B6BF684">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自规中心</w:t>
            </w:r>
          </w:p>
        </w:tc>
        <w:tc>
          <w:tcPr>
            <w:tcW w:w="127" w:type="pct"/>
            <w:tcBorders>
              <w:top w:val="nil"/>
              <w:left w:val="single" w:color="000000" w:sz="4" w:space="0"/>
              <w:bottom w:val="nil"/>
              <w:right w:val="single" w:color="000000" w:sz="4" w:space="0"/>
            </w:tcBorders>
            <w:shd w:val="clear" w:color="auto" w:fill="auto"/>
            <w:vAlign w:val="top"/>
          </w:tcPr>
          <w:p w14:paraId="3DAA3675">
            <w:pPr>
              <w:keepNext w:val="0"/>
              <w:keepLines w:val="0"/>
              <w:pageBreakBefore w:val="0"/>
              <w:kinsoku/>
              <w:wordWrap/>
              <w:bidi w:val="0"/>
              <w:spacing w:line="590" w:lineRule="exact"/>
              <w:jc w:val="both"/>
              <w:rPr>
                <w:rFonts w:hint="default" w:ascii="Times New Roman" w:hAnsi="Times New Roman" w:eastAsia="宋体" w:cs="Times New Roman"/>
                <w:i w:val="0"/>
                <w:iCs w:val="0"/>
                <w:color w:val="000000"/>
                <w:sz w:val="18"/>
                <w:szCs w:val="18"/>
                <w:u w:val="none"/>
              </w:rPr>
            </w:pPr>
          </w:p>
        </w:tc>
        <w:tc>
          <w:tcPr>
            <w:tcW w:w="736" w:type="pct"/>
            <w:tcBorders>
              <w:top w:val="single" w:color="000000" w:sz="4" w:space="0"/>
              <w:left w:val="nil"/>
              <w:bottom w:val="single" w:color="000000" w:sz="4" w:space="0"/>
              <w:right w:val="nil"/>
            </w:tcBorders>
            <w:shd w:val="clear" w:color="auto" w:fill="auto"/>
            <w:vAlign w:val="center"/>
          </w:tcPr>
          <w:p w14:paraId="0835074A">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自规中心</w:t>
            </w:r>
          </w:p>
        </w:tc>
        <w:tc>
          <w:tcPr>
            <w:tcW w:w="139" w:type="pct"/>
            <w:tcBorders>
              <w:top w:val="nil"/>
              <w:left w:val="single" w:color="000000" w:sz="4" w:space="0"/>
              <w:bottom w:val="nil"/>
              <w:right w:val="single" w:color="000000" w:sz="4" w:space="0"/>
            </w:tcBorders>
            <w:shd w:val="clear" w:color="auto" w:fill="auto"/>
            <w:vAlign w:val="center"/>
          </w:tcPr>
          <w:p w14:paraId="3839478E">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532" w:type="pct"/>
            <w:tcBorders>
              <w:top w:val="single" w:color="000000" w:sz="4" w:space="0"/>
              <w:left w:val="nil"/>
              <w:bottom w:val="single" w:color="000000" w:sz="4" w:space="0"/>
              <w:right w:val="nil"/>
            </w:tcBorders>
            <w:shd w:val="clear" w:color="auto" w:fill="auto"/>
            <w:vAlign w:val="center"/>
          </w:tcPr>
          <w:p w14:paraId="41D4A569">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财政局、社会事业局</w:t>
            </w:r>
          </w:p>
        </w:tc>
        <w:tc>
          <w:tcPr>
            <w:tcW w:w="247" w:type="pct"/>
            <w:tcBorders>
              <w:top w:val="nil"/>
              <w:left w:val="single" w:color="000000" w:sz="4" w:space="0"/>
              <w:bottom w:val="nil"/>
              <w:right w:val="single" w:color="000000" w:sz="4" w:space="0"/>
            </w:tcBorders>
            <w:shd w:val="clear" w:color="auto" w:fill="auto"/>
            <w:vAlign w:val="center"/>
          </w:tcPr>
          <w:p w14:paraId="693A17DA">
            <w:pPr>
              <w:keepNext w:val="0"/>
              <w:keepLines w:val="0"/>
              <w:pageBreakBefore w:val="0"/>
              <w:kinsoku/>
              <w:wordWrap/>
              <w:bidi w:val="0"/>
              <w:spacing w:line="590" w:lineRule="exact"/>
              <w:jc w:val="center"/>
              <w:rPr>
                <w:rFonts w:hint="default" w:ascii="Times New Roman" w:hAnsi="Times New Roman" w:eastAsia="宋体" w:cs="Times New Roman"/>
                <w:i w:val="0"/>
                <w:iCs w:val="0"/>
                <w:color w:val="000000"/>
                <w:sz w:val="18"/>
                <w:szCs w:val="18"/>
                <w:u w:val="none"/>
              </w:rPr>
            </w:pPr>
          </w:p>
        </w:tc>
        <w:tc>
          <w:tcPr>
            <w:tcW w:w="532" w:type="pct"/>
            <w:tcBorders>
              <w:top w:val="single" w:color="000000" w:sz="4" w:space="0"/>
              <w:left w:val="nil"/>
              <w:bottom w:val="single" w:color="000000" w:sz="4" w:space="0"/>
              <w:right w:val="single" w:color="000000" w:sz="4" w:space="0"/>
            </w:tcBorders>
            <w:shd w:val="clear" w:color="auto" w:fill="auto"/>
            <w:vAlign w:val="center"/>
          </w:tcPr>
          <w:p w14:paraId="7B4A4FFC">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自规中心</w:t>
            </w:r>
          </w:p>
          <w:p w14:paraId="2C5B626A">
            <w:pPr>
              <w:keepNext w:val="0"/>
              <w:keepLines w:val="0"/>
              <w:pageBreakBefore w:val="0"/>
              <w:widowControl/>
              <w:suppressLineNumbers w:val="0"/>
              <w:kinsoku/>
              <w:wordWrap/>
              <w:bidi w:val="0"/>
              <w:spacing w:line="59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规划建设局</w:t>
            </w:r>
          </w:p>
        </w:tc>
      </w:tr>
    </w:tbl>
    <w:p w14:paraId="47431D8B">
      <w:pPr>
        <w:pStyle w:val="2"/>
        <w:keepNext w:val="0"/>
        <w:keepLines w:val="0"/>
        <w:pageBreakBefore w:val="0"/>
        <w:kinsoku/>
        <w:wordWrap/>
        <w:bidi w:val="0"/>
        <w:spacing w:line="590" w:lineRule="exact"/>
        <w:rPr>
          <w:rFonts w:hint="default" w:ascii="Times New Roman" w:hAnsi="Times New Roman" w:cs="Times New Roman"/>
          <w:sz w:val="18"/>
          <w:szCs w:val="18"/>
          <w:lang w:eastAsia="zh-CN"/>
        </w:rPr>
        <w:sectPr>
          <w:pgSz w:w="16838" w:h="11906" w:orient="landscape"/>
          <w:pgMar w:top="1800" w:right="1440" w:bottom="1800" w:left="1440" w:header="851" w:footer="992" w:gutter="0"/>
          <w:pgNumType w:fmt="numberInDash"/>
          <w:cols w:space="425" w:num="1"/>
          <w:docGrid w:type="lines" w:linePitch="312" w:charSpace="0"/>
        </w:sectPr>
      </w:pPr>
    </w:p>
    <w:p w14:paraId="186F8CA2">
      <w:pPr>
        <w:keepNext w:val="0"/>
        <w:keepLines w:val="0"/>
        <w:pageBreakBefore w:val="0"/>
        <w:kinsoku/>
        <w:wordWrap/>
        <w:bidi w:val="0"/>
        <w:spacing w:line="590"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2</w:t>
      </w:r>
    </w:p>
    <w:p w14:paraId="65D6F944">
      <w:pPr>
        <w:pStyle w:val="2"/>
        <w:keepNext w:val="0"/>
        <w:keepLines w:val="0"/>
        <w:pageBreakBefore w:val="0"/>
        <w:kinsoku/>
        <w:wordWrap/>
        <w:bidi w:val="0"/>
        <w:spacing w:line="590" w:lineRule="exact"/>
        <w:rPr>
          <w:rFonts w:hint="default" w:ascii="Times New Roman" w:hAnsi="Times New Roman" w:cs="Times New Roman"/>
          <w:sz w:val="32"/>
          <w:szCs w:val="32"/>
        </w:rPr>
      </w:pPr>
    </w:p>
    <w:p w14:paraId="6F691FCC">
      <w:pPr>
        <w:keepNext w:val="0"/>
        <w:keepLines w:val="0"/>
        <w:pageBreakBefore w:val="0"/>
        <w:widowControl w:val="0"/>
        <w:kinsoku/>
        <w:wordWrap/>
        <w:autoSpaceDE/>
        <w:autoSpaceDN/>
        <w:bidi w:val="0"/>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经开区</w:t>
      </w:r>
      <w:r>
        <w:rPr>
          <w:rFonts w:hint="default" w:ascii="Times New Roman" w:hAnsi="Times New Roman" w:eastAsia="方正小标宋_GBK" w:cs="Times New Roman"/>
          <w:sz w:val="44"/>
          <w:szCs w:val="44"/>
          <w:lang w:eastAsia="zh-CN"/>
        </w:rPr>
        <w:t>重点产业</w:t>
      </w:r>
      <w:r>
        <w:rPr>
          <w:rFonts w:hint="default" w:ascii="Times New Roman" w:hAnsi="Times New Roman" w:eastAsia="方正小标宋_GBK" w:cs="Times New Roman"/>
          <w:sz w:val="44"/>
          <w:szCs w:val="44"/>
        </w:rPr>
        <w:t>双招双引“链长制”工作</w:t>
      </w:r>
    </w:p>
    <w:p w14:paraId="5EA2AD91">
      <w:pPr>
        <w:keepNext w:val="0"/>
        <w:keepLines w:val="0"/>
        <w:pageBreakBefore w:val="0"/>
        <w:widowControl w:val="0"/>
        <w:kinsoku/>
        <w:wordWrap/>
        <w:autoSpaceDE/>
        <w:autoSpaceDN/>
        <w:bidi w:val="0"/>
        <w:snapToGrid/>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推进专班及项目包保责任制奖励办法</w:t>
      </w:r>
    </w:p>
    <w:p w14:paraId="28FA54B1">
      <w:pPr>
        <w:pStyle w:val="11"/>
        <w:keepNext w:val="0"/>
        <w:keepLines w:val="0"/>
        <w:pageBreakBefore w:val="0"/>
        <w:widowControl w:val="0"/>
        <w:kinsoku/>
        <w:wordWrap/>
        <w:autoSpaceDE/>
        <w:autoSpaceDN/>
        <w:bidi w:val="0"/>
        <w:snapToGrid/>
        <w:spacing w:before="0" w:line="590" w:lineRule="exact"/>
        <w:ind w:firstLine="540"/>
        <w:textAlignment w:val="auto"/>
        <w:rPr>
          <w:rFonts w:hint="default" w:ascii="Times New Roman" w:hAnsi="Times New Roman" w:cs="Times New Roman"/>
          <w:lang w:eastAsia="zh-CN"/>
        </w:rPr>
      </w:pPr>
    </w:p>
    <w:p w14:paraId="06B6EFFB">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为扎实开展经开区“双招双引”活动，</w:t>
      </w:r>
      <w:r>
        <w:rPr>
          <w:rFonts w:hint="default" w:ascii="Times New Roman" w:hAnsi="Times New Roman" w:eastAsia="方正仿宋_GBK" w:cs="Times New Roman"/>
          <w:bCs/>
          <w:color w:val="000000"/>
          <w:kern w:val="0"/>
          <w:sz w:val="32"/>
          <w:szCs w:val="32"/>
          <w:lang w:eastAsia="zh-CN"/>
        </w:rPr>
        <w:t>落实《关于建立重点产业双招双引“链长制”工作推进专班的通知》文件精神，</w:t>
      </w:r>
      <w:r>
        <w:rPr>
          <w:rFonts w:hint="default" w:ascii="Times New Roman" w:hAnsi="Times New Roman" w:eastAsia="方正仿宋_GBK" w:cs="Times New Roman"/>
          <w:bCs/>
          <w:color w:val="000000"/>
          <w:kern w:val="0"/>
          <w:sz w:val="32"/>
          <w:szCs w:val="32"/>
        </w:rPr>
        <w:t>深入推进产业精准招商，带动产业链上下游能级提升，有效推进经开区招商引资和项目建设工作</w:t>
      </w:r>
      <w:r>
        <w:rPr>
          <w:rFonts w:hint="default" w:ascii="Times New Roman" w:hAnsi="Times New Roman"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rPr>
        <w:t>营造浓厚的园区全员招商氛围，提升招商引资实效，现结合经开区实际，制定本办法。</w:t>
      </w:r>
    </w:p>
    <w:p w14:paraId="027DE6D0">
      <w:pPr>
        <w:keepNext w:val="0"/>
        <w:keepLines w:val="0"/>
        <w:pageBreakBefore w:val="0"/>
        <w:widowControl w:val="0"/>
        <w:kinsoku/>
        <w:wordWrap/>
        <w:autoSpaceDE/>
        <w:autoSpaceDN/>
        <w:bidi w:val="0"/>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一、包保机制</w:t>
      </w:r>
    </w:p>
    <w:p w14:paraId="5E0431DB">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建立从项目招引、签约、开工、投产全流程包保机制，严格按照“谁包保，谁协调”的原则，建立健全</w:t>
      </w:r>
      <w:r>
        <w:rPr>
          <w:rFonts w:hint="default" w:ascii="Times New Roman" w:hAnsi="Times New Roman" w:eastAsia="方正仿宋_GBK" w:cs="Times New Roman"/>
          <w:bCs/>
          <w:color w:val="000000"/>
          <w:kern w:val="0"/>
          <w:sz w:val="32"/>
          <w:szCs w:val="32"/>
          <w:lang w:eastAsia="zh-CN"/>
        </w:rPr>
        <w:t>招商引资“链长”及</w:t>
      </w:r>
      <w:r>
        <w:rPr>
          <w:rFonts w:hint="default" w:ascii="Times New Roman" w:hAnsi="Times New Roman" w:eastAsia="方正仿宋_GBK" w:cs="Times New Roman"/>
          <w:bCs/>
          <w:color w:val="000000"/>
          <w:kern w:val="0"/>
          <w:sz w:val="32"/>
          <w:szCs w:val="32"/>
        </w:rPr>
        <w:t>包保负责人亲自协调、职能部门主动跟进、相关部门全力配合的项目推进机制，并根据分工和包保项目，明确推进责任和目标。</w:t>
      </w:r>
    </w:p>
    <w:p w14:paraId="78BD7D0B">
      <w:pPr>
        <w:keepNext w:val="0"/>
        <w:keepLines w:val="0"/>
        <w:pageBreakBefore w:val="0"/>
        <w:widowControl w:val="0"/>
        <w:kinsoku/>
        <w:wordWrap/>
        <w:autoSpaceDE/>
        <w:autoSpaceDN/>
        <w:bidi w:val="0"/>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二、奖励机制</w:t>
      </w:r>
    </w:p>
    <w:p w14:paraId="1A5B1B13">
      <w:pPr>
        <w:keepNext w:val="0"/>
        <w:keepLines w:val="0"/>
        <w:pageBreakBefore w:val="0"/>
        <w:widowControl w:val="0"/>
        <w:kinsoku/>
        <w:wordWrap/>
        <w:autoSpaceDE/>
        <w:autoSpaceDN/>
        <w:bidi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lang w:eastAsia="zh-CN"/>
        </w:rPr>
      </w:pPr>
      <w:r>
        <w:rPr>
          <w:rFonts w:hint="default" w:ascii="Times New Roman" w:hAnsi="Times New Roman" w:eastAsia="方正仿宋_GBK" w:cs="Times New Roman"/>
          <w:bCs/>
          <w:color w:val="000000"/>
          <w:kern w:val="0"/>
          <w:sz w:val="32"/>
          <w:szCs w:val="32"/>
        </w:rPr>
        <w:t>(一)项目奖金按照每个项目</w:t>
      </w:r>
      <w:r>
        <w:rPr>
          <w:rFonts w:hint="default" w:ascii="Times New Roman" w:hAnsi="Times New Roman" w:eastAsia="方正仿宋_GBK" w:cs="Times New Roman"/>
          <w:bCs/>
          <w:color w:val="000000"/>
          <w:kern w:val="0"/>
          <w:sz w:val="32"/>
          <w:szCs w:val="32"/>
          <w:lang w:eastAsia="zh-CN"/>
        </w:rPr>
        <w:t>实际到位固定资产投资额的</w:t>
      </w:r>
      <w:r>
        <w:rPr>
          <w:rFonts w:hint="default" w:ascii="Times New Roman" w:hAnsi="Times New Roman" w:eastAsia="方正仿宋_GBK" w:cs="Times New Roman"/>
          <w:bCs/>
          <w:color w:val="000000"/>
          <w:kern w:val="0"/>
          <w:sz w:val="32"/>
          <w:szCs w:val="32"/>
          <w:lang w:val="en-US" w:eastAsia="zh-CN"/>
        </w:rPr>
        <w:t>1</w:t>
      </w:r>
      <w:r>
        <w:rPr>
          <w:rFonts w:hint="default" w:ascii="Times New Roman" w:hAnsi="Times New Roman" w:eastAsia="仿宋" w:cs="Times New Roman"/>
          <w:sz w:val="32"/>
          <w:szCs w:val="32"/>
          <w:lang w:eastAsia="zh-CN"/>
        </w:rPr>
        <w:t>‰</w:t>
      </w:r>
      <w:r>
        <w:rPr>
          <w:rFonts w:hint="default" w:ascii="Times New Roman" w:hAnsi="Times New Roman" w:eastAsia="方正仿宋_GBK" w:cs="Times New Roman"/>
          <w:bCs/>
          <w:color w:val="000000"/>
          <w:kern w:val="0"/>
          <w:sz w:val="32"/>
          <w:szCs w:val="32"/>
          <w:lang w:eastAsia="zh-CN"/>
        </w:rPr>
        <w:t>给予奖励，超出合同约定部分的固定资产投资额按照</w:t>
      </w:r>
      <w:r>
        <w:rPr>
          <w:rFonts w:hint="default" w:ascii="Times New Roman" w:hAnsi="Times New Roman" w:eastAsia="方正仿宋_GBK" w:cs="Times New Roman"/>
          <w:bCs/>
          <w:color w:val="000000"/>
          <w:kern w:val="0"/>
          <w:sz w:val="32"/>
          <w:szCs w:val="32"/>
          <w:lang w:val="en-US" w:eastAsia="zh-CN"/>
        </w:rPr>
        <w:t>1.5</w:t>
      </w:r>
      <w:r>
        <w:rPr>
          <w:rFonts w:hint="default" w:ascii="Times New Roman" w:hAnsi="Times New Roman" w:eastAsia="仿宋" w:cs="Times New Roman"/>
          <w:sz w:val="32"/>
          <w:szCs w:val="32"/>
          <w:lang w:eastAsia="zh-CN"/>
        </w:rPr>
        <w:t>‰</w:t>
      </w:r>
      <w:r>
        <w:rPr>
          <w:rFonts w:hint="default" w:ascii="Times New Roman" w:hAnsi="Times New Roman" w:eastAsia="方正仿宋_GBK" w:cs="Times New Roman"/>
          <w:bCs/>
          <w:color w:val="000000"/>
          <w:kern w:val="0"/>
          <w:sz w:val="32"/>
          <w:szCs w:val="32"/>
          <w:lang w:eastAsia="zh-CN"/>
        </w:rPr>
        <w:t>给予奖励。</w:t>
      </w:r>
    </w:p>
    <w:p w14:paraId="40DB20D7">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rPr>
        <w:t>(二)</w:t>
      </w:r>
      <w:r>
        <w:rPr>
          <w:rFonts w:hint="default" w:ascii="Times New Roman" w:hAnsi="Times New Roman" w:eastAsia="方正仿宋_GBK" w:cs="Times New Roman"/>
          <w:bCs/>
          <w:color w:val="000000"/>
          <w:kern w:val="0"/>
          <w:sz w:val="32"/>
          <w:szCs w:val="32"/>
          <w:lang w:eastAsia="zh-CN"/>
        </w:rPr>
        <w:t>每季度根据当季度实际到位固定资产投资额的</w:t>
      </w:r>
      <w:r>
        <w:rPr>
          <w:rFonts w:hint="default" w:ascii="Times New Roman" w:hAnsi="Times New Roman" w:eastAsia="方正仿宋_GBK" w:cs="Times New Roman"/>
          <w:bCs/>
          <w:color w:val="000000"/>
          <w:kern w:val="0"/>
          <w:sz w:val="32"/>
          <w:szCs w:val="32"/>
          <w:lang w:val="en-US" w:eastAsia="zh-CN"/>
        </w:rPr>
        <w:t>0.5</w:t>
      </w:r>
      <w:r>
        <w:rPr>
          <w:rFonts w:hint="default" w:ascii="Times New Roman" w:hAnsi="Times New Roman" w:eastAsia="仿宋" w:cs="Times New Roman"/>
          <w:sz w:val="32"/>
          <w:szCs w:val="32"/>
          <w:lang w:eastAsia="zh-CN"/>
        </w:rPr>
        <w:t>‰</w:t>
      </w:r>
      <w:r>
        <w:rPr>
          <w:rFonts w:hint="default" w:ascii="Times New Roman" w:hAnsi="Times New Roman" w:eastAsia="方正仿宋_GBK" w:cs="Times New Roman"/>
          <w:bCs/>
          <w:color w:val="000000"/>
          <w:kern w:val="0"/>
          <w:sz w:val="32"/>
          <w:szCs w:val="32"/>
          <w:lang w:eastAsia="zh-CN"/>
        </w:rPr>
        <w:t>分阶段奖励，完成合同约定的固定资产投资额后，奖励剩余的</w:t>
      </w:r>
      <w:r>
        <w:rPr>
          <w:rFonts w:hint="default" w:ascii="Times New Roman" w:hAnsi="Times New Roman" w:eastAsia="方正仿宋_GBK" w:cs="Times New Roman"/>
          <w:bCs/>
          <w:color w:val="000000"/>
          <w:kern w:val="0"/>
          <w:sz w:val="32"/>
          <w:szCs w:val="32"/>
          <w:lang w:val="en-US" w:eastAsia="zh-CN"/>
        </w:rPr>
        <w:t>0.5</w:t>
      </w:r>
      <w:r>
        <w:rPr>
          <w:rFonts w:hint="default" w:ascii="Times New Roman" w:hAnsi="Times New Roman" w:eastAsia="仿宋" w:cs="Times New Roman"/>
          <w:sz w:val="32"/>
          <w:szCs w:val="32"/>
          <w:lang w:eastAsia="zh-CN"/>
        </w:rPr>
        <w:t>‰</w:t>
      </w:r>
      <w:r>
        <w:rPr>
          <w:rFonts w:hint="default" w:ascii="Times New Roman" w:hAnsi="Times New Roman" w:eastAsia="方正仿宋_GBK" w:cs="Times New Roman"/>
          <w:bCs/>
          <w:color w:val="000000"/>
          <w:kern w:val="0"/>
          <w:sz w:val="32"/>
          <w:szCs w:val="32"/>
          <w:lang w:eastAsia="zh-CN"/>
        </w:rPr>
        <w:t>。</w:t>
      </w:r>
    </w:p>
    <w:p w14:paraId="55822564">
      <w:pPr>
        <w:keepNext w:val="0"/>
        <w:keepLines w:val="0"/>
        <w:pageBreakBefore w:val="0"/>
        <w:widowControl w:val="0"/>
        <w:numPr>
          <w:ilvl w:val="0"/>
          <w:numId w:val="1"/>
        </w:numPr>
        <w:kinsoku/>
        <w:wordWrap/>
        <w:autoSpaceDE/>
        <w:autoSpaceDN/>
        <w:bidi w:val="0"/>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奖励范围</w:t>
      </w:r>
    </w:p>
    <w:p w14:paraId="02D5D7FA">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lang w:eastAsia="zh-CN"/>
        </w:rPr>
      </w:pPr>
      <w:r>
        <w:rPr>
          <w:rFonts w:hint="default" w:ascii="Times New Roman" w:hAnsi="Times New Roman" w:eastAsia="方正仿宋_GBK" w:cs="Times New Roman"/>
          <w:bCs/>
          <w:color w:val="000000"/>
          <w:kern w:val="0"/>
          <w:sz w:val="32"/>
          <w:szCs w:val="32"/>
        </w:rPr>
        <w:t>工业项目按</w:t>
      </w:r>
      <w:r>
        <w:rPr>
          <w:rFonts w:hint="default" w:ascii="Times New Roman" w:hAnsi="Times New Roman" w:eastAsia="方正仿宋_GBK" w:cs="Times New Roman"/>
          <w:bCs/>
          <w:color w:val="000000"/>
          <w:kern w:val="0"/>
          <w:sz w:val="32"/>
          <w:szCs w:val="32"/>
          <w:lang w:eastAsia="zh-CN"/>
        </w:rPr>
        <w:t>固定资产投资实际到位额</w:t>
      </w:r>
      <w:r>
        <w:rPr>
          <w:rFonts w:hint="default" w:ascii="Times New Roman" w:hAnsi="Times New Roman" w:eastAsia="方正仿宋_GBK" w:cs="Times New Roman"/>
          <w:bCs/>
          <w:color w:val="000000"/>
          <w:kern w:val="0"/>
          <w:sz w:val="32"/>
          <w:szCs w:val="32"/>
        </w:rPr>
        <w:t>进行考核奖励</w:t>
      </w:r>
      <w:r>
        <w:rPr>
          <w:rFonts w:hint="default" w:ascii="Times New Roman" w:hAnsi="Times New Roman" w:eastAsia="方正仿宋_GBK" w:cs="Times New Roman"/>
          <w:bCs/>
          <w:color w:val="000000"/>
          <w:kern w:val="0"/>
          <w:sz w:val="32"/>
          <w:szCs w:val="32"/>
          <w:lang w:eastAsia="zh-CN"/>
        </w:rPr>
        <w:t>；引进</w:t>
      </w:r>
      <w:r>
        <w:rPr>
          <w:rFonts w:hint="default" w:ascii="Times New Roman" w:hAnsi="Times New Roman" w:eastAsia="方正仿宋_GBK" w:cs="Times New Roman"/>
          <w:bCs/>
          <w:color w:val="000000"/>
          <w:kern w:val="0"/>
          <w:sz w:val="32"/>
          <w:szCs w:val="32"/>
        </w:rPr>
        <w:t>省级工程技术研究中心、新型研发机构、重点实验室和企业技术中心</w:t>
      </w:r>
      <w:r>
        <w:rPr>
          <w:rFonts w:hint="default" w:ascii="Times New Roman" w:hAnsi="Times New Roman" w:eastAsia="方正仿宋_GBK" w:cs="Times New Roman"/>
          <w:bCs/>
          <w:color w:val="000000"/>
          <w:kern w:val="0"/>
          <w:sz w:val="32"/>
          <w:szCs w:val="32"/>
          <w:lang w:eastAsia="zh-CN"/>
        </w:rPr>
        <w:t>、博士后工作站等</w:t>
      </w:r>
      <w:r>
        <w:rPr>
          <w:rFonts w:hint="default" w:ascii="Times New Roman" w:hAnsi="Times New Roman" w:eastAsia="方正仿宋_GBK" w:cs="Times New Roman"/>
          <w:bCs/>
          <w:color w:val="000000"/>
          <w:kern w:val="0"/>
          <w:sz w:val="32"/>
          <w:szCs w:val="32"/>
          <w:lang w:val="en-US" w:eastAsia="zh-CN"/>
        </w:rPr>
        <w:t>，按照相当于一个</w:t>
      </w:r>
      <w:r>
        <w:rPr>
          <w:rFonts w:hint="default" w:ascii="Times New Roman" w:hAnsi="Times New Roman" w:eastAsia="方正仿宋_GBK" w:cs="Times New Roman"/>
          <w:bCs/>
          <w:color w:val="000000"/>
          <w:kern w:val="0"/>
          <w:sz w:val="32"/>
          <w:szCs w:val="32"/>
          <w:lang w:eastAsia="zh-CN"/>
        </w:rPr>
        <w:t>固定资产投资实际到位</w:t>
      </w:r>
      <w:r>
        <w:rPr>
          <w:rFonts w:hint="default" w:ascii="Times New Roman" w:hAnsi="Times New Roman" w:eastAsia="方正仿宋_GBK" w:cs="Times New Roman"/>
          <w:bCs/>
          <w:color w:val="000000"/>
          <w:kern w:val="0"/>
          <w:sz w:val="32"/>
          <w:szCs w:val="32"/>
          <w:lang w:val="en-US" w:eastAsia="zh-CN"/>
        </w:rPr>
        <w:t>5000万元的工业项目进行一次性奖励；引进省级</w:t>
      </w:r>
      <w:r>
        <w:rPr>
          <w:rFonts w:hint="default" w:ascii="Times New Roman" w:hAnsi="Times New Roman" w:eastAsia="方正仿宋_GBK" w:cs="Times New Roman"/>
          <w:bCs/>
          <w:color w:val="000000"/>
          <w:kern w:val="0"/>
          <w:sz w:val="32"/>
          <w:szCs w:val="32"/>
        </w:rPr>
        <w:t>扶持科技人才团队</w:t>
      </w:r>
      <w:r>
        <w:rPr>
          <w:rFonts w:hint="default" w:ascii="Times New Roman" w:hAnsi="Times New Roman" w:eastAsia="方正仿宋_GBK" w:cs="Times New Roman"/>
          <w:bCs/>
          <w:color w:val="000000"/>
          <w:kern w:val="0"/>
          <w:sz w:val="32"/>
          <w:szCs w:val="32"/>
          <w:lang w:val="en-US" w:eastAsia="zh-CN"/>
        </w:rPr>
        <w:t>1</w:t>
      </w:r>
      <w:r>
        <w:rPr>
          <w:rFonts w:hint="default" w:ascii="Times New Roman" w:hAnsi="Times New Roman" w:eastAsia="方正仿宋_GBK" w:cs="Times New Roman"/>
          <w:bCs/>
          <w:color w:val="000000"/>
          <w:kern w:val="0"/>
          <w:sz w:val="32"/>
          <w:szCs w:val="32"/>
        </w:rPr>
        <w:t>个</w:t>
      </w:r>
      <w:r>
        <w:rPr>
          <w:rFonts w:hint="default" w:ascii="Times New Roman" w:hAnsi="Times New Roman"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lang w:val="en-US" w:eastAsia="zh-CN"/>
        </w:rPr>
        <w:t>按照相当于一个</w:t>
      </w:r>
      <w:r>
        <w:rPr>
          <w:rFonts w:hint="default" w:ascii="Times New Roman" w:hAnsi="Times New Roman" w:eastAsia="方正仿宋_GBK" w:cs="Times New Roman"/>
          <w:bCs/>
          <w:color w:val="000000"/>
          <w:kern w:val="0"/>
          <w:sz w:val="32"/>
          <w:szCs w:val="32"/>
          <w:lang w:eastAsia="zh-CN"/>
        </w:rPr>
        <w:t>固定资产投资实际到位</w:t>
      </w:r>
      <w:r>
        <w:rPr>
          <w:rFonts w:hint="default" w:ascii="Times New Roman" w:hAnsi="Times New Roman" w:eastAsia="方正仿宋_GBK" w:cs="Times New Roman"/>
          <w:bCs/>
          <w:color w:val="000000"/>
          <w:kern w:val="0"/>
          <w:sz w:val="32"/>
          <w:szCs w:val="32"/>
          <w:lang w:val="en-US" w:eastAsia="zh-CN"/>
        </w:rPr>
        <w:t>3000万元的工业项目进行一次性奖励。</w:t>
      </w:r>
    </w:p>
    <w:p w14:paraId="6A8EC4D7">
      <w:pPr>
        <w:keepNext w:val="0"/>
        <w:keepLines w:val="0"/>
        <w:pageBreakBefore w:val="0"/>
        <w:widowControl w:val="0"/>
        <w:kinsoku/>
        <w:wordWrap/>
        <w:autoSpaceDE/>
        <w:autoSpaceDN/>
        <w:bidi w:val="0"/>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四、运行机制</w:t>
      </w:r>
    </w:p>
    <w:p w14:paraId="40AFB897">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lang w:val="en-US" w:eastAsia="zh-CN"/>
        </w:rPr>
      </w:pPr>
      <w:r>
        <w:rPr>
          <w:rFonts w:hint="default" w:ascii="Times New Roman" w:hAnsi="Times New Roman" w:eastAsia="方正仿宋_GBK" w:cs="Times New Roman"/>
          <w:bCs/>
          <w:color w:val="000000"/>
          <w:kern w:val="0"/>
          <w:sz w:val="32"/>
          <w:szCs w:val="32"/>
          <w:lang w:eastAsia="zh-CN"/>
        </w:rPr>
        <w:t>成立经开区招商引资双招双引“链长制”工作推进专班，</w:t>
      </w:r>
      <w:r>
        <w:rPr>
          <w:rFonts w:hint="default" w:ascii="Times New Roman" w:hAnsi="Times New Roman" w:eastAsia="方正仿宋_GBK" w:cs="Times New Roman"/>
          <w:bCs/>
          <w:color w:val="000000"/>
          <w:kern w:val="0"/>
          <w:sz w:val="32"/>
          <w:szCs w:val="32"/>
        </w:rPr>
        <w:t>组建5个项目包保组，班子成员任每个包保组组长，每个招商分局对应一个包保组，组长从相关局室、中心抽调工作人员，</w:t>
      </w:r>
      <w:r>
        <w:rPr>
          <w:rFonts w:hint="default" w:ascii="Times New Roman" w:hAnsi="Times New Roman" w:eastAsia="方正仿宋_GBK" w:cs="Times New Roman"/>
          <w:bCs/>
          <w:color w:val="000000"/>
          <w:kern w:val="0"/>
          <w:sz w:val="32"/>
          <w:szCs w:val="32"/>
          <w:lang w:eastAsia="zh-CN"/>
        </w:rPr>
        <w:t>全程</w:t>
      </w:r>
      <w:r>
        <w:rPr>
          <w:rFonts w:hint="default" w:ascii="Times New Roman" w:hAnsi="Times New Roman" w:eastAsia="方正仿宋_GBK" w:cs="Times New Roman"/>
          <w:bCs/>
          <w:color w:val="000000"/>
          <w:kern w:val="0"/>
          <w:sz w:val="32"/>
          <w:szCs w:val="32"/>
        </w:rPr>
        <w:t>协调解决项目</w:t>
      </w:r>
      <w:r>
        <w:rPr>
          <w:rFonts w:hint="default" w:ascii="Times New Roman" w:hAnsi="Times New Roman" w:eastAsia="方正仿宋_GBK" w:cs="Times New Roman"/>
          <w:bCs/>
          <w:color w:val="000000"/>
          <w:kern w:val="0"/>
          <w:sz w:val="32"/>
          <w:szCs w:val="32"/>
          <w:lang w:eastAsia="zh-CN"/>
        </w:rPr>
        <w:t>建设中</w:t>
      </w:r>
      <w:r>
        <w:rPr>
          <w:rFonts w:hint="default" w:ascii="Times New Roman" w:hAnsi="Times New Roman" w:eastAsia="方正仿宋_GBK" w:cs="Times New Roman"/>
          <w:bCs/>
          <w:color w:val="000000"/>
          <w:kern w:val="0"/>
          <w:sz w:val="32"/>
          <w:szCs w:val="32"/>
        </w:rPr>
        <w:t>遇到的问题，加快项目投资进度，切实提高项目落地成功率。</w:t>
      </w:r>
      <w:r>
        <w:rPr>
          <w:rFonts w:hint="default" w:ascii="Times New Roman" w:hAnsi="Times New Roman" w:eastAsia="方正仿宋_GBK" w:cs="Times New Roman"/>
          <w:bCs/>
          <w:color w:val="000000"/>
          <w:kern w:val="0"/>
          <w:sz w:val="32"/>
          <w:szCs w:val="32"/>
          <w:lang w:eastAsia="zh-CN"/>
        </w:rPr>
        <w:t>根据《</w:t>
      </w:r>
      <w:r>
        <w:rPr>
          <w:rFonts w:hint="default" w:ascii="Times New Roman" w:hAnsi="Times New Roman" w:eastAsia="方正仿宋_GBK" w:cs="Times New Roman"/>
          <w:bCs/>
          <w:color w:val="000000"/>
          <w:kern w:val="0"/>
          <w:sz w:val="32"/>
          <w:szCs w:val="32"/>
        </w:rPr>
        <w:t>关于建立重点产业双招双引“链长制”工作推进专班的通知</w:t>
      </w:r>
      <w:r>
        <w:rPr>
          <w:rFonts w:hint="default" w:ascii="Times New Roman" w:hAnsi="Times New Roman" w:eastAsia="方正仿宋_GBK" w:cs="Times New Roman"/>
          <w:bCs/>
          <w:color w:val="000000"/>
          <w:kern w:val="0"/>
          <w:sz w:val="32"/>
          <w:szCs w:val="32"/>
          <w:lang w:eastAsia="zh-CN"/>
        </w:rPr>
        <w:t>》文件要求，经开区涉及四个主导产业，分别是生命健康产业、新材料产业、新能源产业、高端装备制造产业，</w:t>
      </w:r>
      <w:r>
        <w:rPr>
          <w:rFonts w:hint="default" w:ascii="Times New Roman" w:hAnsi="Times New Roman" w:eastAsia="方正仿宋_GBK" w:cs="Times New Roman"/>
          <w:bCs/>
          <w:color w:val="000000"/>
          <w:kern w:val="0"/>
          <w:sz w:val="32"/>
          <w:szCs w:val="32"/>
        </w:rPr>
        <w:t>5个项目包保组</w:t>
      </w:r>
      <w:r>
        <w:rPr>
          <w:rFonts w:hint="default" w:ascii="Times New Roman" w:hAnsi="Times New Roman" w:eastAsia="方正仿宋_GBK" w:cs="Times New Roman"/>
          <w:bCs/>
          <w:color w:val="000000"/>
          <w:kern w:val="0"/>
          <w:sz w:val="32"/>
          <w:szCs w:val="32"/>
          <w:lang w:eastAsia="zh-CN"/>
        </w:rPr>
        <w:t>分别对应</w:t>
      </w:r>
      <w:r>
        <w:rPr>
          <w:rFonts w:hint="default" w:ascii="Times New Roman" w:hAnsi="Times New Roman" w:eastAsia="方正仿宋_GBK" w:cs="Times New Roman"/>
          <w:bCs/>
          <w:color w:val="000000"/>
          <w:kern w:val="0"/>
          <w:sz w:val="32"/>
          <w:szCs w:val="32"/>
          <w:lang w:val="en-US" w:eastAsia="zh-CN"/>
        </w:rPr>
        <w:t>成立5个</w:t>
      </w:r>
      <w:r>
        <w:rPr>
          <w:rFonts w:hint="default" w:ascii="Times New Roman" w:hAnsi="Times New Roman" w:eastAsia="方正仿宋_GBK" w:cs="Times New Roman"/>
          <w:bCs/>
          <w:color w:val="000000"/>
          <w:kern w:val="0"/>
          <w:sz w:val="32"/>
          <w:szCs w:val="32"/>
        </w:rPr>
        <w:t>“链长制”工作推进专班</w:t>
      </w:r>
      <w:r>
        <w:rPr>
          <w:rFonts w:hint="default" w:ascii="Times New Roman" w:hAnsi="Times New Roman" w:eastAsia="方正仿宋_GBK" w:cs="Times New Roman"/>
          <w:bCs/>
          <w:color w:val="000000"/>
          <w:kern w:val="0"/>
          <w:sz w:val="32"/>
          <w:szCs w:val="32"/>
          <w:lang w:eastAsia="zh-CN"/>
        </w:rPr>
        <w:t>，</w:t>
      </w:r>
      <w:r>
        <w:rPr>
          <w:rFonts w:hint="default" w:ascii="Times New Roman" w:hAnsi="Times New Roman" w:eastAsia="方正仿宋_GBK" w:cs="Times New Roman"/>
          <w:bCs/>
          <w:color w:val="000000"/>
          <w:kern w:val="0"/>
          <w:sz w:val="32"/>
          <w:szCs w:val="32"/>
        </w:rPr>
        <w:t>落实“链长”责任制，梳理链条企业清单、招商引资对象清单、创新平台清单等，列出时间表、路线图，</w:t>
      </w:r>
      <w:r>
        <w:rPr>
          <w:rFonts w:hint="default" w:ascii="Times New Roman" w:hAnsi="Times New Roman" w:eastAsia="方正仿宋_GBK" w:cs="Times New Roman"/>
          <w:bCs/>
          <w:color w:val="000000"/>
          <w:kern w:val="0"/>
          <w:sz w:val="32"/>
          <w:szCs w:val="32"/>
          <w:u w:val="none"/>
          <w:lang w:val="en-US" w:eastAsia="zh-CN"/>
        </w:rPr>
        <w:t>切实加大外出招引力度、项目推进力度，</w:t>
      </w:r>
      <w:r>
        <w:rPr>
          <w:rFonts w:hint="default" w:ascii="Times New Roman" w:hAnsi="Times New Roman" w:eastAsia="方正仿宋_GBK" w:cs="Times New Roman"/>
          <w:b w:val="0"/>
          <w:bCs/>
          <w:color w:val="000000"/>
          <w:kern w:val="0"/>
          <w:sz w:val="32"/>
          <w:szCs w:val="32"/>
          <w:lang w:val="en-US" w:eastAsia="zh-CN" w:bidi="ar-SA"/>
        </w:rPr>
        <w:t>协力推进产业链发展</w:t>
      </w:r>
      <w:r>
        <w:rPr>
          <w:rFonts w:hint="default" w:ascii="Times New Roman" w:hAnsi="Times New Roman" w:eastAsia="方正仿宋_GBK" w:cs="Times New Roman"/>
          <w:bCs/>
          <w:color w:val="000000"/>
          <w:kern w:val="0"/>
          <w:sz w:val="32"/>
          <w:szCs w:val="32"/>
          <w:lang w:eastAsia="zh-CN"/>
        </w:rPr>
        <w:t>。</w:t>
      </w:r>
    </w:p>
    <w:p w14:paraId="732CE170">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pPr>
      <w:r>
        <w:rPr>
          <w:rFonts w:hint="default" w:ascii="Times New Roman" w:hAnsi="Times New Roman" w:eastAsia="方正仿宋_GBK" w:cs="Times New Roman"/>
          <w:bCs/>
          <w:color w:val="000000"/>
          <w:kern w:val="0"/>
          <w:sz w:val="32"/>
          <w:szCs w:val="32"/>
          <w:lang w:val="en-US" w:eastAsia="zh-CN"/>
        </w:rPr>
        <w:t>“</w:t>
      </w:r>
      <w:r>
        <w:rPr>
          <w:rFonts w:hint="default" w:ascii="Times New Roman" w:hAnsi="Times New Roman" w:eastAsia="方正仿宋_GBK" w:cs="Times New Roman"/>
          <w:bCs/>
          <w:color w:val="000000"/>
          <w:kern w:val="0"/>
          <w:sz w:val="32"/>
          <w:szCs w:val="32"/>
          <w:lang w:eastAsia="zh-CN"/>
        </w:rPr>
        <w:t>双招双引</w:t>
      </w:r>
      <w:r>
        <w:rPr>
          <w:rFonts w:hint="default" w:ascii="Times New Roman" w:hAnsi="Times New Roman" w:eastAsia="方正仿宋_GBK" w:cs="Times New Roman"/>
          <w:bCs/>
          <w:color w:val="000000"/>
          <w:kern w:val="0"/>
          <w:sz w:val="32"/>
          <w:szCs w:val="32"/>
          <w:lang w:val="en-US" w:eastAsia="zh-CN"/>
        </w:rPr>
        <w:t>”</w:t>
      </w:r>
      <w:r>
        <w:rPr>
          <w:rFonts w:hint="default" w:ascii="Times New Roman" w:hAnsi="Times New Roman" w:eastAsia="方正仿宋_GBK" w:cs="Times New Roman"/>
          <w:bCs/>
          <w:color w:val="000000"/>
          <w:kern w:val="0"/>
          <w:sz w:val="32"/>
          <w:szCs w:val="32"/>
          <w:lang w:eastAsia="zh-CN"/>
        </w:rPr>
        <w:t>工作推进专班下设办公室，负责日常工作，招商局负责人任办公室主任。</w:t>
      </w:r>
      <w:r>
        <w:rPr>
          <w:rFonts w:hint="default" w:ascii="Times New Roman" w:hAnsi="Times New Roman" w:eastAsia="方正仿宋_GBK" w:cs="Times New Roman"/>
          <w:bCs/>
          <w:color w:val="000000"/>
          <w:kern w:val="0"/>
          <w:sz w:val="32"/>
          <w:szCs w:val="32"/>
        </w:rPr>
        <w:t>同时，设立</w:t>
      </w:r>
      <w:r>
        <w:rPr>
          <w:rFonts w:hint="default" w:ascii="Times New Roman" w:hAnsi="Times New Roman" w:eastAsia="方正仿宋_GBK" w:cs="Times New Roman"/>
          <w:bCs/>
          <w:color w:val="000000"/>
          <w:kern w:val="0"/>
          <w:sz w:val="32"/>
          <w:szCs w:val="32"/>
          <w:lang w:eastAsia="zh-CN"/>
        </w:rPr>
        <w:t>“链长制”工作及</w:t>
      </w:r>
      <w:r>
        <w:rPr>
          <w:rFonts w:hint="default" w:ascii="Times New Roman" w:hAnsi="Times New Roman" w:eastAsia="方正仿宋_GBK" w:cs="Times New Roman"/>
          <w:bCs/>
          <w:color w:val="000000"/>
          <w:kern w:val="0"/>
          <w:sz w:val="32"/>
          <w:szCs w:val="32"/>
        </w:rPr>
        <w:t>项目包保</w:t>
      </w:r>
      <w:r>
        <w:rPr>
          <w:rFonts w:hint="default" w:ascii="Times New Roman" w:hAnsi="Times New Roman" w:eastAsia="方正仿宋_GBK" w:cs="Times New Roman"/>
          <w:bCs/>
          <w:color w:val="000000"/>
          <w:kern w:val="0"/>
          <w:sz w:val="32"/>
          <w:szCs w:val="32"/>
          <w:lang w:eastAsia="zh-CN"/>
        </w:rPr>
        <w:t>考核</w:t>
      </w:r>
      <w:r>
        <w:rPr>
          <w:rFonts w:hint="default" w:ascii="Times New Roman" w:hAnsi="Times New Roman" w:eastAsia="方正仿宋_GBK" w:cs="Times New Roman"/>
          <w:bCs/>
          <w:color w:val="000000"/>
          <w:kern w:val="0"/>
          <w:sz w:val="32"/>
          <w:szCs w:val="32"/>
        </w:rPr>
        <w:t>组，由督查考核办</w:t>
      </w:r>
      <w:r>
        <w:rPr>
          <w:rFonts w:hint="default" w:ascii="Times New Roman" w:hAnsi="Times New Roman" w:eastAsia="方正仿宋_GBK" w:cs="Times New Roman"/>
          <w:bCs/>
          <w:color w:val="000000"/>
          <w:kern w:val="0"/>
          <w:sz w:val="32"/>
          <w:szCs w:val="32"/>
          <w:lang w:eastAsia="zh-CN"/>
        </w:rPr>
        <w:t>牵头，从机关部门抽调人员组成，负责考核，</w:t>
      </w:r>
      <w:r>
        <w:rPr>
          <w:rFonts w:hint="default" w:ascii="Times New Roman" w:hAnsi="Times New Roman" w:eastAsia="方正仿宋_GBK" w:cs="Times New Roman"/>
          <w:bCs/>
          <w:color w:val="000000"/>
          <w:kern w:val="0"/>
          <w:sz w:val="32"/>
          <w:szCs w:val="32"/>
        </w:rPr>
        <w:t>推进</w:t>
      </w:r>
      <w:r>
        <w:rPr>
          <w:rFonts w:hint="default" w:ascii="Times New Roman" w:hAnsi="Times New Roman" w:eastAsia="方正仿宋_GBK" w:cs="Times New Roman"/>
          <w:bCs/>
          <w:color w:val="000000"/>
          <w:kern w:val="0"/>
          <w:sz w:val="32"/>
          <w:szCs w:val="32"/>
          <w:lang w:eastAsia="zh-CN"/>
        </w:rPr>
        <w:t>“链长制”工作及</w:t>
      </w:r>
      <w:r>
        <w:rPr>
          <w:rFonts w:hint="default" w:ascii="Times New Roman" w:hAnsi="Times New Roman" w:eastAsia="方正仿宋_GBK" w:cs="Times New Roman"/>
          <w:bCs/>
          <w:color w:val="000000"/>
          <w:kern w:val="0"/>
          <w:sz w:val="32"/>
          <w:szCs w:val="32"/>
        </w:rPr>
        <w:t>各包保组任务落实。</w:t>
      </w:r>
    </w:p>
    <w:p w14:paraId="2D4D770A">
      <w:pPr>
        <w:keepNext w:val="0"/>
        <w:keepLines w:val="0"/>
        <w:pageBreakBefore w:val="0"/>
        <w:widowControl w:val="0"/>
        <w:kinsoku/>
        <w:wordWrap/>
        <w:overflowPunct w:val="0"/>
        <w:topLinePunct/>
        <w:autoSpaceDE/>
        <w:autoSpaceDN/>
        <w:bidi w:val="0"/>
        <w:adjustRightInd w:val="0"/>
        <w:snapToGrid/>
        <w:spacing w:line="590" w:lineRule="exact"/>
        <w:ind w:firstLine="640" w:firstLineChars="200"/>
        <w:textAlignment w:val="auto"/>
        <w:rPr>
          <w:rFonts w:hint="default" w:ascii="Times New Roman" w:hAnsi="Times New Roman" w:eastAsia="方正仿宋_GBK" w:cs="Times New Roman"/>
          <w:bCs/>
          <w:color w:val="000000"/>
          <w:kern w:val="0"/>
          <w:sz w:val="32"/>
          <w:szCs w:val="32"/>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方正仿宋_GBK" w:cs="Times New Roman"/>
          <w:bCs/>
          <w:color w:val="000000"/>
          <w:kern w:val="0"/>
          <w:sz w:val="32"/>
          <w:szCs w:val="32"/>
        </w:rPr>
        <w:t>各包保组需将上</w:t>
      </w:r>
      <w:r>
        <w:rPr>
          <w:rFonts w:hint="default" w:ascii="Times New Roman" w:hAnsi="Times New Roman" w:eastAsia="方正仿宋_GBK" w:cs="Times New Roman"/>
          <w:bCs/>
          <w:color w:val="000000"/>
          <w:kern w:val="0"/>
          <w:sz w:val="32"/>
          <w:szCs w:val="32"/>
          <w:lang w:eastAsia="zh-CN"/>
        </w:rPr>
        <w:t>季度招引项目情况、固定资产投资资金到位</w:t>
      </w:r>
      <w:r>
        <w:rPr>
          <w:rFonts w:hint="default" w:ascii="Times New Roman" w:hAnsi="Times New Roman" w:eastAsia="方正仿宋_GBK" w:cs="Times New Roman"/>
          <w:bCs/>
          <w:color w:val="000000"/>
          <w:kern w:val="0"/>
          <w:sz w:val="32"/>
          <w:szCs w:val="32"/>
        </w:rPr>
        <w:t>情况</w:t>
      </w:r>
      <w:r>
        <w:rPr>
          <w:rFonts w:hint="default" w:ascii="Times New Roman" w:hAnsi="Times New Roman" w:eastAsia="方正仿宋_GBK" w:cs="Times New Roman"/>
          <w:bCs/>
          <w:color w:val="000000"/>
          <w:kern w:val="0"/>
          <w:sz w:val="32"/>
          <w:szCs w:val="32"/>
          <w:lang w:eastAsia="zh-CN"/>
        </w:rPr>
        <w:t>和相关佐证材料上报考核</w:t>
      </w:r>
      <w:r>
        <w:rPr>
          <w:rFonts w:hint="default" w:ascii="Times New Roman" w:hAnsi="Times New Roman" w:eastAsia="方正仿宋_GBK" w:cs="Times New Roman"/>
          <w:bCs/>
          <w:color w:val="000000"/>
          <w:kern w:val="0"/>
          <w:sz w:val="32"/>
          <w:szCs w:val="32"/>
        </w:rPr>
        <w:t>组，由</w:t>
      </w:r>
      <w:r>
        <w:rPr>
          <w:rFonts w:hint="default" w:ascii="Times New Roman" w:hAnsi="Times New Roman" w:eastAsia="方正仿宋_GBK" w:cs="Times New Roman"/>
          <w:bCs/>
          <w:color w:val="000000"/>
          <w:kern w:val="0"/>
          <w:sz w:val="32"/>
          <w:szCs w:val="32"/>
          <w:lang w:eastAsia="zh-CN"/>
        </w:rPr>
        <w:t>考核</w:t>
      </w:r>
      <w:r>
        <w:rPr>
          <w:rFonts w:hint="default" w:ascii="Times New Roman" w:hAnsi="Times New Roman" w:eastAsia="方正仿宋_GBK" w:cs="Times New Roman"/>
          <w:bCs/>
          <w:color w:val="000000"/>
          <w:kern w:val="0"/>
          <w:sz w:val="32"/>
          <w:szCs w:val="32"/>
        </w:rPr>
        <w:t>组进行核实</w:t>
      </w:r>
      <w:r>
        <w:rPr>
          <w:rFonts w:hint="default" w:ascii="Times New Roman" w:hAnsi="Times New Roman" w:eastAsia="方正仿宋_GBK" w:cs="Times New Roman"/>
          <w:bCs/>
          <w:color w:val="000000"/>
          <w:kern w:val="0"/>
          <w:sz w:val="32"/>
          <w:szCs w:val="32"/>
          <w:lang w:eastAsia="zh-CN"/>
        </w:rPr>
        <w:t>并</w:t>
      </w:r>
      <w:r>
        <w:rPr>
          <w:rFonts w:hint="default" w:ascii="Times New Roman" w:hAnsi="Times New Roman" w:eastAsia="方正仿宋_GBK" w:cs="Times New Roman"/>
          <w:bCs/>
          <w:color w:val="000000"/>
          <w:kern w:val="0"/>
          <w:sz w:val="32"/>
          <w:szCs w:val="32"/>
        </w:rPr>
        <w:t>提出初审意见。各包保组根据本奖励办法和初审意见，提出包保责任制奖金申报，经主任办公会研究通过后给予兑现。奖励一季度一兑现，</w:t>
      </w:r>
      <w:r>
        <w:rPr>
          <w:rFonts w:hint="default" w:ascii="Times New Roman" w:hAnsi="Times New Roman" w:eastAsia="方正仿宋_GBK" w:cs="Times New Roman"/>
          <w:bCs/>
          <w:color w:val="000000"/>
          <w:kern w:val="0"/>
          <w:sz w:val="32"/>
          <w:szCs w:val="32"/>
          <w:lang w:eastAsia="zh-CN"/>
        </w:rPr>
        <w:t>奖金由各包保组自行安排。“双招双引”工作推进专班办公室和包保考核</w:t>
      </w:r>
      <w:r>
        <w:rPr>
          <w:rFonts w:hint="default" w:ascii="Times New Roman" w:hAnsi="Times New Roman" w:eastAsia="方正仿宋_GBK" w:cs="Times New Roman"/>
          <w:bCs/>
          <w:color w:val="000000"/>
          <w:kern w:val="0"/>
          <w:sz w:val="32"/>
          <w:szCs w:val="32"/>
        </w:rPr>
        <w:t>组</w:t>
      </w:r>
      <w:r>
        <w:rPr>
          <w:rFonts w:hint="default" w:ascii="Times New Roman" w:hAnsi="Times New Roman" w:eastAsia="方正仿宋_GBK" w:cs="Times New Roman"/>
          <w:bCs/>
          <w:color w:val="000000"/>
          <w:kern w:val="0"/>
          <w:sz w:val="32"/>
          <w:szCs w:val="32"/>
          <w:lang w:eastAsia="zh-CN"/>
        </w:rPr>
        <w:t>人员</w:t>
      </w:r>
      <w:r>
        <w:rPr>
          <w:rFonts w:hint="default" w:ascii="Times New Roman" w:hAnsi="Times New Roman" w:eastAsia="方正仿宋_GBK" w:cs="Times New Roman"/>
          <w:bCs/>
          <w:color w:val="000000"/>
          <w:kern w:val="0"/>
          <w:sz w:val="32"/>
          <w:szCs w:val="32"/>
        </w:rPr>
        <w:t>奖金按照</w:t>
      </w:r>
      <w:r>
        <w:rPr>
          <w:rFonts w:hint="default" w:ascii="Times New Roman" w:hAnsi="Times New Roman" w:eastAsia="方正仿宋_GBK" w:cs="Times New Roman"/>
          <w:bCs/>
          <w:color w:val="000000"/>
          <w:kern w:val="0"/>
          <w:sz w:val="32"/>
          <w:szCs w:val="32"/>
          <w:lang w:eastAsia="zh-CN"/>
        </w:rPr>
        <w:t>包保</w:t>
      </w:r>
      <w:r>
        <w:rPr>
          <w:rFonts w:hint="default" w:ascii="Times New Roman" w:hAnsi="Times New Roman" w:eastAsia="方正仿宋_GBK" w:cs="Times New Roman"/>
          <w:bCs/>
          <w:color w:val="000000"/>
          <w:kern w:val="0"/>
          <w:sz w:val="32"/>
          <w:szCs w:val="32"/>
        </w:rPr>
        <w:t>小组奖金的平均数执行。</w:t>
      </w:r>
    </w:p>
    <w:p w14:paraId="5AA0DF63">
      <w:pPr>
        <w:keepNext w:val="0"/>
        <w:keepLines w:val="0"/>
        <w:pageBreakBefore w:val="0"/>
        <w:kinsoku/>
        <w:wordWrap/>
        <w:bidi w:val="0"/>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宿州经开区招商引资双招双引“链长制”工作推进专班及</w:t>
      </w:r>
    </w:p>
    <w:p w14:paraId="3069229E">
      <w:pPr>
        <w:keepNext w:val="0"/>
        <w:keepLines w:val="0"/>
        <w:pageBreakBefore w:val="0"/>
        <w:kinsoku/>
        <w:wordWrap/>
        <w:bidi w:val="0"/>
        <w:spacing w:line="59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项目包保责任分工一览表</w:t>
      </w:r>
    </w:p>
    <w:p w14:paraId="04A2C9A8">
      <w:pPr>
        <w:pStyle w:val="7"/>
        <w:keepNext w:val="0"/>
        <w:keepLines w:val="0"/>
        <w:pageBreakBefore w:val="0"/>
        <w:kinsoku/>
        <w:wordWrap/>
        <w:bidi w:val="0"/>
        <w:spacing w:line="590" w:lineRule="exact"/>
        <w:rPr>
          <w:rFonts w:hint="default" w:ascii="Times New Roman" w:hAnsi="Times New Roman" w:cs="Times New Roman"/>
        </w:rPr>
      </w:pPr>
    </w:p>
    <w:tbl>
      <w:tblPr>
        <w:tblStyle w:val="9"/>
        <w:tblW w:w="14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1350"/>
        <w:gridCol w:w="2041"/>
        <w:gridCol w:w="3842"/>
        <w:gridCol w:w="2296"/>
        <w:gridCol w:w="1230"/>
        <w:gridCol w:w="1713"/>
      </w:tblGrid>
      <w:tr w14:paraId="7FAB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83" w:type="dxa"/>
            <w:vAlign w:val="center"/>
          </w:tcPr>
          <w:p w14:paraId="705F5930">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序号</w:t>
            </w:r>
          </w:p>
        </w:tc>
        <w:tc>
          <w:tcPr>
            <w:tcW w:w="1350" w:type="dxa"/>
            <w:vAlign w:val="center"/>
          </w:tcPr>
          <w:p w14:paraId="27928711">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组长</w:t>
            </w:r>
          </w:p>
          <w:p w14:paraId="6951EDDC">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lang w:eastAsia="zh-CN"/>
              </w:rPr>
            </w:pPr>
            <w:r>
              <w:rPr>
                <w:rFonts w:hint="default" w:ascii="Times New Roman" w:hAnsi="Times New Roman" w:eastAsia="方正黑体_GBK" w:cs="Times New Roman"/>
                <w:sz w:val="30"/>
                <w:szCs w:val="30"/>
                <w:lang w:eastAsia="zh-CN"/>
              </w:rPr>
              <w:t>（链长）</w:t>
            </w:r>
          </w:p>
        </w:tc>
        <w:tc>
          <w:tcPr>
            <w:tcW w:w="2041" w:type="dxa"/>
            <w:vAlign w:val="center"/>
          </w:tcPr>
          <w:p w14:paraId="62CEEA94">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小组成员</w:t>
            </w:r>
          </w:p>
        </w:tc>
        <w:tc>
          <w:tcPr>
            <w:tcW w:w="3842" w:type="dxa"/>
            <w:vAlign w:val="center"/>
          </w:tcPr>
          <w:p w14:paraId="0CBEF636">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lang w:eastAsia="zh-CN"/>
              </w:rPr>
            </w:pPr>
            <w:r>
              <w:rPr>
                <w:rFonts w:hint="default" w:ascii="Times New Roman" w:hAnsi="Times New Roman" w:eastAsia="方正黑体_GBK" w:cs="Times New Roman"/>
                <w:sz w:val="30"/>
                <w:szCs w:val="30"/>
                <w:lang w:eastAsia="zh-CN"/>
              </w:rPr>
              <w:t>招引方向</w:t>
            </w:r>
          </w:p>
        </w:tc>
        <w:tc>
          <w:tcPr>
            <w:tcW w:w="2296" w:type="dxa"/>
            <w:vAlign w:val="center"/>
          </w:tcPr>
          <w:p w14:paraId="5C2CF814">
            <w:pPr>
              <w:keepNext w:val="0"/>
              <w:keepLines w:val="0"/>
              <w:pageBreakBefore w:val="0"/>
              <w:kinsoku/>
              <w:wordWrap/>
              <w:bidi w:val="0"/>
              <w:spacing w:line="590" w:lineRule="exact"/>
              <w:ind w:firstLine="0" w:firstLineChars="0"/>
              <w:jc w:val="center"/>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推进项目</w:t>
            </w:r>
          </w:p>
        </w:tc>
        <w:tc>
          <w:tcPr>
            <w:tcW w:w="1230" w:type="dxa"/>
            <w:vAlign w:val="center"/>
          </w:tcPr>
          <w:p w14:paraId="1881D67E">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联络员</w:t>
            </w:r>
          </w:p>
        </w:tc>
        <w:tc>
          <w:tcPr>
            <w:tcW w:w="1713" w:type="dxa"/>
            <w:vAlign w:val="center"/>
          </w:tcPr>
          <w:p w14:paraId="5BBD1B21">
            <w:pPr>
              <w:keepNext w:val="0"/>
              <w:keepLines w:val="0"/>
              <w:pageBreakBefore w:val="0"/>
              <w:kinsoku/>
              <w:wordWrap/>
              <w:bidi w:val="0"/>
              <w:spacing w:line="590" w:lineRule="exact"/>
              <w:jc w:val="center"/>
              <w:rPr>
                <w:rFonts w:hint="default" w:ascii="Times New Roman" w:hAnsi="Times New Roman" w:eastAsia="方正黑体_GBK" w:cs="Times New Roman"/>
                <w:sz w:val="30"/>
                <w:szCs w:val="30"/>
                <w:lang w:eastAsia="zh-CN"/>
              </w:rPr>
            </w:pPr>
            <w:r>
              <w:rPr>
                <w:rFonts w:hint="default" w:ascii="Times New Roman" w:hAnsi="Times New Roman" w:eastAsia="方正黑体_GBK" w:cs="Times New Roman"/>
                <w:sz w:val="30"/>
                <w:szCs w:val="30"/>
                <w:lang w:eastAsia="zh-CN"/>
              </w:rPr>
              <w:t>目标任务</w:t>
            </w:r>
          </w:p>
        </w:tc>
      </w:tr>
      <w:tr w14:paraId="351B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683" w:type="dxa"/>
            <w:vAlign w:val="center"/>
          </w:tcPr>
          <w:p w14:paraId="0A8BEF4C">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第一包保组</w:t>
            </w:r>
          </w:p>
        </w:tc>
        <w:tc>
          <w:tcPr>
            <w:tcW w:w="1350" w:type="dxa"/>
            <w:vAlign w:val="center"/>
          </w:tcPr>
          <w:p w14:paraId="77F22EEF">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李晓宁</w:t>
            </w:r>
          </w:p>
          <w:p w14:paraId="1A155951">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（链长）</w:t>
            </w:r>
          </w:p>
        </w:tc>
        <w:tc>
          <w:tcPr>
            <w:tcW w:w="2041" w:type="dxa"/>
            <w:vAlign w:val="center"/>
          </w:tcPr>
          <w:p w14:paraId="19FE3703">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招商一局，</w:t>
            </w:r>
          </w:p>
          <w:p w14:paraId="15B90658">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其他成员待定</w:t>
            </w:r>
          </w:p>
        </w:tc>
        <w:tc>
          <w:tcPr>
            <w:tcW w:w="3842" w:type="dxa"/>
            <w:vAlign w:val="center"/>
          </w:tcPr>
          <w:p w14:paraId="34B836B4">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以</w:t>
            </w:r>
            <w:r>
              <w:rPr>
                <w:rFonts w:hint="default" w:ascii="Times New Roman" w:hAnsi="Times New Roman" w:eastAsia="方正仿宋_GBK" w:cs="Times New Roman"/>
                <w:i w:val="0"/>
                <w:iCs w:val="0"/>
                <w:kern w:val="2"/>
                <w:sz w:val="28"/>
                <w:szCs w:val="28"/>
                <w:u w:val="none"/>
                <w:lang w:val="en-US" w:eastAsia="zh-CN" w:bidi="ar"/>
              </w:rPr>
              <w:t>化学制药、生物制药、医疗器械等</w:t>
            </w:r>
            <w:r>
              <w:rPr>
                <w:rFonts w:hint="default" w:ascii="Times New Roman" w:hAnsi="Times New Roman" w:eastAsia="方正仿宋_GBK" w:cs="Times New Roman"/>
                <w:sz w:val="28"/>
                <w:szCs w:val="28"/>
                <w:u w:val="none"/>
                <w:lang w:eastAsia="zh-CN" w:bidi="ar"/>
              </w:rPr>
              <w:t>生命健康产业为主</w:t>
            </w:r>
          </w:p>
        </w:tc>
        <w:tc>
          <w:tcPr>
            <w:tcW w:w="2296" w:type="dxa"/>
            <w:vAlign w:val="center"/>
          </w:tcPr>
          <w:p w14:paraId="2C594699">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卡文迪许、东盛友邦、隆兴药业</w:t>
            </w:r>
          </w:p>
        </w:tc>
        <w:tc>
          <w:tcPr>
            <w:tcW w:w="1230" w:type="dxa"/>
            <w:vAlign w:val="center"/>
          </w:tcPr>
          <w:p w14:paraId="5B506FB5">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朱永卿</w:t>
            </w:r>
          </w:p>
        </w:tc>
        <w:tc>
          <w:tcPr>
            <w:tcW w:w="1713" w:type="dxa"/>
            <w:vMerge w:val="restart"/>
            <w:vAlign w:val="center"/>
          </w:tcPr>
          <w:p w14:paraId="690291D2">
            <w:pPr>
              <w:keepNext w:val="0"/>
              <w:keepLines w:val="0"/>
              <w:pageBreakBefore w:val="0"/>
              <w:numPr>
                <w:ilvl w:val="-1"/>
                <w:numId w:val="0"/>
              </w:numPr>
              <w:kinsoku/>
              <w:wordWrap/>
              <w:bidi w:val="0"/>
              <w:spacing w:line="590" w:lineRule="exact"/>
              <w:jc w:val="left"/>
              <w:rPr>
                <w:rFonts w:hint="default" w:ascii="Times New Roman" w:hAnsi="Times New Roman" w:eastAsia="方正仿宋_GBK" w:cs="Times New Roman"/>
                <w:sz w:val="28"/>
                <w:szCs w:val="28"/>
                <w:u w:val="none"/>
                <w:lang w:val="en-US" w:eastAsia="zh-CN" w:bidi="ar"/>
              </w:rPr>
            </w:pPr>
            <w:r>
              <w:rPr>
                <w:rFonts w:hint="default" w:ascii="Times New Roman" w:hAnsi="Times New Roman" w:eastAsia="方正仿宋_GBK" w:cs="Times New Roman"/>
                <w:sz w:val="28"/>
                <w:szCs w:val="28"/>
                <w:u w:val="none"/>
                <w:lang w:val="en-US" w:eastAsia="zh-CN" w:bidi="ar"/>
              </w:rPr>
              <w:t>1、每季度招引项目协议引资不少于2亿元（其中供地类项目固定资产投资不少于5000万，租赁厂房类项目固定资产投资不少于1000万；</w:t>
            </w:r>
          </w:p>
          <w:p w14:paraId="344EBA5B">
            <w:pPr>
              <w:keepNext w:val="0"/>
              <w:keepLines w:val="0"/>
              <w:pageBreakBefore w:val="0"/>
              <w:numPr>
                <w:ilvl w:val="-1"/>
                <w:numId w:val="0"/>
              </w:numPr>
              <w:kinsoku/>
              <w:wordWrap/>
              <w:bidi w:val="0"/>
              <w:spacing w:line="590" w:lineRule="exact"/>
              <w:jc w:val="left"/>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val="en-US" w:eastAsia="zh-CN" w:bidi="ar"/>
              </w:rPr>
              <w:t>2、</w:t>
            </w:r>
            <w:r>
              <w:rPr>
                <w:rFonts w:hint="default" w:ascii="Times New Roman" w:hAnsi="Times New Roman" w:eastAsia="方正仿宋_GBK" w:cs="Times New Roman"/>
                <w:sz w:val="28"/>
                <w:szCs w:val="28"/>
                <w:u w:val="none"/>
                <w:lang w:eastAsia="zh-CN" w:bidi="ar"/>
              </w:rPr>
              <w:t>每组根据产业分工，至少分别对接一家行业协会、研发机构、商会。</w:t>
            </w:r>
          </w:p>
          <w:p w14:paraId="61AE3953">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eastAsia="zh-CN" w:bidi="ar"/>
              </w:rPr>
            </w:pPr>
          </w:p>
          <w:p w14:paraId="680CD9D0">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bidi="ar"/>
              </w:rPr>
            </w:pPr>
          </w:p>
          <w:p w14:paraId="41F8B2B3">
            <w:pPr>
              <w:keepNext w:val="0"/>
              <w:keepLines w:val="0"/>
              <w:pageBreakBefore w:val="0"/>
              <w:kinsoku/>
              <w:wordWrap/>
              <w:bidi w:val="0"/>
              <w:spacing w:line="590" w:lineRule="exact"/>
              <w:jc w:val="left"/>
              <w:rPr>
                <w:rFonts w:hint="default" w:ascii="Times New Roman" w:hAnsi="Times New Roman" w:eastAsia="方正仿宋_GBK" w:cs="Times New Roman"/>
                <w:kern w:val="2"/>
                <w:sz w:val="28"/>
                <w:szCs w:val="28"/>
                <w:u w:val="none"/>
                <w:lang w:val="en-US" w:eastAsia="zh-CN" w:bidi="ar"/>
              </w:rPr>
            </w:pPr>
          </w:p>
        </w:tc>
      </w:tr>
      <w:tr w14:paraId="2CBB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683" w:type="dxa"/>
            <w:vAlign w:val="center"/>
          </w:tcPr>
          <w:p w14:paraId="0849CFFE">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第二包保组</w:t>
            </w:r>
          </w:p>
        </w:tc>
        <w:tc>
          <w:tcPr>
            <w:tcW w:w="1350" w:type="dxa"/>
            <w:vAlign w:val="center"/>
          </w:tcPr>
          <w:p w14:paraId="1EFF4FAC">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冯国强</w:t>
            </w:r>
          </w:p>
          <w:p w14:paraId="0A65A889">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（链长）</w:t>
            </w:r>
          </w:p>
        </w:tc>
        <w:tc>
          <w:tcPr>
            <w:tcW w:w="2041" w:type="dxa"/>
            <w:vAlign w:val="center"/>
          </w:tcPr>
          <w:p w14:paraId="12AB9832">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招商二局，</w:t>
            </w:r>
          </w:p>
          <w:p w14:paraId="736C36BE">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其他成员待定</w:t>
            </w:r>
          </w:p>
        </w:tc>
        <w:tc>
          <w:tcPr>
            <w:tcW w:w="3842" w:type="dxa"/>
            <w:vAlign w:val="center"/>
          </w:tcPr>
          <w:p w14:paraId="0D469FBF">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shd w:val="clear"/>
                <w:lang w:eastAsia="zh-CN" w:bidi="ar"/>
              </w:rPr>
              <w:t>以</w:t>
            </w:r>
            <w:r>
              <w:rPr>
                <w:rFonts w:hint="default" w:ascii="Times New Roman" w:hAnsi="Times New Roman" w:eastAsia="方正仿宋_GBK" w:cs="Times New Roman"/>
                <w:i w:val="0"/>
                <w:iCs w:val="0"/>
                <w:kern w:val="2"/>
                <w:sz w:val="28"/>
                <w:szCs w:val="28"/>
                <w:u w:val="none"/>
                <w:lang w:val="en-US" w:eastAsia="zh-CN" w:bidi="ar"/>
              </w:rPr>
              <w:t>高端专用装备（农机、矿山、工程机械等）、特种车辆及汽车零部件、智能制造装备、智能关键基础件等</w:t>
            </w:r>
            <w:r>
              <w:rPr>
                <w:rFonts w:hint="default" w:ascii="Times New Roman" w:hAnsi="Times New Roman" w:eastAsia="方正仿宋_GBK" w:cs="Times New Roman"/>
                <w:sz w:val="28"/>
                <w:szCs w:val="28"/>
                <w:u w:val="none"/>
                <w:shd w:val="clear"/>
                <w:lang w:eastAsia="zh-CN" w:bidi="ar"/>
              </w:rPr>
              <w:t>高端装备制造</w:t>
            </w:r>
            <w:r>
              <w:rPr>
                <w:rFonts w:hint="default" w:ascii="Times New Roman" w:hAnsi="Times New Roman" w:eastAsia="方正仿宋_GBK" w:cs="Times New Roman"/>
                <w:i w:val="0"/>
                <w:iCs w:val="0"/>
                <w:kern w:val="2"/>
                <w:sz w:val="28"/>
                <w:szCs w:val="28"/>
                <w:u w:val="none"/>
                <w:lang w:val="en-US" w:eastAsia="zh-CN" w:bidi="ar"/>
              </w:rPr>
              <w:t>产</w:t>
            </w:r>
            <w:r>
              <w:rPr>
                <w:rFonts w:hint="default" w:ascii="Times New Roman" w:hAnsi="Times New Roman" w:eastAsia="方正仿宋_GBK" w:cs="Times New Roman"/>
                <w:sz w:val="28"/>
                <w:szCs w:val="28"/>
                <w:u w:val="none"/>
                <w:shd w:val="clear"/>
                <w:lang w:eastAsia="zh-CN" w:bidi="ar"/>
              </w:rPr>
              <w:t>业为主</w:t>
            </w:r>
          </w:p>
        </w:tc>
        <w:tc>
          <w:tcPr>
            <w:tcW w:w="2296" w:type="dxa"/>
            <w:vAlign w:val="center"/>
          </w:tcPr>
          <w:p w14:paraId="744162A4">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bidi="ar"/>
              </w:rPr>
              <w:t>伊维特</w:t>
            </w:r>
            <w:r>
              <w:rPr>
                <w:rFonts w:hint="default" w:ascii="Times New Roman" w:hAnsi="Times New Roman" w:eastAsia="方正仿宋_GBK" w:cs="Times New Roman"/>
                <w:sz w:val="28"/>
                <w:szCs w:val="28"/>
                <w:u w:val="none"/>
                <w:lang w:eastAsia="zh-CN" w:bidi="ar"/>
              </w:rPr>
              <w:t>二期</w:t>
            </w:r>
            <w:r>
              <w:rPr>
                <w:rFonts w:hint="default" w:ascii="Times New Roman" w:hAnsi="Times New Roman" w:eastAsia="方正仿宋_GBK" w:cs="Times New Roman"/>
                <w:sz w:val="28"/>
                <w:szCs w:val="28"/>
                <w:u w:val="none"/>
                <w:lang w:bidi="ar"/>
              </w:rPr>
              <w:t>、恒昶生物</w:t>
            </w:r>
            <w:r>
              <w:rPr>
                <w:rFonts w:hint="default" w:ascii="Times New Roman" w:hAnsi="Times New Roman" w:eastAsia="方正仿宋_GBK" w:cs="Times New Roman"/>
                <w:sz w:val="28"/>
                <w:szCs w:val="28"/>
                <w:u w:val="none"/>
                <w:lang w:eastAsia="zh-CN" w:bidi="ar"/>
              </w:rPr>
              <w:t>二期、</w:t>
            </w:r>
            <w:r>
              <w:rPr>
                <w:rFonts w:hint="default" w:ascii="Times New Roman" w:hAnsi="Times New Roman" w:eastAsia="方正仿宋_GBK" w:cs="Times New Roman"/>
                <w:sz w:val="28"/>
                <w:szCs w:val="28"/>
                <w:u w:val="none"/>
                <w:lang w:bidi="ar"/>
              </w:rPr>
              <w:t>东凯生物</w:t>
            </w:r>
          </w:p>
        </w:tc>
        <w:tc>
          <w:tcPr>
            <w:tcW w:w="1230" w:type="dxa"/>
            <w:vAlign w:val="center"/>
          </w:tcPr>
          <w:p w14:paraId="7747C22D">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李皖皖</w:t>
            </w:r>
          </w:p>
        </w:tc>
        <w:tc>
          <w:tcPr>
            <w:tcW w:w="1713" w:type="dxa"/>
            <w:vMerge w:val="continue"/>
            <w:vAlign w:val="center"/>
          </w:tcPr>
          <w:p w14:paraId="3D7D8E0B">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p>
        </w:tc>
      </w:tr>
      <w:tr w14:paraId="244D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683" w:type="dxa"/>
            <w:vAlign w:val="center"/>
          </w:tcPr>
          <w:p w14:paraId="6DAC8CFD">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第三包保组</w:t>
            </w:r>
          </w:p>
        </w:tc>
        <w:tc>
          <w:tcPr>
            <w:tcW w:w="1350" w:type="dxa"/>
            <w:vAlign w:val="center"/>
          </w:tcPr>
          <w:p w14:paraId="6892FF54">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李</w:t>
            </w:r>
            <w:r>
              <w:rPr>
                <w:rFonts w:hint="default" w:ascii="Times New Roman" w:hAnsi="Times New Roman" w:eastAsia="方正仿宋_GBK" w:cs="Times New Roman"/>
                <w:sz w:val="28"/>
                <w:szCs w:val="28"/>
                <w:u w:val="none"/>
                <w:lang w:val="en-US" w:eastAsia="zh-CN" w:bidi="ar"/>
              </w:rPr>
              <w:t xml:space="preserve">  </w:t>
            </w:r>
            <w:r>
              <w:rPr>
                <w:rFonts w:hint="default" w:ascii="Times New Roman" w:hAnsi="Times New Roman" w:eastAsia="方正仿宋_GBK" w:cs="Times New Roman"/>
                <w:sz w:val="28"/>
                <w:szCs w:val="28"/>
                <w:u w:val="none"/>
                <w:lang w:bidi="ar"/>
              </w:rPr>
              <w:t>伟</w:t>
            </w:r>
            <w:r>
              <w:rPr>
                <w:rFonts w:hint="default" w:ascii="Times New Roman" w:hAnsi="Times New Roman" w:eastAsia="方正仿宋_GBK" w:cs="Times New Roman"/>
                <w:sz w:val="28"/>
                <w:szCs w:val="28"/>
                <w:u w:val="none"/>
                <w:lang w:eastAsia="zh-CN" w:bidi="ar"/>
              </w:rPr>
              <w:t>（链长）</w:t>
            </w:r>
          </w:p>
        </w:tc>
        <w:tc>
          <w:tcPr>
            <w:tcW w:w="2041" w:type="dxa"/>
            <w:vAlign w:val="center"/>
          </w:tcPr>
          <w:p w14:paraId="0DC1B08C">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招商三局，</w:t>
            </w:r>
          </w:p>
          <w:p w14:paraId="4CEE3A5E">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其他成员待定</w:t>
            </w:r>
          </w:p>
        </w:tc>
        <w:tc>
          <w:tcPr>
            <w:tcW w:w="3842" w:type="dxa"/>
            <w:vAlign w:val="center"/>
          </w:tcPr>
          <w:p w14:paraId="170F045A">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i w:val="0"/>
                <w:iCs w:val="0"/>
                <w:kern w:val="2"/>
                <w:sz w:val="28"/>
                <w:szCs w:val="28"/>
                <w:u w:val="none"/>
                <w:lang w:val="en-US" w:eastAsia="zh-CN" w:bidi="ar"/>
              </w:rPr>
              <w:t>以光伏新能源（辅材、储能设备及逆变器等）、新能源电池等新能源产业为主，兼顾高端装备制造产业</w:t>
            </w:r>
          </w:p>
        </w:tc>
        <w:tc>
          <w:tcPr>
            <w:tcW w:w="2296" w:type="dxa"/>
            <w:vAlign w:val="center"/>
          </w:tcPr>
          <w:p w14:paraId="550DADB4">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江苏鸣翔化工</w:t>
            </w:r>
            <w:r>
              <w:rPr>
                <w:rFonts w:hint="default" w:ascii="Times New Roman" w:hAnsi="Times New Roman" w:eastAsia="方正仿宋_GBK" w:cs="Times New Roman"/>
                <w:sz w:val="28"/>
                <w:szCs w:val="28"/>
                <w:u w:val="none"/>
                <w:lang w:bidi="ar"/>
              </w:rPr>
              <w:t>、</w:t>
            </w:r>
            <w:r>
              <w:rPr>
                <w:rFonts w:hint="default" w:ascii="Times New Roman" w:hAnsi="Times New Roman" w:eastAsia="方正仿宋_GBK" w:cs="Times New Roman"/>
                <w:sz w:val="28"/>
                <w:szCs w:val="28"/>
                <w:u w:val="none"/>
                <w:lang w:eastAsia="zh-CN" w:bidi="ar"/>
              </w:rPr>
              <w:t>红杉二期</w:t>
            </w:r>
            <w:r>
              <w:rPr>
                <w:rFonts w:hint="default" w:ascii="Times New Roman" w:hAnsi="Times New Roman" w:eastAsia="方正仿宋_GBK" w:cs="Times New Roman"/>
                <w:sz w:val="28"/>
                <w:szCs w:val="28"/>
                <w:u w:val="none"/>
                <w:lang w:bidi="ar"/>
              </w:rPr>
              <w:t>、达铭实业</w:t>
            </w:r>
          </w:p>
        </w:tc>
        <w:tc>
          <w:tcPr>
            <w:tcW w:w="1230" w:type="dxa"/>
            <w:vAlign w:val="center"/>
          </w:tcPr>
          <w:p w14:paraId="5EE84BD0">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仇金星</w:t>
            </w:r>
          </w:p>
        </w:tc>
        <w:tc>
          <w:tcPr>
            <w:tcW w:w="1713" w:type="dxa"/>
            <w:vMerge w:val="continue"/>
            <w:vAlign w:val="center"/>
          </w:tcPr>
          <w:p w14:paraId="10F28456">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p>
        </w:tc>
      </w:tr>
      <w:tr w14:paraId="0159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1683" w:type="dxa"/>
            <w:vAlign w:val="center"/>
          </w:tcPr>
          <w:p w14:paraId="4D2CBED4">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第四包保组</w:t>
            </w:r>
          </w:p>
        </w:tc>
        <w:tc>
          <w:tcPr>
            <w:tcW w:w="1350" w:type="dxa"/>
            <w:vAlign w:val="center"/>
          </w:tcPr>
          <w:p w14:paraId="1A47793B">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邵广真</w:t>
            </w:r>
          </w:p>
          <w:p w14:paraId="087981AD">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（链长）</w:t>
            </w:r>
          </w:p>
        </w:tc>
        <w:tc>
          <w:tcPr>
            <w:tcW w:w="2041" w:type="dxa"/>
            <w:vAlign w:val="center"/>
          </w:tcPr>
          <w:p w14:paraId="455504F1">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bidi="ar"/>
              </w:rPr>
              <w:t>招商四局</w:t>
            </w:r>
            <w:r>
              <w:rPr>
                <w:rFonts w:hint="default" w:ascii="Times New Roman" w:hAnsi="Times New Roman" w:eastAsia="方正仿宋_GBK" w:cs="Times New Roman"/>
                <w:sz w:val="28"/>
                <w:szCs w:val="28"/>
                <w:u w:val="none"/>
                <w:lang w:eastAsia="zh-CN" w:bidi="ar"/>
              </w:rPr>
              <w:t>，</w:t>
            </w:r>
          </w:p>
          <w:p w14:paraId="173F0174">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其他成员待定</w:t>
            </w:r>
          </w:p>
        </w:tc>
        <w:tc>
          <w:tcPr>
            <w:tcW w:w="3842" w:type="dxa"/>
            <w:vAlign w:val="center"/>
          </w:tcPr>
          <w:p w14:paraId="79A3C9B8">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eastAsia="zh-CN" w:bidi="ar"/>
              </w:rPr>
              <w:t>以化工新材料、</w:t>
            </w:r>
            <w:r>
              <w:rPr>
                <w:rFonts w:hint="default" w:ascii="Times New Roman" w:hAnsi="Times New Roman" w:eastAsia="方正仿宋_GBK" w:cs="Times New Roman"/>
                <w:i w:val="0"/>
                <w:iCs w:val="0"/>
                <w:kern w:val="2"/>
                <w:sz w:val="28"/>
                <w:szCs w:val="28"/>
                <w:u w:val="none"/>
                <w:lang w:val="en-US" w:eastAsia="zh-CN" w:bidi="ar"/>
              </w:rPr>
              <w:t>高性能纤维及复合材料、电子信息材料、膜材料、新型建筑材料、家居建材等</w:t>
            </w:r>
            <w:r>
              <w:rPr>
                <w:rFonts w:hint="default" w:ascii="Times New Roman" w:hAnsi="Times New Roman" w:eastAsia="方正仿宋_GBK" w:cs="Times New Roman"/>
                <w:sz w:val="28"/>
                <w:szCs w:val="28"/>
                <w:u w:val="none"/>
                <w:lang w:eastAsia="zh-CN" w:bidi="ar"/>
              </w:rPr>
              <w:t>新材料产业为主，兼顾生物医药产业</w:t>
            </w:r>
          </w:p>
        </w:tc>
        <w:tc>
          <w:tcPr>
            <w:tcW w:w="2296" w:type="dxa"/>
            <w:vAlign w:val="center"/>
          </w:tcPr>
          <w:p w14:paraId="0193F815">
            <w:pPr>
              <w:keepNext w:val="0"/>
              <w:keepLines w:val="0"/>
              <w:pageBreakBefore w:val="0"/>
              <w:kinsoku/>
              <w:wordWrap/>
              <w:bidi w:val="0"/>
              <w:spacing w:line="590" w:lineRule="exact"/>
              <w:jc w:val="left"/>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德润机械、上海银宬、</w:t>
            </w:r>
            <w:r>
              <w:rPr>
                <w:rFonts w:hint="default" w:ascii="Times New Roman" w:hAnsi="Times New Roman" w:eastAsia="方正仿宋_GBK" w:cs="Times New Roman"/>
                <w:sz w:val="28"/>
                <w:szCs w:val="28"/>
                <w:u w:val="none"/>
                <w:lang w:eastAsia="zh-CN" w:bidi="ar"/>
              </w:rPr>
              <w:t>江苏开元</w:t>
            </w:r>
          </w:p>
        </w:tc>
        <w:tc>
          <w:tcPr>
            <w:tcW w:w="1230" w:type="dxa"/>
            <w:vAlign w:val="center"/>
          </w:tcPr>
          <w:p w14:paraId="5B12C96E">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师小悦</w:t>
            </w:r>
          </w:p>
        </w:tc>
        <w:tc>
          <w:tcPr>
            <w:tcW w:w="1713" w:type="dxa"/>
            <w:vMerge w:val="continue"/>
            <w:vAlign w:val="center"/>
          </w:tcPr>
          <w:p w14:paraId="734D51DD">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p>
        </w:tc>
      </w:tr>
      <w:tr w14:paraId="0D8FD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1683" w:type="dxa"/>
            <w:vAlign w:val="center"/>
          </w:tcPr>
          <w:p w14:paraId="6D8E4449">
            <w:pPr>
              <w:keepNext w:val="0"/>
              <w:keepLines w:val="0"/>
              <w:pageBreakBefore w:val="0"/>
              <w:kinsoku/>
              <w:wordWrap/>
              <w:bidi w:val="0"/>
              <w:spacing w:line="590" w:lineRule="exact"/>
              <w:jc w:val="center"/>
              <w:rPr>
                <w:rFonts w:hint="default" w:ascii="Times New Roman" w:hAnsi="Times New Roman" w:eastAsia="方正仿宋_GBK" w:cs="Times New Roman"/>
                <w:kern w:val="2"/>
                <w:sz w:val="28"/>
                <w:szCs w:val="28"/>
                <w:u w:val="none"/>
                <w:lang w:val="en-US" w:eastAsia="zh-CN" w:bidi="ar"/>
              </w:rPr>
            </w:pPr>
            <w:r>
              <w:rPr>
                <w:rFonts w:hint="default" w:ascii="Times New Roman" w:hAnsi="Times New Roman" w:eastAsia="方正仿宋_GBK" w:cs="Times New Roman"/>
                <w:sz w:val="28"/>
                <w:szCs w:val="28"/>
                <w:u w:val="none"/>
                <w:lang w:bidi="ar"/>
              </w:rPr>
              <w:t>第五包保组</w:t>
            </w:r>
          </w:p>
        </w:tc>
        <w:tc>
          <w:tcPr>
            <w:tcW w:w="1350" w:type="dxa"/>
            <w:vAlign w:val="center"/>
          </w:tcPr>
          <w:p w14:paraId="4D949685">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李荣忠</w:t>
            </w:r>
          </w:p>
          <w:p w14:paraId="3BE957CB">
            <w:pPr>
              <w:keepNext w:val="0"/>
              <w:keepLines w:val="0"/>
              <w:pageBreakBefore w:val="0"/>
              <w:kinsoku/>
              <w:wordWrap/>
              <w:bidi w:val="0"/>
              <w:spacing w:line="590" w:lineRule="exact"/>
              <w:jc w:val="center"/>
              <w:rPr>
                <w:rFonts w:hint="default" w:ascii="Times New Roman" w:hAnsi="Times New Roman" w:eastAsia="方正仿宋_GBK" w:cs="Times New Roman"/>
                <w:kern w:val="2"/>
                <w:sz w:val="28"/>
                <w:szCs w:val="28"/>
                <w:u w:val="none"/>
                <w:lang w:val="en-US" w:eastAsia="zh-CN" w:bidi="ar"/>
              </w:rPr>
            </w:pPr>
            <w:r>
              <w:rPr>
                <w:rFonts w:hint="default" w:ascii="Times New Roman" w:hAnsi="Times New Roman" w:eastAsia="方正仿宋_GBK" w:cs="Times New Roman"/>
                <w:sz w:val="28"/>
                <w:szCs w:val="28"/>
                <w:u w:val="none"/>
                <w:lang w:eastAsia="zh-CN" w:bidi="ar"/>
              </w:rPr>
              <w:t>（链长）</w:t>
            </w:r>
          </w:p>
        </w:tc>
        <w:tc>
          <w:tcPr>
            <w:tcW w:w="2041" w:type="dxa"/>
            <w:vAlign w:val="center"/>
          </w:tcPr>
          <w:p w14:paraId="661BE749">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bidi="ar"/>
              </w:rPr>
            </w:pPr>
            <w:r>
              <w:rPr>
                <w:rFonts w:hint="default" w:ascii="Times New Roman" w:hAnsi="Times New Roman" w:eastAsia="方正仿宋_GBK" w:cs="Times New Roman"/>
                <w:sz w:val="28"/>
                <w:szCs w:val="28"/>
                <w:u w:val="none"/>
                <w:lang w:bidi="ar"/>
              </w:rPr>
              <w:t>招商五局，</w:t>
            </w:r>
          </w:p>
          <w:p w14:paraId="089DC311">
            <w:pPr>
              <w:keepNext w:val="0"/>
              <w:keepLines w:val="0"/>
              <w:pageBreakBefore w:val="0"/>
              <w:kinsoku/>
              <w:wordWrap/>
              <w:bidi w:val="0"/>
              <w:spacing w:line="590" w:lineRule="exact"/>
              <w:jc w:val="center"/>
              <w:rPr>
                <w:rFonts w:hint="default" w:ascii="Times New Roman" w:hAnsi="Times New Roman" w:eastAsia="方正仿宋_GBK" w:cs="Times New Roman"/>
                <w:kern w:val="2"/>
                <w:sz w:val="28"/>
                <w:szCs w:val="28"/>
                <w:u w:val="none"/>
                <w:lang w:val="en-US" w:eastAsia="zh-CN" w:bidi="ar"/>
              </w:rPr>
            </w:pPr>
            <w:r>
              <w:rPr>
                <w:rFonts w:hint="default" w:ascii="Times New Roman" w:hAnsi="Times New Roman" w:eastAsia="方正仿宋_GBK" w:cs="Times New Roman"/>
                <w:sz w:val="28"/>
                <w:szCs w:val="28"/>
                <w:u w:val="none"/>
                <w:lang w:eastAsia="zh-CN" w:bidi="ar"/>
              </w:rPr>
              <w:t>其他成员待定</w:t>
            </w:r>
          </w:p>
        </w:tc>
        <w:tc>
          <w:tcPr>
            <w:tcW w:w="3842" w:type="dxa"/>
            <w:vAlign w:val="center"/>
          </w:tcPr>
          <w:p w14:paraId="23092F74">
            <w:pPr>
              <w:keepNext w:val="0"/>
              <w:keepLines w:val="0"/>
              <w:pageBreakBefore w:val="0"/>
              <w:kinsoku/>
              <w:wordWrap/>
              <w:bidi w:val="0"/>
              <w:spacing w:line="590" w:lineRule="exact"/>
              <w:jc w:val="left"/>
              <w:rPr>
                <w:rFonts w:hint="default" w:ascii="Times New Roman" w:hAnsi="Times New Roman" w:eastAsia="方正仿宋_GBK" w:cs="Times New Roman"/>
                <w:kern w:val="2"/>
                <w:sz w:val="28"/>
                <w:szCs w:val="28"/>
                <w:u w:val="none"/>
                <w:lang w:val="en-US" w:eastAsia="zh-CN" w:bidi="ar"/>
              </w:rPr>
            </w:pPr>
            <w:r>
              <w:rPr>
                <w:rFonts w:hint="default" w:ascii="Times New Roman" w:hAnsi="Times New Roman" w:eastAsia="方正仿宋_GBK" w:cs="Times New Roman"/>
                <w:sz w:val="28"/>
                <w:szCs w:val="28"/>
                <w:u w:val="none"/>
                <w:shd w:val="clear"/>
                <w:lang w:eastAsia="zh-CN" w:bidi="ar"/>
              </w:rPr>
              <w:t>上述主导产业及其他战略性新兴产业</w:t>
            </w:r>
          </w:p>
        </w:tc>
        <w:tc>
          <w:tcPr>
            <w:tcW w:w="2296" w:type="dxa"/>
            <w:vAlign w:val="center"/>
          </w:tcPr>
          <w:p w14:paraId="2CD40EF3">
            <w:pPr>
              <w:keepNext w:val="0"/>
              <w:keepLines w:val="0"/>
              <w:pageBreakBefore w:val="0"/>
              <w:kinsoku/>
              <w:wordWrap/>
              <w:bidi w:val="0"/>
              <w:spacing w:line="590" w:lineRule="exact"/>
              <w:jc w:val="center"/>
              <w:rPr>
                <w:rFonts w:hint="default" w:ascii="Times New Roman" w:hAnsi="Times New Roman" w:eastAsia="方正仿宋_GBK" w:cs="Times New Roman"/>
                <w:kern w:val="2"/>
                <w:sz w:val="28"/>
                <w:szCs w:val="28"/>
                <w:u w:val="none"/>
                <w:lang w:val="en-US" w:eastAsia="zh-CN" w:bidi="ar"/>
              </w:rPr>
            </w:pPr>
            <w:r>
              <w:rPr>
                <w:rFonts w:hint="default" w:ascii="Times New Roman" w:hAnsi="Times New Roman" w:eastAsia="方正仿宋_GBK" w:cs="Times New Roman"/>
                <w:sz w:val="28"/>
                <w:szCs w:val="28"/>
                <w:u w:val="none"/>
                <w:lang w:bidi="ar"/>
              </w:rPr>
              <w:t>江苏丰尚、天鸿科技、纳捷</w:t>
            </w:r>
            <w:r>
              <w:rPr>
                <w:rFonts w:hint="default" w:ascii="Times New Roman" w:hAnsi="Times New Roman" w:eastAsia="方正仿宋_GBK" w:cs="Times New Roman"/>
                <w:sz w:val="28"/>
                <w:szCs w:val="28"/>
                <w:u w:val="none"/>
                <w:lang w:eastAsia="zh-CN" w:bidi="ar"/>
              </w:rPr>
              <w:t>新材料</w:t>
            </w:r>
          </w:p>
        </w:tc>
        <w:tc>
          <w:tcPr>
            <w:tcW w:w="1230" w:type="dxa"/>
            <w:vAlign w:val="center"/>
          </w:tcPr>
          <w:p w14:paraId="1EC78D40">
            <w:pPr>
              <w:keepNext w:val="0"/>
              <w:keepLines w:val="0"/>
              <w:pageBreakBefore w:val="0"/>
              <w:kinsoku/>
              <w:wordWrap/>
              <w:bidi w:val="0"/>
              <w:spacing w:line="590" w:lineRule="exact"/>
              <w:jc w:val="center"/>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eastAsia="zh-CN" w:bidi="ar"/>
              </w:rPr>
              <w:t>伯德祺</w:t>
            </w:r>
          </w:p>
        </w:tc>
        <w:tc>
          <w:tcPr>
            <w:tcW w:w="1713" w:type="dxa"/>
            <w:vMerge w:val="continue"/>
            <w:vAlign w:val="center"/>
          </w:tcPr>
          <w:p w14:paraId="06D70EE9">
            <w:pPr>
              <w:keepNext w:val="0"/>
              <w:keepLines w:val="0"/>
              <w:pageBreakBefore w:val="0"/>
              <w:kinsoku/>
              <w:wordWrap/>
              <w:bidi w:val="0"/>
              <w:spacing w:line="590" w:lineRule="exact"/>
              <w:jc w:val="center"/>
              <w:rPr>
                <w:rFonts w:hint="default" w:ascii="Times New Roman" w:hAnsi="Times New Roman" w:eastAsia="方正仿宋_GBK" w:cs="Times New Roman"/>
                <w:kern w:val="2"/>
                <w:sz w:val="28"/>
                <w:szCs w:val="28"/>
                <w:u w:val="none"/>
                <w:lang w:val="en-US" w:eastAsia="zh-CN" w:bidi="ar"/>
              </w:rPr>
            </w:pPr>
          </w:p>
        </w:tc>
      </w:tr>
    </w:tbl>
    <w:p w14:paraId="5A0ADE44">
      <w:pPr>
        <w:keepNext w:val="0"/>
        <w:keepLines w:val="0"/>
        <w:pageBreakBefore w:val="0"/>
        <w:kinsoku/>
        <w:wordWrap/>
        <w:bidi w:val="0"/>
        <w:spacing w:line="590" w:lineRule="exact"/>
        <w:jc w:val="both"/>
        <w:rPr>
          <w:rFonts w:hint="default" w:ascii="Times New Roman" w:hAnsi="Times New Roman" w:eastAsia="方正黑体_GBK" w:cs="Times New Roman"/>
          <w:sz w:val="30"/>
          <w:szCs w:val="30"/>
          <w:lang w:val="en-US" w:eastAsia="zh-CN"/>
        </w:rPr>
      </w:pPr>
    </w:p>
    <w:p w14:paraId="27B060C0">
      <w:pPr>
        <w:keepNext w:val="0"/>
        <w:keepLines w:val="0"/>
        <w:pageBreakBefore w:val="0"/>
        <w:kinsoku/>
        <w:wordWrap/>
        <w:bidi w:val="0"/>
        <w:spacing w:line="590" w:lineRule="exact"/>
        <w:ind w:left="560" w:hanging="560" w:hangingChars="200"/>
        <w:jc w:val="left"/>
        <w:rPr>
          <w:rFonts w:hint="default" w:ascii="Times New Roman" w:hAnsi="Times New Roman" w:eastAsia="方正仿宋_GBK" w:cs="Times New Roman"/>
          <w:sz w:val="28"/>
          <w:szCs w:val="28"/>
          <w:u w:val="none"/>
          <w:lang w:eastAsia="zh-CN" w:bidi="ar"/>
        </w:rPr>
      </w:pPr>
      <w:r>
        <w:rPr>
          <w:rFonts w:hint="default" w:ascii="Times New Roman" w:hAnsi="Times New Roman" w:eastAsia="方正仿宋_GBK" w:cs="Times New Roman"/>
          <w:sz w:val="28"/>
          <w:szCs w:val="28"/>
          <w:u w:val="none"/>
          <w:lang w:bidi="ar"/>
        </w:rPr>
        <w:t>注：</w:t>
      </w:r>
      <w:r>
        <w:rPr>
          <w:rFonts w:hint="default" w:ascii="Times New Roman" w:hAnsi="Times New Roman" w:eastAsia="方正仿宋_GBK" w:cs="Times New Roman"/>
          <w:sz w:val="28"/>
          <w:szCs w:val="28"/>
          <w:u w:val="none"/>
          <w:lang w:val="en-US" w:eastAsia="zh-CN" w:bidi="ar"/>
        </w:rPr>
        <w:t>1.以上项目为本阶段所推进的重点项目，各包保组应按合同约定建设期限抓紧推进，后续将根据各包保组项目招引情况进行动态更新</w:t>
      </w:r>
      <w:r>
        <w:rPr>
          <w:rFonts w:hint="default" w:ascii="Times New Roman" w:hAnsi="Times New Roman" w:eastAsia="方正仿宋_GBK" w:cs="Times New Roman"/>
          <w:sz w:val="28"/>
          <w:szCs w:val="28"/>
          <w:u w:val="none"/>
          <w:lang w:eastAsia="zh-CN" w:bidi="ar"/>
        </w:rPr>
        <w:t>。</w:t>
      </w:r>
    </w:p>
    <w:p w14:paraId="6A8D8AFA">
      <w:pPr>
        <w:keepNext w:val="0"/>
        <w:keepLines w:val="0"/>
        <w:pageBreakBefore w:val="0"/>
        <w:kinsoku/>
        <w:wordWrap/>
        <w:bidi w:val="0"/>
        <w:spacing w:line="590" w:lineRule="exact"/>
        <w:ind w:left="559" w:leftChars="266" w:firstLine="0" w:firstLineChars="0"/>
        <w:jc w:val="left"/>
        <w:rPr>
          <w:rFonts w:hint="default" w:ascii="Times New Roman" w:hAnsi="Times New Roman" w:eastAsia="方正仿宋_GBK" w:cs="Times New Roman"/>
          <w:sz w:val="28"/>
          <w:szCs w:val="28"/>
          <w:u w:val="none"/>
          <w:lang w:val="en-US" w:eastAsia="zh-CN" w:bidi="ar"/>
        </w:rPr>
      </w:pPr>
      <w:r>
        <w:rPr>
          <w:rFonts w:hint="default" w:ascii="Times New Roman" w:hAnsi="Times New Roman" w:eastAsia="方正仿宋_GBK" w:cs="Times New Roman"/>
          <w:sz w:val="28"/>
          <w:szCs w:val="28"/>
          <w:u w:val="none"/>
          <w:lang w:val="en-US" w:eastAsia="zh-CN" w:bidi="ar"/>
        </w:rPr>
        <w:t>2.各包保组成员中</w:t>
      </w:r>
      <w:r>
        <w:rPr>
          <w:rFonts w:hint="default" w:ascii="Times New Roman" w:hAnsi="Times New Roman" w:eastAsia="方正仿宋_GBK" w:cs="Times New Roman"/>
          <w:sz w:val="28"/>
          <w:szCs w:val="28"/>
          <w:u w:val="none"/>
          <w:lang w:eastAsia="zh-CN" w:bidi="ar"/>
        </w:rPr>
        <w:t>其他成员从营商环境局、经济发展局、建设局、财政局、社会事业局、应急管理局、人力资源中心、自然资源和规划中心、新区建投、环保分局各抽调一人。</w:t>
      </w:r>
    </w:p>
    <w:p w14:paraId="44D77941">
      <w:pPr>
        <w:keepNext w:val="0"/>
        <w:keepLines w:val="0"/>
        <w:pageBreakBefore w:val="0"/>
        <w:kinsoku/>
        <w:wordWrap/>
        <w:bidi w:val="0"/>
        <w:spacing w:line="590" w:lineRule="exact"/>
        <w:ind w:firstLine="560" w:firstLineChars="200"/>
        <w:jc w:val="left"/>
        <w:rPr>
          <w:rFonts w:hint="default" w:ascii="Times New Roman" w:hAnsi="Times New Roman" w:eastAsia="方正仿宋_GBK" w:cs="Times New Roman"/>
          <w:sz w:val="28"/>
          <w:szCs w:val="28"/>
          <w:u w:val="none"/>
          <w:lang w:val="en-US" w:eastAsia="zh-CN" w:bidi="ar"/>
        </w:rPr>
        <w:sectPr>
          <w:pgSz w:w="16838" w:h="11906" w:orient="landscape"/>
          <w:pgMar w:top="1800" w:right="1440" w:bottom="1800" w:left="1440" w:header="851" w:footer="992" w:gutter="0"/>
          <w:pgNumType w:fmt="numberInDash"/>
          <w:cols w:space="425" w:num="1"/>
          <w:docGrid w:type="lines" w:linePitch="312" w:charSpace="0"/>
        </w:sectPr>
      </w:pPr>
      <w:r>
        <w:rPr>
          <w:rFonts w:hint="default" w:ascii="Times New Roman" w:hAnsi="Times New Roman" w:eastAsia="方正仿宋_GBK" w:cs="Times New Roman"/>
          <w:sz w:val="28"/>
          <w:szCs w:val="28"/>
          <w:u w:val="none"/>
          <w:lang w:val="en-US" w:eastAsia="zh-CN" w:bidi="ar"/>
        </w:rPr>
        <w:t>3.自2021年第三季度开始考核。</w:t>
      </w:r>
    </w:p>
    <w:p w14:paraId="4324DF9F">
      <w:pPr>
        <w:keepNext w:val="0"/>
        <w:keepLines w:val="0"/>
        <w:pageBreakBefore w:val="0"/>
        <w:kinsoku/>
        <w:wordWrap/>
        <w:bidi w:val="0"/>
        <w:spacing w:line="590" w:lineRule="exact"/>
        <w:rPr>
          <w:rFonts w:hint="default" w:ascii="Times New Roman" w:hAnsi="Times New Roman" w:eastAsia="方正仿宋_GBK" w:cs="Times New Roman"/>
          <w:sz w:val="32"/>
          <w:szCs w:val="32"/>
        </w:rPr>
      </w:pPr>
    </w:p>
    <w:tbl>
      <w:tblPr>
        <w:tblStyle w:val="8"/>
        <w:tblW w:w="8607" w:type="dxa"/>
        <w:tblInd w:w="93" w:type="dxa"/>
        <w:tblLayout w:type="fixed"/>
        <w:tblCellMar>
          <w:top w:w="0" w:type="dxa"/>
          <w:left w:w="108" w:type="dxa"/>
          <w:bottom w:w="0" w:type="dxa"/>
          <w:right w:w="108" w:type="dxa"/>
        </w:tblCellMar>
      </w:tblPr>
      <w:tblGrid>
        <w:gridCol w:w="1890"/>
        <w:gridCol w:w="1455"/>
        <w:gridCol w:w="1579"/>
        <w:gridCol w:w="2216"/>
        <w:gridCol w:w="1467"/>
      </w:tblGrid>
      <w:tr w14:paraId="1630CD6D">
        <w:tblPrEx>
          <w:tblCellMar>
            <w:top w:w="0" w:type="dxa"/>
            <w:left w:w="108" w:type="dxa"/>
            <w:bottom w:w="0" w:type="dxa"/>
            <w:right w:w="108" w:type="dxa"/>
          </w:tblCellMar>
        </w:tblPrEx>
        <w:trPr>
          <w:trHeight w:val="600" w:hRule="atLeast"/>
        </w:trPr>
        <w:tc>
          <w:tcPr>
            <w:tcW w:w="8607" w:type="dxa"/>
            <w:gridSpan w:val="5"/>
            <w:tcBorders>
              <w:top w:val="nil"/>
              <w:left w:val="nil"/>
              <w:bottom w:val="single" w:color="auto" w:sz="4" w:space="0"/>
              <w:right w:val="nil"/>
            </w:tcBorders>
            <w:shd w:val="clear" w:color="auto" w:fill="auto"/>
            <w:vAlign w:val="center"/>
          </w:tcPr>
          <w:p w14:paraId="1118C4DA">
            <w:pPr>
              <w:keepNext w:val="0"/>
              <w:keepLines w:val="0"/>
              <w:pageBreakBefore w:val="0"/>
              <w:widowControl/>
              <w:kinsoku/>
              <w:wordWrap/>
              <w:bidi w:val="0"/>
              <w:spacing w:line="590" w:lineRule="exact"/>
              <w:jc w:val="center"/>
              <w:textAlignment w:val="center"/>
              <w:rPr>
                <w:rFonts w:hint="default" w:ascii="Times New Roman" w:hAnsi="Times New Roman" w:eastAsia="宋体" w:cs="Times New Roman"/>
                <w:b/>
                <w:bCs/>
                <w:color w:val="000000"/>
                <w:sz w:val="24"/>
                <w:szCs w:val="24"/>
                <w:lang w:val="en-US" w:eastAsia="zh-CN"/>
              </w:rPr>
            </w:pPr>
            <w:r>
              <w:rPr>
                <w:rFonts w:hint="default" w:ascii="Times New Roman" w:hAnsi="Times New Roman" w:eastAsia="方正小标宋_GBK" w:cs="Times New Roman"/>
                <w:b w:val="0"/>
                <w:bCs w:val="0"/>
                <w:color w:val="000000"/>
                <w:kern w:val="0"/>
                <w:sz w:val="40"/>
                <w:szCs w:val="40"/>
              </w:rPr>
              <w:t>宿州经开区招商引资包保奖励申请表</w:t>
            </w:r>
          </w:p>
        </w:tc>
      </w:tr>
      <w:tr w14:paraId="2A875F25">
        <w:tblPrEx>
          <w:tblCellMar>
            <w:top w:w="0" w:type="dxa"/>
            <w:left w:w="108" w:type="dxa"/>
            <w:bottom w:w="0" w:type="dxa"/>
            <w:right w:w="108" w:type="dxa"/>
          </w:tblCellMar>
        </w:tblPrEx>
        <w:trPr>
          <w:trHeight w:val="600" w:hRule="atLeast"/>
        </w:trPr>
        <w:tc>
          <w:tcPr>
            <w:tcW w:w="49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3A45C8">
            <w:pPr>
              <w:keepNext w:val="0"/>
              <w:keepLines w:val="0"/>
              <w:pageBreakBefore w:val="0"/>
              <w:widowControl/>
              <w:kinsoku/>
              <w:wordWrap/>
              <w:bidi w:val="0"/>
              <w:spacing w:line="590" w:lineRule="exact"/>
              <w:jc w:val="both"/>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申请小组：</w:t>
            </w:r>
          </w:p>
        </w:tc>
        <w:tc>
          <w:tcPr>
            <w:tcW w:w="36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6F5729">
            <w:pPr>
              <w:keepNext w:val="0"/>
              <w:keepLines w:val="0"/>
              <w:pageBreakBefore w:val="0"/>
              <w:widowControl/>
              <w:kinsoku/>
              <w:wordWrap/>
              <w:bidi w:val="0"/>
              <w:spacing w:line="590" w:lineRule="exact"/>
              <w:jc w:val="both"/>
              <w:textAlignment w:val="center"/>
              <w:rPr>
                <w:rFonts w:hint="default" w:ascii="Times New Roman" w:hAnsi="Times New Roman" w:eastAsia="方正仿宋_GBK" w:cs="Times New Roman"/>
                <w:b w:val="0"/>
                <w:bCs w:val="0"/>
                <w:color w:val="000000"/>
                <w:kern w:val="0"/>
                <w:sz w:val="24"/>
                <w:szCs w:val="24"/>
                <w:u w:val="none"/>
                <w:lang w:eastAsia="zh-CN" w:bidi="ar"/>
              </w:rPr>
            </w:pPr>
            <w:r>
              <w:rPr>
                <w:rFonts w:hint="default" w:ascii="Times New Roman" w:hAnsi="Times New Roman" w:eastAsia="方正仿宋_GBK" w:cs="Times New Roman"/>
                <w:b w:val="0"/>
                <w:bCs w:val="0"/>
                <w:color w:val="000000"/>
                <w:kern w:val="0"/>
                <w:sz w:val="24"/>
                <w:szCs w:val="24"/>
                <w:u w:val="none"/>
                <w:lang w:eastAsia="zh-CN" w:bidi="ar"/>
              </w:rPr>
              <w:t>申请日期：</w:t>
            </w:r>
          </w:p>
        </w:tc>
      </w:tr>
      <w:tr w14:paraId="1F077917">
        <w:tblPrEx>
          <w:tblCellMar>
            <w:top w:w="0" w:type="dxa"/>
            <w:left w:w="108" w:type="dxa"/>
            <w:bottom w:w="0" w:type="dxa"/>
            <w:right w:w="108" w:type="dxa"/>
          </w:tblCellMar>
        </w:tblPrEx>
        <w:trPr>
          <w:trHeight w:val="660" w:hRule="atLeast"/>
        </w:trPr>
        <w:tc>
          <w:tcPr>
            <w:tcW w:w="189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A495F06">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项目基本情况</w:t>
            </w:r>
          </w:p>
        </w:tc>
        <w:tc>
          <w:tcPr>
            <w:tcW w:w="1455" w:type="dxa"/>
            <w:tcBorders>
              <w:top w:val="single" w:color="auto" w:sz="4" w:space="0"/>
              <w:left w:val="single" w:color="000000" w:sz="4" w:space="0"/>
              <w:bottom w:val="single" w:color="auto" w:sz="4" w:space="0"/>
              <w:right w:val="single" w:color="000000" w:sz="4" w:space="0"/>
            </w:tcBorders>
            <w:shd w:val="clear" w:color="auto" w:fill="auto"/>
            <w:vAlign w:val="center"/>
          </w:tcPr>
          <w:p w14:paraId="1E6DE7FD">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项目名称</w:t>
            </w:r>
          </w:p>
        </w:tc>
        <w:tc>
          <w:tcPr>
            <w:tcW w:w="5262"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53571BC2">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r>
      <w:tr w14:paraId="16FBF130">
        <w:tblPrEx>
          <w:tblCellMar>
            <w:top w:w="0" w:type="dxa"/>
            <w:left w:w="108" w:type="dxa"/>
            <w:bottom w:w="0" w:type="dxa"/>
            <w:right w:w="108" w:type="dxa"/>
          </w:tblCellMar>
        </w:tblPrEx>
        <w:trPr>
          <w:trHeight w:val="898" w:hRule="atLeast"/>
        </w:trPr>
        <w:tc>
          <w:tcPr>
            <w:tcW w:w="189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93B0D1">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c>
          <w:tcPr>
            <w:tcW w:w="145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FD046EC">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投资单位（个人）</w:t>
            </w:r>
          </w:p>
        </w:tc>
        <w:tc>
          <w:tcPr>
            <w:tcW w:w="157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100D4BA">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c>
          <w:tcPr>
            <w:tcW w:w="2216" w:type="dxa"/>
            <w:tcBorders>
              <w:top w:val="single" w:color="auto" w:sz="4" w:space="0"/>
              <w:left w:val="single" w:color="000000" w:sz="4" w:space="0"/>
              <w:bottom w:val="single" w:color="auto" w:sz="4" w:space="0"/>
              <w:right w:val="single" w:color="000000" w:sz="4" w:space="0"/>
            </w:tcBorders>
            <w:shd w:val="clear" w:color="auto" w:fill="auto"/>
            <w:vAlign w:val="center"/>
          </w:tcPr>
          <w:p w14:paraId="7ABB65A3">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eastAsia="zh-CN" w:bidi="ar"/>
              </w:rPr>
              <w:t>固定资产投资额</w:t>
            </w:r>
            <w:r>
              <w:rPr>
                <w:rFonts w:hint="default" w:ascii="Times New Roman" w:hAnsi="Times New Roman" w:eastAsia="方正仿宋_GBK" w:cs="Times New Roman"/>
                <w:b w:val="0"/>
                <w:bCs w:val="0"/>
                <w:color w:val="000000"/>
                <w:kern w:val="0"/>
                <w:sz w:val="24"/>
                <w:szCs w:val="24"/>
                <w:u w:val="none"/>
                <w:lang w:bidi="ar"/>
              </w:rPr>
              <w:t>（万元）</w:t>
            </w:r>
          </w:p>
        </w:tc>
        <w:tc>
          <w:tcPr>
            <w:tcW w:w="1467" w:type="dxa"/>
            <w:tcBorders>
              <w:top w:val="single" w:color="auto" w:sz="4" w:space="0"/>
              <w:left w:val="single" w:color="000000" w:sz="4" w:space="0"/>
              <w:bottom w:val="single" w:color="auto" w:sz="4" w:space="0"/>
              <w:right w:val="single" w:color="000000" w:sz="4" w:space="0"/>
            </w:tcBorders>
            <w:shd w:val="clear" w:color="auto" w:fill="auto"/>
            <w:vAlign w:val="center"/>
          </w:tcPr>
          <w:p w14:paraId="03506C23">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r>
      <w:tr w14:paraId="1474CE39">
        <w:tblPrEx>
          <w:tblCellMar>
            <w:top w:w="0" w:type="dxa"/>
            <w:left w:w="108" w:type="dxa"/>
            <w:bottom w:w="0" w:type="dxa"/>
            <w:right w:w="108" w:type="dxa"/>
          </w:tblCellMar>
        </w:tblPrEx>
        <w:trPr>
          <w:trHeight w:val="900" w:hRule="atLeast"/>
        </w:trPr>
        <w:tc>
          <w:tcPr>
            <w:tcW w:w="189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B03F365">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c>
          <w:tcPr>
            <w:tcW w:w="145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A2C4E67">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c>
          <w:tcPr>
            <w:tcW w:w="1579"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DEEC079">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c>
          <w:tcPr>
            <w:tcW w:w="2216" w:type="dxa"/>
            <w:tcBorders>
              <w:top w:val="single" w:color="auto" w:sz="4" w:space="0"/>
              <w:left w:val="single" w:color="000000" w:sz="4" w:space="0"/>
              <w:bottom w:val="single" w:color="000000" w:sz="4" w:space="0"/>
              <w:right w:val="single" w:color="000000" w:sz="4" w:space="0"/>
            </w:tcBorders>
            <w:shd w:val="clear" w:color="auto" w:fill="auto"/>
            <w:vAlign w:val="center"/>
          </w:tcPr>
          <w:p w14:paraId="2371F2CE">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val="en-US" w:eastAsia="zh-CN" w:bidi="ar"/>
              </w:rPr>
            </w:pPr>
            <w:r>
              <w:rPr>
                <w:rFonts w:hint="default" w:ascii="Times New Roman" w:hAnsi="Times New Roman" w:eastAsia="方正仿宋_GBK" w:cs="Times New Roman"/>
                <w:b w:val="0"/>
                <w:bCs w:val="0"/>
                <w:color w:val="000000"/>
                <w:kern w:val="0"/>
                <w:sz w:val="24"/>
                <w:szCs w:val="24"/>
                <w:u w:val="none"/>
                <w:lang w:eastAsia="zh-CN" w:bidi="ar"/>
              </w:rPr>
              <w:t>本季度已到位固定资产投资额</w:t>
            </w:r>
            <w:r>
              <w:rPr>
                <w:rFonts w:hint="default" w:ascii="Times New Roman" w:hAnsi="Times New Roman" w:eastAsia="方正仿宋_GBK" w:cs="Times New Roman"/>
                <w:b w:val="0"/>
                <w:bCs w:val="0"/>
                <w:color w:val="000000"/>
                <w:kern w:val="0"/>
                <w:sz w:val="24"/>
                <w:szCs w:val="24"/>
                <w:u w:val="none"/>
                <w:lang w:bidi="ar"/>
              </w:rPr>
              <w:t>（万元）</w:t>
            </w:r>
          </w:p>
        </w:tc>
        <w:tc>
          <w:tcPr>
            <w:tcW w:w="1467" w:type="dxa"/>
            <w:tcBorders>
              <w:top w:val="single" w:color="auto" w:sz="4" w:space="0"/>
              <w:left w:val="nil"/>
              <w:bottom w:val="single" w:color="000000" w:sz="4" w:space="0"/>
              <w:right w:val="single" w:color="000000" w:sz="4" w:space="0"/>
            </w:tcBorders>
            <w:shd w:val="clear" w:color="auto" w:fill="auto"/>
            <w:vAlign w:val="center"/>
          </w:tcPr>
          <w:p w14:paraId="5019A211">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r>
      <w:tr w14:paraId="1B4B67D6">
        <w:tblPrEx>
          <w:tblCellMar>
            <w:top w:w="0" w:type="dxa"/>
            <w:left w:w="108" w:type="dxa"/>
            <w:bottom w:w="0" w:type="dxa"/>
            <w:right w:w="108" w:type="dxa"/>
          </w:tblCellMar>
        </w:tblPrEx>
        <w:trPr>
          <w:trHeight w:val="1020"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38744">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5598">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项目内容</w:t>
            </w:r>
          </w:p>
        </w:tc>
        <w:tc>
          <w:tcPr>
            <w:tcW w:w="52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41ABC">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r>
      <w:tr w14:paraId="5B30A4D0">
        <w:tblPrEx>
          <w:tblCellMar>
            <w:top w:w="0" w:type="dxa"/>
            <w:left w:w="108" w:type="dxa"/>
            <w:bottom w:w="0" w:type="dxa"/>
            <w:right w:w="108" w:type="dxa"/>
          </w:tblCellMar>
        </w:tblPrEx>
        <w:trPr>
          <w:trHeight w:val="680"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79749">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3BBA">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联系人</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3F95">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tc>
        <w:tc>
          <w:tcPr>
            <w:tcW w:w="2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7B23">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电话</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E122">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r>
      <w:tr w14:paraId="624BA9DA">
        <w:tblPrEx>
          <w:tblCellMar>
            <w:top w:w="0" w:type="dxa"/>
            <w:left w:w="108" w:type="dxa"/>
            <w:bottom w:w="0" w:type="dxa"/>
            <w:right w:w="108" w:type="dxa"/>
          </w:tblCellMar>
        </w:tblPrEx>
        <w:trPr>
          <w:trHeight w:val="104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0975">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申报奖励金额</w:t>
            </w:r>
          </w:p>
          <w:p w14:paraId="1D37C6E6">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（万元）</w:t>
            </w:r>
          </w:p>
        </w:tc>
        <w:tc>
          <w:tcPr>
            <w:tcW w:w="6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7878A4">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color w:val="000000"/>
                <w:kern w:val="0"/>
                <w:sz w:val="24"/>
                <w:szCs w:val="24"/>
                <w:u w:val="none"/>
                <w:lang w:bidi="ar"/>
              </w:rPr>
            </w:pPr>
          </w:p>
        </w:tc>
      </w:tr>
      <w:tr w14:paraId="121A4BE5">
        <w:tblPrEx>
          <w:tblCellMar>
            <w:top w:w="0" w:type="dxa"/>
            <w:left w:w="108" w:type="dxa"/>
            <w:bottom w:w="0" w:type="dxa"/>
            <w:right w:w="108" w:type="dxa"/>
          </w:tblCellMar>
        </w:tblPrEx>
        <w:trPr>
          <w:trHeight w:val="1695" w:hRule="atLeast"/>
        </w:trPr>
        <w:tc>
          <w:tcPr>
            <w:tcW w:w="1890" w:type="dxa"/>
            <w:tcBorders>
              <w:top w:val="single" w:color="000000" w:sz="4" w:space="0"/>
              <w:left w:val="single" w:color="000000" w:sz="4" w:space="0"/>
              <w:bottom w:val="nil"/>
              <w:right w:val="single" w:color="000000" w:sz="4" w:space="0"/>
            </w:tcBorders>
            <w:shd w:val="clear" w:color="auto" w:fill="auto"/>
            <w:vAlign w:val="center"/>
          </w:tcPr>
          <w:p w14:paraId="75153B3B">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包保组组长</w:t>
            </w:r>
          </w:p>
          <w:p w14:paraId="3994884D">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意见</w:t>
            </w:r>
          </w:p>
        </w:tc>
        <w:tc>
          <w:tcPr>
            <w:tcW w:w="6717" w:type="dxa"/>
            <w:gridSpan w:val="4"/>
            <w:tcBorders>
              <w:top w:val="single" w:color="000000" w:sz="4" w:space="0"/>
              <w:left w:val="single" w:color="000000" w:sz="4" w:space="0"/>
              <w:bottom w:val="nil"/>
              <w:right w:val="single" w:color="000000" w:sz="4" w:space="0"/>
            </w:tcBorders>
            <w:shd w:val="clear" w:color="auto" w:fill="auto"/>
            <w:vAlign w:val="center"/>
          </w:tcPr>
          <w:p w14:paraId="62255C9C">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 xml:space="preserve">                             </w:t>
            </w:r>
          </w:p>
          <w:p w14:paraId="2BAB6AF1">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p w14:paraId="402AADF5">
            <w:pPr>
              <w:keepNext w:val="0"/>
              <w:keepLines w:val="0"/>
              <w:pageBreakBefore w:val="0"/>
              <w:widowControl/>
              <w:kinsoku/>
              <w:wordWrap/>
              <w:bidi w:val="0"/>
              <w:spacing w:line="590" w:lineRule="exact"/>
              <w:ind w:firstLine="0" w:firstLineChars="0"/>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val="en-US" w:eastAsia="zh-CN" w:bidi="ar"/>
              </w:rPr>
              <w:t xml:space="preserve">          </w:t>
            </w:r>
            <w:r>
              <w:rPr>
                <w:rFonts w:hint="default" w:ascii="Times New Roman" w:hAnsi="Times New Roman" w:eastAsia="方正仿宋_GBK" w:cs="Times New Roman"/>
                <w:b w:val="0"/>
                <w:bCs w:val="0"/>
                <w:color w:val="000000"/>
                <w:kern w:val="0"/>
                <w:sz w:val="24"/>
                <w:szCs w:val="24"/>
                <w:u w:val="none"/>
                <w:lang w:bidi="ar"/>
              </w:rPr>
              <w:t>签字：</w:t>
            </w:r>
          </w:p>
        </w:tc>
      </w:tr>
      <w:tr w14:paraId="1461681A">
        <w:tblPrEx>
          <w:tblCellMar>
            <w:top w:w="0" w:type="dxa"/>
            <w:left w:w="108" w:type="dxa"/>
            <w:bottom w:w="0" w:type="dxa"/>
            <w:right w:w="108" w:type="dxa"/>
          </w:tblCellMar>
        </w:tblPrEx>
        <w:trPr>
          <w:trHeight w:val="2005"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584D">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包保</w:t>
            </w:r>
            <w:r>
              <w:rPr>
                <w:rFonts w:hint="default" w:ascii="Times New Roman" w:hAnsi="Times New Roman" w:eastAsia="方正仿宋_GBK" w:cs="Times New Roman"/>
                <w:b w:val="0"/>
                <w:bCs w:val="0"/>
                <w:color w:val="000000"/>
                <w:kern w:val="0"/>
                <w:sz w:val="24"/>
                <w:szCs w:val="24"/>
                <w:u w:val="none"/>
                <w:lang w:eastAsia="zh-CN" w:bidi="ar"/>
              </w:rPr>
              <w:t>考核</w:t>
            </w:r>
            <w:r>
              <w:rPr>
                <w:rFonts w:hint="default" w:ascii="Times New Roman" w:hAnsi="Times New Roman" w:eastAsia="方正仿宋_GBK" w:cs="Times New Roman"/>
                <w:b w:val="0"/>
                <w:bCs w:val="0"/>
                <w:color w:val="000000"/>
                <w:kern w:val="0"/>
                <w:sz w:val="24"/>
                <w:szCs w:val="24"/>
                <w:u w:val="none"/>
                <w:lang w:bidi="ar"/>
              </w:rPr>
              <w:t>组</w:t>
            </w:r>
          </w:p>
          <w:p w14:paraId="700B7210">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初审意见</w:t>
            </w:r>
          </w:p>
        </w:tc>
        <w:tc>
          <w:tcPr>
            <w:tcW w:w="6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3C35C">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p w14:paraId="09E6B615">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p>
          <w:p w14:paraId="2B3CC7C9">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 xml:space="preserve">         </w:t>
            </w:r>
            <w:r>
              <w:rPr>
                <w:rFonts w:hint="default" w:ascii="Times New Roman" w:hAnsi="Times New Roman" w:eastAsia="方正仿宋_GBK" w:cs="Times New Roman"/>
                <w:b w:val="0"/>
                <w:bCs w:val="0"/>
                <w:color w:val="000000"/>
                <w:kern w:val="0"/>
                <w:sz w:val="24"/>
                <w:szCs w:val="24"/>
                <w:u w:val="none"/>
                <w:lang w:val="en-US" w:eastAsia="zh-CN" w:bidi="ar"/>
              </w:rPr>
              <w:t xml:space="preserve">  </w:t>
            </w:r>
            <w:r>
              <w:rPr>
                <w:rFonts w:hint="default" w:ascii="Times New Roman" w:hAnsi="Times New Roman" w:eastAsia="方正仿宋_GBK" w:cs="Times New Roman"/>
                <w:b w:val="0"/>
                <w:bCs w:val="0"/>
                <w:color w:val="000000"/>
                <w:kern w:val="0"/>
                <w:sz w:val="24"/>
                <w:szCs w:val="24"/>
                <w:u w:val="none"/>
                <w:lang w:bidi="ar"/>
              </w:rPr>
              <w:t xml:space="preserve">签字：                           </w:t>
            </w:r>
          </w:p>
        </w:tc>
      </w:tr>
      <w:tr w14:paraId="173A308F">
        <w:tblPrEx>
          <w:tblCellMar>
            <w:top w:w="0" w:type="dxa"/>
            <w:left w:w="108" w:type="dxa"/>
            <w:bottom w:w="0" w:type="dxa"/>
            <w:right w:w="108" w:type="dxa"/>
          </w:tblCellMar>
        </w:tblPrEx>
        <w:trPr>
          <w:trHeight w:val="1740"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AAD5">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管委会主要负责人意见</w:t>
            </w:r>
          </w:p>
        </w:tc>
        <w:tc>
          <w:tcPr>
            <w:tcW w:w="67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704295">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 xml:space="preserve">          </w:t>
            </w:r>
          </w:p>
          <w:p w14:paraId="7DA243D4">
            <w:pPr>
              <w:keepNext w:val="0"/>
              <w:keepLines w:val="0"/>
              <w:pageBreakBefore w:val="0"/>
              <w:widowControl/>
              <w:kinsoku/>
              <w:wordWrap/>
              <w:bidi w:val="0"/>
              <w:spacing w:line="590" w:lineRule="exact"/>
              <w:jc w:val="center"/>
              <w:textAlignment w:val="center"/>
              <w:rPr>
                <w:rFonts w:hint="default" w:ascii="Times New Roman" w:hAnsi="Times New Roman" w:eastAsia="方正仿宋_GBK" w:cs="Times New Roman"/>
                <w:b w:val="0"/>
                <w:bCs w:val="0"/>
                <w:color w:val="000000"/>
                <w:kern w:val="0"/>
                <w:sz w:val="24"/>
                <w:szCs w:val="24"/>
                <w:u w:val="none"/>
                <w:lang w:bidi="ar"/>
              </w:rPr>
            </w:pPr>
            <w:r>
              <w:rPr>
                <w:rFonts w:hint="default" w:ascii="Times New Roman" w:hAnsi="Times New Roman" w:eastAsia="方正仿宋_GBK" w:cs="Times New Roman"/>
                <w:b w:val="0"/>
                <w:bCs w:val="0"/>
                <w:color w:val="000000"/>
                <w:kern w:val="0"/>
                <w:sz w:val="24"/>
                <w:szCs w:val="24"/>
                <w:u w:val="none"/>
                <w:lang w:bidi="ar"/>
              </w:rPr>
              <w:t xml:space="preserve">          </w:t>
            </w:r>
            <w:r>
              <w:rPr>
                <w:rFonts w:hint="default" w:ascii="Times New Roman" w:hAnsi="Times New Roman" w:eastAsia="方正仿宋_GBK" w:cs="Times New Roman"/>
                <w:b w:val="0"/>
                <w:bCs w:val="0"/>
                <w:color w:val="000000"/>
                <w:kern w:val="0"/>
                <w:sz w:val="24"/>
                <w:szCs w:val="24"/>
                <w:u w:val="none"/>
                <w:lang w:val="en-US" w:eastAsia="zh-CN" w:bidi="ar"/>
              </w:rPr>
              <w:t xml:space="preserve"> </w:t>
            </w:r>
            <w:r>
              <w:rPr>
                <w:rFonts w:hint="default" w:ascii="Times New Roman" w:hAnsi="Times New Roman" w:eastAsia="方正仿宋_GBK" w:cs="Times New Roman"/>
                <w:b w:val="0"/>
                <w:bCs w:val="0"/>
                <w:color w:val="000000"/>
                <w:kern w:val="0"/>
                <w:sz w:val="24"/>
                <w:szCs w:val="24"/>
                <w:u w:val="none"/>
                <w:lang w:bidi="ar"/>
              </w:rPr>
              <w:t>签字：</w:t>
            </w:r>
          </w:p>
        </w:tc>
      </w:tr>
    </w:tbl>
    <w:p w14:paraId="555CA568">
      <w:pPr>
        <w:keepNext w:val="0"/>
        <w:keepLines w:val="0"/>
        <w:pageBreakBefore w:val="0"/>
        <w:kinsoku/>
        <w:wordWrap/>
        <w:bidi w:val="0"/>
        <w:spacing w:line="590" w:lineRule="exact"/>
        <w:rPr>
          <w:rFonts w:hint="default" w:ascii="Times New Roman" w:hAnsi="Times New Roman" w:cs="Times New Roman"/>
        </w:rPr>
      </w:pPr>
    </w:p>
    <w:sectPr>
      <w:headerReference r:id="rId5" w:type="default"/>
      <w:footerReference r:id="rId6" w:type="default"/>
      <w:pgSz w:w="11906" w:h="16838"/>
      <w:pgMar w:top="1984" w:right="1474" w:bottom="1417"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118D6">
    <w:pPr>
      <w:pStyle w:val="5"/>
      <w:wordWrap w:val="0"/>
      <w:ind w:left="4788" w:leftChars="2280" w:firstLine="6400" w:firstLineChars="2000"/>
      <w:jc w:val="right"/>
      <w:rPr>
        <w:rFonts w:hint="eastAsia" w:eastAsia="仿宋"/>
        <w:color w:val="FAFAFA"/>
        <w:sz w:val="32"/>
        <w:szCs w:val="48"/>
        <w:lang w:val="en-US" w:eastAsia="zh-CN"/>
      </w:rPr>
    </w:pPr>
    <w:r>
      <w:rPr>
        <w:sz w:val="32"/>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-95250</wp:posOffset>
              </wp:positionV>
              <wp:extent cx="798195" cy="234950"/>
              <wp:effectExtent l="0" t="0" r="0" b="0"/>
              <wp:wrapNone/>
              <wp:docPr id="8" name="文本框 8"/>
              <wp:cNvGraphicFramePr/>
              <a:graphic xmlns:a="http://schemas.openxmlformats.org/drawingml/2006/main">
                <a:graphicData uri="http://schemas.microsoft.com/office/word/2010/wordprocessingShape">
                  <wps:wsp>
                    <wps:cNvSpPr txBox="1"/>
                    <wps:spPr>
                      <a:xfrm>
                        <a:off x="0" y="0"/>
                        <a:ext cx="798195" cy="234950"/>
                      </a:xfrm>
                      <a:prstGeom prst="rect">
                        <a:avLst/>
                      </a:prstGeom>
                      <a:noFill/>
                      <a:ln>
                        <a:noFill/>
                      </a:ln>
                    </wps:spPr>
                    <wps:txbx>
                      <w:txbxContent>
                        <w:p w14:paraId="2789680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top:-7.5pt;height:18.5pt;width:62.85pt;mso-position-horizontal:outside;mso-position-horizontal-relative:margin;z-index:251665408;mso-width-relative:page;mso-height-relative:page;" filled="f" stroked="f" coordsize="21600,21600" o:gfxdata="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BN9bjWAAAABwEAAA8AAAAAAAAAAQAgAAAAIgAAAGRycy9kb3ducmV2LnhtbFBLAQIU&#10;ABQAAAAIAIdO4kD7YTZLvAEAAHEDAAAOAAAAAAAAAAEAIAAAACUBAABkcnMvZTJvRG9jLnhtbFBL&#10;BQYAAAAABgAGAFkBAABTBQAAAAA=&#10;">
              <v:fill on="f" focussize="0,0"/>
              <v:stroke on="f"/>
              <v:imagedata o:title=""/>
              <o:lock v:ext="edit" aspectratio="f"/>
              <v:textbox inset="0mm,0mm,0mm,0mm">
                <w:txbxContent>
                  <w:p w14:paraId="27896804">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63500</wp:posOffset>
              </wp:positionH>
              <wp:positionV relativeFrom="paragraph">
                <wp:posOffset>217170</wp:posOffset>
              </wp:positionV>
              <wp:extent cx="5616575" cy="1905"/>
              <wp:effectExtent l="0" t="10795" r="3175" b="15875"/>
              <wp:wrapNone/>
              <wp:docPr id="9" name="直接连接符 9"/>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5pt;margin-top:17.1pt;height:0.15pt;width:442.25pt;z-index:251664384;mso-width-relative:page;mso-height-relative:page;" filled="f" stroked="t" coordsize="21600,21600" o:gfxdata="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5goA7TAAAACAEAAA8AAAAA&#10;AAAAAQAgAAAAIgAAAGRycy9kb3ducmV2LnhtbFBLAQIUABQAAAAIAIdO4kD3zxVG4AEAAKwDAAAO&#10;AAAAAAAAAAEAIAAAACIBAABkcnMvZTJvRG9jLnhtbFBLBQYAAAAABgAGAFkBAAB0BQ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p>
  <w:p w14:paraId="03B166F3">
    <w:pPr>
      <w:pStyle w:val="2"/>
      <w:jc w:val="right"/>
      <w:rPr>
        <w:rFonts w:hint="eastAsia" w:ascii="宋体" w:hAnsi="宋体" w:eastAsia="宋体" w:cs="宋体"/>
        <w:b/>
        <w:bCs/>
        <w:color w:val="005192"/>
        <w:sz w:val="28"/>
        <w:szCs w:val="44"/>
        <w:lang w:val="en-US" w:eastAsia="zh-CN"/>
      </w:rPr>
    </w:pPr>
  </w:p>
  <w:p w14:paraId="0E4F0316">
    <w:pPr>
      <w:pStyle w:val="2"/>
      <w:jc w:val="right"/>
    </w:pPr>
    <w:r>
      <w:rPr>
        <w:rFonts w:hint="eastAsia" w:ascii="宋体" w:hAnsi="宋体" w:eastAsia="宋体" w:cs="宋体"/>
        <w:b/>
        <w:bCs/>
        <w:color w:val="005192"/>
        <w:sz w:val="28"/>
        <w:szCs w:val="44"/>
        <w:lang w:val="en-US" w:eastAsia="zh-CN"/>
      </w:rPr>
      <w:t>宿州经济技术开发区</w:t>
    </w:r>
    <w:r>
      <w:rPr>
        <w:rFonts w:hint="eastAsia" w:ascii="宋体" w:hAnsi="宋体" w:cs="宋体"/>
        <w:b/>
        <w:bCs/>
        <w:color w:val="005192"/>
        <w:sz w:val="28"/>
        <w:szCs w:val="44"/>
        <w:lang w:val="en-US" w:eastAsia="zh-CN"/>
      </w:rPr>
      <w:t>办公室</w:t>
    </w:r>
    <w:r>
      <w:rPr>
        <w:rFonts w:hint="eastAsia" w:ascii="宋体" w:hAnsi="宋体" w:eastAsia="宋体" w:cs="宋体"/>
        <w:b/>
        <w:bCs/>
        <w:color w:val="005192"/>
        <w:sz w:val="28"/>
        <w:szCs w:val="44"/>
        <w:lang w:val="en-US" w:eastAsia="zh-CN"/>
      </w:rPr>
      <w:t xml:space="preserve">发布 </w: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5147A9">
                          <w:pPr>
                            <w:pStyle w:val="2"/>
                            <w:rPr>
                              <w:sz w:val="28"/>
                              <w:szCs w:val="28"/>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vkRes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RF6yQEAAJkDAAAOAAAAAAAAAAEAIAAAAB4BAABkcnMvZTJvRG9j&#10;LnhtbFBLBQYAAAAABgAGAFkBAABZBQAAAAA=&#10;">
              <v:fill on="f" focussize="0,0"/>
              <v:stroke on="f"/>
              <v:imagedata o:title=""/>
              <o:lock v:ext="edit" aspectratio="f"/>
              <v:textbox inset="0mm,0mm,0mm,0mm" style="mso-fit-shape-to-text:t;">
                <w:txbxContent>
                  <w:p w14:paraId="095147A9">
                    <w:pPr>
                      <w:pStyle w:val="2"/>
                      <w:rPr>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E8DFC">
    <w:pPr>
      <w:pStyle w:val="5"/>
      <w:wordWrap w:val="0"/>
      <w:ind w:left="4788" w:leftChars="2280" w:firstLine="6400" w:firstLineChars="2000"/>
      <w:jc w:val="right"/>
      <w:rPr>
        <w:rFonts w:hint="eastAsia" w:eastAsia="仿宋"/>
        <w:color w:val="FAFAFA"/>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-95250</wp:posOffset>
              </wp:positionV>
              <wp:extent cx="798195" cy="2349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98195" cy="234950"/>
                      </a:xfrm>
                      <a:prstGeom prst="rect">
                        <a:avLst/>
                      </a:prstGeom>
                      <a:noFill/>
                      <a:ln>
                        <a:noFill/>
                      </a:ln>
                    </wps:spPr>
                    <wps:txbx>
                      <w:txbxContent>
                        <w:p w14:paraId="09194FC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top:-7.5pt;height:18.5pt;width:62.85pt;mso-position-horizontal:outside;mso-position-horizontal-relative:margin;z-index:251662336;mso-width-relative:page;mso-height-relative:page;" filled="f" stroked="f" coordsize="21600,21600" o:gfxdata="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gTfW41gAAAAcBAAAPAAAAAAAAAAEAIAAAACIAAABkcnMvZG93bnJldi54bWxQSwEC&#10;FAAUAAAACACHTuJAyuklbL0BAABxAwAADgAAAAAAAAABACAAAAAlAQAAZHJzL2Uyb0RvYy54bWxQ&#10;SwUGAAAAAAYABgBZAQAAVAUAAAAA&#10;">
              <v:fill on="f" focussize="0,0"/>
              <v:stroke on="f"/>
              <v:imagedata o:title=""/>
              <o:lock v:ext="edit" aspectratio="f"/>
              <v:textbox inset="0mm,0mm,0mm,0mm">
                <w:txbxContent>
                  <w:p w14:paraId="09194FC8">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217170</wp:posOffset>
              </wp:positionV>
              <wp:extent cx="5616575" cy="1905"/>
              <wp:effectExtent l="0" t="10795" r="3175" b="15875"/>
              <wp:wrapNone/>
              <wp:docPr id="18" name="直接连接符 18"/>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5pt;margin-top:17.1pt;height:0.15pt;width:442.25pt;z-index:251661312;mso-width-relative:page;mso-height-relative:page;" filled="f" stroked="t" coordsize="21600,21600" o:gfxdata="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mCgDtMAAAAIAQAADwAA&#10;AAAAAAABACAAAAAiAAAAZHJzL2Rvd25yZXYueG1sUEsBAhQAFAAAAAgAh07iQJEMe4LiAQAArgMA&#10;AA4AAAAAAAAAAQAgAAAAIgEAAGRycy9lMm9Eb2MueG1sUEsFBgAAAAAGAAYAWQEAAHYFAAAAAA==&#10;">
              <v:fill on="f" focussize="0,0"/>
              <v:stroke weight="1.75pt" color="#005192" joinstyle="round"/>
              <v:imagedata o:title=""/>
              <o:lock v:ext="edit" aspectratio="f"/>
            </v:line>
          </w:pict>
        </mc:Fallback>
      </mc:AlternateContent>
    </w:r>
    <w:r>
      <w:rPr>
        <w:rFonts w:hint="eastAsia" w:eastAsia="仿宋"/>
        <w:color w:val="FAFAFA"/>
        <w:sz w:val="32"/>
        <w:szCs w:val="48"/>
        <w:lang w:val="en-US" w:eastAsia="zh-CN"/>
      </w:rPr>
      <w:t>X</w:t>
    </w:r>
  </w:p>
  <w:p w14:paraId="0941FBB1">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宿宿州经济技术开发区发布   </w:t>
    </w:r>
  </w:p>
  <w:p w14:paraId="02E2BF1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699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69900" cy="1828800"/>
                      </a:xfrm>
                      <a:prstGeom prst="rect">
                        <a:avLst/>
                      </a:prstGeom>
                      <a:noFill/>
                      <a:ln>
                        <a:noFill/>
                      </a:ln>
                    </wps:spPr>
                    <wps:txbx>
                      <w:txbxContent>
                        <w:p w14:paraId="5B36B678">
                          <w:pPr>
                            <w:pStyle w:val="2"/>
                          </w:pP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37pt;mso-position-horizontal:outside;mso-position-horizontal-relative:margin;z-index:251659264;mso-width-relative:page;mso-height-relative:page;" filled="f" stroked="f" coordsize="21600,21600" o:gfxdata="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aOe0QAAAAQBAAAPAAAAAAAAAAEAIAAAACIAAABkcnMvZG93bnJldi54bWxQ&#10;SwECFAAUAAAACACHTuJAuX52vMUBAACMAwAADgAAAAAAAAABACAAAAAgAQAAZHJzL2Uyb0RvYy54&#10;bWxQSwUGAAAAAAYABgBZAQAAVwUAAAAA&#10;">
              <v:fill on="f" focussize="0,0"/>
              <v:stroke on="f"/>
              <v:imagedata o:title=""/>
              <o:lock v:ext="edit" aspectratio="f"/>
              <v:textbox inset="0mm,0mm,0mm,0mm" style="mso-fit-shape-to-text:t;">
                <w:txbxContent>
                  <w:p w14:paraId="5B36B678">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3C06B">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6" name="直接连接符 6"/>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42.55pt;z-index:251663360;mso-width-relative:page;mso-height-relative:page;" filled="f" stroked="t" coordsize="21600,21600" o:gfxdata="UEsDBAoAAAAAAIdO4kAAAAAAAAAAAAAAAAAEAAAAZHJzL1BLAwQUAAAACACHTuJAAze0St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ze0StIA&#10;AAAJAQAADwAAAAAAAAABACAAAAAiAAAAZHJzL2Rvd25yZXYueG1sUEsBAhQAFAAAAAgAh07iQBFD&#10;yIfsAQAAtAMAAA4AAAAAAAAAAQAgAAAAIQEAAGRycy9lMm9Eb2MueG1sUEsFBgAAAAAGAAYAWQEA&#10;AH8FAAAAAA==&#10;">
              <v:fill on="f" focussize="0,0"/>
              <v:stroke weight="1.75pt" color="#005192" joinstyle="round"/>
              <v:imagedata o:title=""/>
              <o:lock v:ext="edit" aspectratio="f"/>
            </v:line>
          </w:pict>
        </mc:Fallback>
      </mc:AlternateContent>
    </w:r>
  </w:p>
  <w:p w14:paraId="1CBA514F">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宿州经济技术开发区办公室行政</w:t>
    </w:r>
    <w:r>
      <w:rPr>
        <w:rFonts w:hint="eastAsia" w:ascii="宋体" w:hAnsi="宋体" w:eastAsia="宋体" w:cs="宋体"/>
        <w:b/>
        <w:bCs/>
        <w:color w:val="005192"/>
        <w:sz w:val="32"/>
        <w:szCs w:val="32"/>
        <w:lang w:val="en-US" w:eastAsia="zh-CN"/>
      </w:rPr>
      <w:t>规范性文件</w:t>
    </w:r>
  </w:p>
  <w:p w14:paraId="6B630603">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6038">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Aze0St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ze0StIA&#10;AAAJAQAADwAAAAAAAAABACAAAAAiAAAAZHJzL2Rvd25yZXYueG1sUEsBAhQAFAAAAAgAh07iQAS5&#10;hbbsAQAAtAMAAA4AAAAAAAAAAQAgAAAAIQEAAGRycy9lMm9Eb2MueG1sUEsFBgAAAAAGAAYAWQEA&#10;AH8FAAAAAA==&#10;">
              <v:fill on="f" focussize="0,0"/>
              <v:stroke weight="1.75pt" color="#005192" joinstyle="round"/>
              <v:imagedata o:title=""/>
              <o:lock v:ext="edit" aspectratio="f"/>
            </v:line>
          </w:pict>
        </mc:Fallback>
      </mc:AlternateContent>
    </w:r>
  </w:p>
  <w:p w14:paraId="34BD3236">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eastAsia="zh-CN"/>
      </w:rPr>
      <w:t>宿州经济技术开发区行政</w:t>
    </w:r>
    <w:r>
      <w:rPr>
        <w:rFonts w:hint="eastAsia" w:ascii="宋体" w:hAnsi="宋体" w:eastAsia="宋体" w:cs="宋体"/>
        <w:b/>
        <w:bCs/>
        <w:color w:val="005192"/>
        <w:sz w:val="32"/>
        <w:szCs w:val="32"/>
        <w:lang w:val="en-US" w:eastAsia="zh-CN"/>
      </w:rPr>
      <w:t>规范性文件</w:t>
    </w:r>
  </w:p>
  <w:p w14:paraId="5AF22EE8">
    <w:pPr>
      <w:pStyle w:val="5"/>
    </w:pPr>
  </w:p>
  <w:p w14:paraId="0BEDD58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A5871"/>
    <w:multiLevelType w:val="singleLevel"/>
    <w:tmpl w:val="4D7A587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jJhMTM1MjRiZDJlMzgyZjc0MWJmNjg4ZDc0YzgifQ=="/>
  </w:docVars>
  <w:rsids>
    <w:rsidRoot w:val="48C96339"/>
    <w:rsid w:val="03D7359C"/>
    <w:rsid w:val="2EDC1745"/>
    <w:rsid w:val="48C96339"/>
    <w:rsid w:val="57B13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unhideWhenUsed/>
    <w:qFormat/>
    <w:uiPriority w:val="0"/>
    <w:pPr>
      <w:spacing w:after="120"/>
    </w:pPr>
  </w:style>
  <w:style w:type="paragraph" w:styleId="4">
    <w:name w:val="Body Text Indent"/>
    <w:basedOn w:val="1"/>
    <w:unhideWhenUsed/>
    <w:qFormat/>
    <w:uiPriority w:val="99"/>
    <w:pPr>
      <w:spacing w:after="12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2"/>
    <w:basedOn w:val="4"/>
    <w:qFormat/>
    <w:uiPriority w:val="0"/>
    <w:pPr>
      <w:ind w:firstLine="420" w:firstLineChars="200"/>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1"/>
    <w:basedOn w:val="1"/>
    <w:next w:val="1"/>
    <w:qFormat/>
    <w:uiPriority w:val="0"/>
    <w:pPr>
      <w:spacing w:before="156" w:line="360" w:lineRule="auto"/>
      <w:ind w:firstLine="668" w:firstLineChars="257"/>
    </w:pPr>
    <w:rPr>
      <w:rFonts w:ascii="宋体" w:hAnsi="宋体"/>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6524</Words>
  <Characters>6619</Characters>
  <Lines>0</Lines>
  <Paragraphs>0</Paragraphs>
  <TotalTime>15</TotalTime>
  <ScaleCrop>false</ScaleCrop>
  <LinksUpToDate>false</LinksUpToDate>
  <CharactersWithSpaces>6798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2022-11-09T03:14:00Z</dcterms:created>
  <dc:creator>Dove</dc:creator>
  <cp:lastModifiedBy>雅文</cp:lastModifiedBy>
  <dcterms:modified xsi:type="dcterms:W3CDTF">2024-12-25T10:41:57Z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4C8211356B2B497792F180E873BE3ABC</vt:lpwstr>
  </property>
</Properties>
</file>