
<file path=[Content_Types].xml><?xml version="1.0" encoding="utf-8"?>
<Types xmlns="http://schemas.openxmlformats.org/package/2006/content-types">
  <Default Extension="wmf" ContentType="image/x-wmf"/>
  <Default Extension="bin" ContentType="application/vnd.openxmlformats-officedocument.oleObject"/>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仿宋_GB2312" w:eastAsia="仿宋_GB2312"/>
          <w:sz w:val="36"/>
          <w:szCs w:val="36"/>
        </w:rPr>
      </w:pPr>
    </w:p>
    <w:p>
      <w:pPr>
        <w:rPr>
          <w:rFonts w:ascii="仿宋_GB2312" w:hAnsi="仿宋_GB2312" w:eastAsia="仿宋_GB2312"/>
          <w:sz w:val="36"/>
          <w:szCs w:val="36"/>
        </w:rPr>
      </w:pPr>
    </w:p>
    <w:p>
      <w:pPr>
        <w:rPr>
          <w:rFonts w:ascii="仿宋_GB2312" w:hAnsi="仿宋_GB2312" w:eastAsia="仿宋_GB2312"/>
          <w:sz w:val="36"/>
          <w:szCs w:val="36"/>
        </w:rPr>
      </w:pPr>
    </w:p>
    <w:p>
      <w:pPr>
        <w:rPr>
          <w:rFonts w:ascii="仿宋_GB2312" w:hAnsi="仿宋_GB2312" w:eastAsia="仿宋_GB2312"/>
          <w:sz w:val="36"/>
          <w:szCs w:val="36"/>
        </w:rPr>
      </w:pPr>
    </w:p>
    <w:p>
      <w:pPr>
        <w:rPr>
          <w:rFonts w:ascii="仿宋_GB2312" w:hAnsi="仿宋_GB2312" w:eastAsia="仿宋_GB2312"/>
          <w:sz w:val="36"/>
          <w:szCs w:val="36"/>
        </w:rPr>
      </w:pPr>
    </w:p>
    <w:p>
      <w:pPr>
        <w:adjustRightInd w:val="0"/>
        <w:snapToGrid w:val="0"/>
        <w:jc w:val="center"/>
        <w:outlineLvl w:val="0"/>
        <w:rPr>
          <w:rFonts w:ascii="方正小标宋_GBK" w:eastAsia="方正小标宋_GBK"/>
          <w:sz w:val="72"/>
          <w:szCs w:val="72"/>
        </w:rPr>
      </w:pPr>
      <w:r>
        <w:rPr>
          <w:rFonts w:hint="eastAsia" w:ascii="方正小标宋_GBK" w:eastAsia="方正小标宋_GBK" w:cs="方正小标宋_GBK"/>
          <w:sz w:val="72"/>
          <w:szCs w:val="72"/>
        </w:rPr>
        <w:t>建设项目环境影响报告表</w:t>
      </w:r>
    </w:p>
    <w:p>
      <w:pPr>
        <w:jc w:val="center"/>
        <w:rPr>
          <w:rFonts w:eastAsia="仿宋"/>
          <w:sz w:val="72"/>
          <w:szCs w:val="72"/>
        </w:rPr>
      </w:pPr>
    </w:p>
    <w:p>
      <w:pPr>
        <w:ind w:firstLine="1040"/>
        <w:rPr>
          <w:rFonts w:eastAsia="仿宋"/>
          <w:sz w:val="44"/>
          <w:szCs w:val="44"/>
        </w:rPr>
      </w:pPr>
    </w:p>
    <w:p>
      <w:pPr>
        <w:ind w:firstLine="1040"/>
        <w:rPr>
          <w:rFonts w:eastAsia="仿宋"/>
          <w:sz w:val="44"/>
          <w:szCs w:val="44"/>
        </w:rPr>
      </w:pPr>
    </w:p>
    <w:p>
      <w:pPr>
        <w:ind w:firstLine="1040"/>
        <w:rPr>
          <w:rFonts w:eastAsia="仿宋"/>
          <w:sz w:val="44"/>
          <w:szCs w:val="44"/>
        </w:rPr>
      </w:pPr>
    </w:p>
    <w:p>
      <w:pPr>
        <w:ind w:firstLine="1040"/>
        <w:rPr>
          <w:rFonts w:eastAsia="仿宋"/>
          <w:sz w:val="44"/>
          <w:szCs w:val="44"/>
        </w:rPr>
      </w:pPr>
    </w:p>
    <w:p>
      <w:pPr>
        <w:pStyle w:val="30"/>
        <w:rPr>
          <w:rFonts w:eastAsia="仿宋" w:cs="Times New Roman"/>
          <w:sz w:val="44"/>
          <w:szCs w:val="44"/>
        </w:rPr>
      </w:pPr>
    </w:p>
    <w:p>
      <w:pPr>
        <w:pStyle w:val="32"/>
        <w:rPr>
          <w:rFonts w:cs="Times New Roman"/>
        </w:rPr>
      </w:pPr>
    </w:p>
    <w:p>
      <w:pPr>
        <w:adjustRightInd w:val="0"/>
        <w:snapToGrid w:val="0"/>
        <w:spacing w:line="288" w:lineRule="auto"/>
        <w:ind w:firstLine="1080" w:firstLineChars="300"/>
        <w:rPr>
          <w:rFonts w:eastAsia="仿宋_GB2312"/>
          <w:sz w:val="36"/>
          <w:szCs w:val="36"/>
          <w:u w:val="single"/>
        </w:rPr>
      </w:pPr>
      <w:r>
        <w:rPr>
          <w:rFonts w:hint="eastAsia" w:ascii="仿宋_GB2312" w:eastAsia="仿宋_GB2312" w:cs="仿宋_GB2312"/>
          <w:sz w:val="36"/>
          <w:szCs w:val="36"/>
        </w:rPr>
        <w:t>项目名称：</w:t>
      </w:r>
      <w:r>
        <w:rPr>
          <w:rFonts w:hint="eastAsia" w:ascii="仿宋_GB2312" w:eastAsia="仿宋_GB2312" w:cs="仿宋_GB2312"/>
          <w:sz w:val="36"/>
          <w:szCs w:val="36"/>
          <w:u w:val="single"/>
        </w:rPr>
        <w:t xml:space="preserve">     </w:t>
      </w:r>
      <w:r>
        <w:rPr>
          <w:rFonts w:eastAsia="仿宋_GB2312"/>
          <w:sz w:val="36"/>
          <w:szCs w:val="36"/>
          <w:u w:val="single"/>
        </w:rPr>
        <w:t>年产18万吨饲料项目</w:t>
      </w:r>
      <w:r>
        <w:rPr>
          <w:rFonts w:hint="eastAsia" w:eastAsia="仿宋_GB2312"/>
          <w:sz w:val="36"/>
          <w:szCs w:val="36"/>
          <w:u w:val="single"/>
        </w:rPr>
        <w:t xml:space="preserve">    </w:t>
      </w:r>
    </w:p>
    <w:p>
      <w:pPr>
        <w:adjustRightInd w:val="0"/>
        <w:snapToGrid w:val="0"/>
        <w:spacing w:line="288" w:lineRule="auto"/>
        <w:ind w:firstLine="1080" w:firstLineChars="300"/>
        <w:rPr>
          <w:rFonts w:eastAsia="仿宋_GB2312"/>
          <w:sz w:val="36"/>
          <w:szCs w:val="36"/>
          <w:u w:val="single"/>
        </w:rPr>
      </w:pPr>
      <w:r>
        <w:rPr>
          <w:rFonts w:eastAsia="仿宋_GB2312"/>
          <w:sz w:val="36"/>
          <w:szCs w:val="36"/>
        </w:rPr>
        <w:t>建设单位（盖章）：</w:t>
      </w:r>
      <w:r>
        <w:rPr>
          <w:rFonts w:hint="eastAsia" w:eastAsia="仿宋_GB2312"/>
          <w:sz w:val="36"/>
          <w:szCs w:val="36"/>
          <w:u w:val="single"/>
        </w:rPr>
        <w:t>宿州万千饲料有限</w:t>
      </w:r>
      <w:r>
        <w:rPr>
          <w:rFonts w:eastAsia="仿宋_GB2312"/>
          <w:sz w:val="36"/>
          <w:szCs w:val="36"/>
          <w:u w:val="single"/>
        </w:rPr>
        <w:t>公司</w:t>
      </w:r>
    </w:p>
    <w:p>
      <w:pPr>
        <w:adjustRightInd w:val="0"/>
        <w:snapToGrid w:val="0"/>
        <w:spacing w:line="288" w:lineRule="auto"/>
        <w:ind w:firstLine="1080" w:firstLineChars="300"/>
        <w:rPr>
          <w:rFonts w:ascii="仿宋_GB2312" w:eastAsia="仿宋_GB2312" w:cs="仿宋_GB2312"/>
          <w:sz w:val="36"/>
          <w:szCs w:val="36"/>
          <w:u w:val="single"/>
        </w:rPr>
      </w:pPr>
      <w:r>
        <w:rPr>
          <w:rFonts w:eastAsia="仿宋_GB2312"/>
          <w:sz w:val="36"/>
          <w:szCs w:val="36"/>
        </w:rPr>
        <w:t>编制日期：</w:t>
      </w:r>
      <w:r>
        <w:rPr>
          <w:rFonts w:eastAsia="仿宋_GB2312"/>
          <w:sz w:val="36"/>
          <w:szCs w:val="36"/>
          <w:u w:val="single"/>
        </w:rPr>
        <w:t xml:space="preserve">  </w:t>
      </w:r>
      <w:r>
        <w:rPr>
          <w:rFonts w:hint="eastAsia" w:eastAsia="仿宋_GB2312"/>
          <w:sz w:val="36"/>
          <w:szCs w:val="36"/>
          <w:u w:val="single"/>
        </w:rPr>
        <w:t xml:space="preserve">       </w:t>
      </w:r>
      <w:r>
        <w:rPr>
          <w:rFonts w:eastAsia="仿宋_GB2312"/>
          <w:sz w:val="36"/>
          <w:szCs w:val="36"/>
          <w:u w:val="single"/>
        </w:rPr>
        <w:t>2022年4月</w:t>
      </w:r>
      <w:r>
        <w:rPr>
          <w:rFonts w:hint="eastAsia" w:eastAsia="仿宋_GB2312"/>
          <w:sz w:val="36"/>
          <w:szCs w:val="36"/>
          <w:u w:val="single"/>
        </w:rPr>
        <w:t xml:space="preserve">     </w:t>
      </w:r>
      <w:r>
        <w:rPr>
          <w:rFonts w:eastAsia="仿宋_GB2312"/>
          <w:sz w:val="36"/>
          <w:szCs w:val="36"/>
          <w:u w:val="single"/>
        </w:rPr>
        <w:t xml:space="preserve">   </w:t>
      </w:r>
    </w:p>
    <w:p>
      <w:pPr>
        <w:adjustRightInd w:val="0"/>
        <w:snapToGrid w:val="0"/>
        <w:spacing w:line="288" w:lineRule="auto"/>
        <w:ind w:firstLine="1040"/>
        <w:rPr>
          <w:rFonts w:ascii="仿宋_GB2312" w:eastAsia="仿宋_GB2312"/>
          <w:sz w:val="36"/>
          <w:szCs w:val="36"/>
          <w:u w:val="single"/>
        </w:rPr>
      </w:pPr>
      <w:bookmarkStart w:id="0" w:name="_Hlk57884087"/>
    </w:p>
    <w:p>
      <w:pPr>
        <w:adjustRightInd w:val="0"/>
        <w:snapToGrid w:val="0"/>
        <w:spacing w:line="288" w:lineRule="auto"/>
        <w:ind w:firstLine="1040"/>
        <w:rPr>
          <w:rFonts w:ascii="仿宋_GB2312" w:eastAsia="仿宋_GB2312"/>
          <w:sz w:val="36"/>
          <w:szCs w:val="36"/>
        </w:rPr>
      </w:pPr>
    </w:p>
    <w:p>
      <w:pPr>
        <w:adjustRightInd w:val="0"/>
        <w:snapToGrid w:val="0"/>
        <w:spacing w:line="288" w:lineRule="auto"/>
        <w:rPr>
          <w:rFonts w:ascii="仿宋_GB2312" w:eastAsia="仿宋_GB2312"/>
          <w:sz w:val="36"/>
          <w:szCs w:val="36"/>
        </w:rPr>
      </w:pPr>
    </w:p>
    <w:p>
      <w:pPr>
        <w:adjustRightInd w:val="0"/>
        <w:snapToGrid w:val="0"/>
        <w:spacing w:line="288" w:lineRule="auto"/>
        <w:ind w:firstLine="1040"/>
        <w:rPr>
          <w:rFonts w:ascii="仿宋_GB2312" w:eastAsia="仿宋_GB2312"/>
          <w:sz w:val="36"/>
          <w:szCs w:val="36"/>
        </w:rPr>
      </w:pPr>
    </w:p>
    <w:bookmarkEnd w:id="0"/>
    <w:p>
      <w:pPr>
        <w:adjustRightInd w:val="0"/>
        <w:snapToGrid w:val="0"/>
        <w:spacing w:line="288" w:lineRule="auto"/>
        <w:jc w:val="center"/>
        <w:rPr>
          <w:rFonts w:ascii="楷体_GB2312" w:eastAsia="楷体_GB2312"/>
          <w:sz w:val="36"/>
          <w:szCs w:val="36"/>
        </w:rPr>
      </w:pPr>
      <w:r>
        <w:rPr>
          <w:rFonts w:hint="eastAsia" w:ascii="楷体_GB2312" w:eastAsia="楷体_GB2312" w:cs="楷体_GB2312"/>
          <w:sz w:val="36"/>
          <w:szCs w:val="36"/>
        </w:rPr>
        <w:t>中华人民共和国生态环境部制</w:t>
      </w:r>
    </w:p>
    <w:p>
      <w:pPr>
        <w:adjustRightInd w:val="0"/>
        <w:snapToGrid w:val="0"/>
        <w:spacing w:line="288" w:lineRule="auto"/>
        <w:ind w:firstLine="1040"/>
        <w:rPr>
          <w:rFonts w:ascii="仿宋_GB2312" w:eastAsia="仿宋_GB2312"/>
          <w:sz w:val="36"/>
          <w:szCs w:val="36"/>
        </w:rPr>
      </w:pPr>
    </w:p>
    <w:p>
      <w:pPr>
        <w:pStyle w:val="30"/>
        <w:rPr>
          <w:rFonts w:cs="Times New Roman"/>
        </w:rPr>
        <w:sectPr>
          <w:footerReference r:id="rId3" w:type="default"/>
          <w:pgSz w:w="11906" w:h="16838"/>
          <w:pgMar w:top="1701" w:right="1531" w:bottom="1701" w:left="1531" w:header="851" w:footer="1077" w:gutter="0"/>
          <w:pgNumType w:start="3"/>
          <w:cols w:space="720" w:num="1"/>
          <w:docGrid w:linePitch="312" w:charSpace="0"/>
        </w:sectPr>
      </w:pPr>
    </w:p>
    <w:p>
      <w:pPr>
        <w:pStyle w:val="20"/>
        <w:jc w:val="center"/>
        <w:outlineLvl w:val="0"/>
        <w:rPr>
          <w:rFonts w:ascii="黑体" w:hAnsi="黑体" w:eastAsia="黑体"/>
          <w:snapToGrid w:val="0"/>
          <w:sz w:val="30"/>
          <w:szCs w:val="30"/>
        </w:rPr>
      </w:pPr>
      <w:r>
        <w:rPr>
          <w:rFonts w:hint="eastAsia" w:ascii="黑体" w:hAnsi="黑体" w:eastAsia="黑体" w:cs="黑体"/>
          <w:snapToGrid w:val="0"/>
          <w:sz w:val="30"/>
          <w:szCs w:val="30"/>
        </w:rPr>
        <w:t>一、建设项目基本情况</w:t>
      </w:r>
    </w:p>
    <w:tbl>
      <w:tblPr>
        <w:tblStyle w:val="23"/>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1690"/>
        <w:gridCol w:w="2329"/>
        <w:gridCol w:w="2212"/>
        <w:gridCol w:w="263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690" w:type="dxa"/>
            <w:tcBorders>
              <w:top w:val="single" w:color="auto" w:sz="8" w:space="0"/>
            </w:tcBorders>
            <w:tcMar>
              <w:top w:w="16" w:type="dxa"/>
              <w:left w:w="16" w:type="dxa"/>
              <w:right w:w="16" w:type="dxa"/>
            </w:tcMar>
            <w:vAlign w:val="center"/>
          </w:tcPr>
          <w:p>
            <w:pPr>
              <w:adjustRightInd w:val="0"/>
              <w:snapToGrid w:val="0"/>
              <w:jc w:val="center"/>
              <w:rPr>
                <w:rFonts w:ascii="宋体"/>
              </w:rPr>
            </w:pPr>
            <w:r>
              <w:rPr>
                <w:rFonts w:hint="eastAsia" w:ascii="宋体" w:hAnsi="宋体" w:cs="宋体"/>
              </w:rPr>
              <w:t>建设项目名称</w:t>
            </w:r>
          </w:p>
        </w:tc>
        <w:tc>
          <w:tcPr>
            <w:tcW w:w="7180" w:type="dxa"/>
            <w:gridSpan w:val="3"/>
            <w:tcBorders>
              <w:top w:val="single" w:color="auto" w:sz="8" w:space="0"/>
            </w:tcBorders>
            <w:vAlign w:val="center"/>
          </w:tcPr>
          <w:p>
            <w:pPr>
              <w:adjustRightInd w:val="0"/>
              <w:snapToGrid w:val="0"/>
              <w:jc w:val="center"/>
              <w:rPr>
                <w:rFonts w:ascii="宋体"/>
              </w:rPr>
            </w:pPr>
            <w:r>
              <w:t>年产18万吨饲料项目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690" w:type="dxa"/>
            <w:tcMar>
              <w:top w:w="16" w:type="dxa"/>
              <w:left w:w="16" w:type="dxa"/>
              <w:right w:w="16" w:type="dxa"/>
            </w:tcMar>
            <w:vAlign w:val="center"/>
          </w:tcPr>
          <w:p>
            <w:pPr>
              <w:adjustRightInd w:val="0"/>
              <w:snapToGrid w:val="0"/>
              <w:jc w:val="center"/>
              <w:rPr>
                <w:rFonts w:ascii="宋体"/>
              </w:rPr>
            </w:pPr>
            <w:r>
              <w:rPr>
                <w:rFonts w:hint="eastAsia" w:ascii="宋体" w:hAnsi="宋体" w:cs="宋体"/>
              </w:rPr>
              <w:t>项目代码</w:t>
            </w:r>
          </w:p>
        </w:tc>
        <w:tc>
          <w:tcPr>
            <w:tcW w:w="7180" w:type="dxa"/>
            <w:gridSpan w:val="3"/>
            <w:vAlign w:val="center"/>
          </w:tcPr>
          <w:p>
            <w:pPr>
              <w:adjustRightInd w:val="0"/>
              <w:snapToGrid w:val="0"/>
              <w:jc w:val="center"/>
              <w:rPr>
                <w:rFonts w:ascii="宋体"/>
              </w:rPr>
            </w:pPr>
            <w:r>
              <w:t>2</w:t>
            </w:r>
            <w:r>
              <w:rPr>
                <w:rFonts w:hint="eastAsia"/>
              </w:rPr>
              <w:t>2</w:t>
            </w:r>
            <w:r>
              <w:t>0</w:t>
            </w:r>
            <w:r>
              <w:rPr>
                <w:rFonts w:hint="eastAsia"/>
              </w:rPr>
              <w:t>1</w:t>
            </w:r>
            <w:r>
              <w:t>-341</w:t>
            </w:r>
            <w:r>
              <w:rPr>
                <w:rFonts w:hint="eastAsia"/>
              </w:rPr>
              <w:t>361</w:t>
            </w:r>
            <w:r>
              <w:t>-04-0</w:t>
            </w:r>
            <w:r>
              <w:rPr>
                <w:rFonts w:hint="eastAsia"/>
              </w:rPr>
              <w:t>1</w:t>
            </w:r>
            <w:r>
              <w:t>-</w:t>
            </w:r>
            <w:r>
              <w:rPr>
                <w:rFonts w:hint="eastAsia"/>
              </w:rPr>
              <w:t>124901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690" w:type="dxa"/>
            <w:tcMar>
              <w:top w:w="16" w:type="dxa"/>
              <w:left w:w="16" w:type="dxa"/>
              <w:right w:w="16" w:type="dxa"/>
            </w:tcMar>
            <w:vAlign w:val="center"/>
          </w:tcPr>
          <w:p>
            <w:pPr>
              <w:adjustRightInd w:val="0"/>
              <w:snapToGrid w:val="0"/>
              <w:jc w:val="center"/>
              <w:rPr>
                <w:rFonts w:ascii="宋体"/>
              </w:rPr>
            </w:pPr>
            <w:r>
              <w:rPr>
                <w:rFonts w:hint="eastAsia" w:ascii="宋体" w:hAnsi="宋体" w:cs="宋体"/>
              </w:rPr>
              <w:t>建设单位联系人</w:t>
            </w:r>
          </w:p>
        </w:tc>
        <w:tc>
          <w:tcPr>
            <w:tcW w:w="2329" w:type="dxa"/>
            <w:vAlign w:val="center"/>
          </w:tcPr>
          <w:p>
            <w:pPr>
              <w:adjustRightInd w:val="0"/>
              <w:snapToGrid w:val="0"/>
              <w:jc w:val="center"/>
              <w:rPr>
                <w:rFonts w:ascii="宋体"/>
              </w:rPr>
            </w:pPr>
            <w:r>
              <w:rPr>
                <w:rFonts w:hint="eastAsia" w:ascii="宋体"/>
              </w:rPr>
              <w:t>吕现军</w:t>
            </w:r>
          </w:p>
        </w:tc>
        <w:tc>
          <w:tcPr>
            <w:tcW w:w="2212" w:type="dxa"/>
            <w:vAlign w:val="center"/>
          </w:tcPr>
          <w:p>
            <w:pPr>
              <w:adjustRightInd w:val="0"/>
              <w:snapToGrid w:val="0"/>
              <w:jc w:val="center"/>
              <w:rPr>
                <w:rFonts w:ascii="宋体"/>
              </w:rPr>
            </w:pPr>
            <w:r>
              <w:rPr>
                <w:rFonts w:hint="eastAsia" w:ascii="宋体" w:hAnsi="宋体" w:cs="宋体"/>
              </w:rPr>
              <w:t>联系方式</w:t>
            </w:r>
          </w:p>
        </w:tc>
        <w:tc>
          <w:tcPr>
            <w:tcW w:w="2639" w:type="dxa"/>
            <w:vAlign w:val="center"/>
          </w:tcPr>
          <w:p>
            <w:pPr>
              <w:adjustRightInd w:val="0"/>
              <w:snapToGrid w:val="0"/>
              <w:jc w:val="center"/>
              <w:rPr>
                <w:rFonts w:ascii="宋体"/>
              </w:rPr>
            </w:pPr>
            <w:r>
              <w:t>15265595111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690" w:type="dxa"/>
            <w:tcMar>
              <w:top w:w="16" w:type="dxa"/>
              <w:left w:w="16" w:type="dxa"/>
              <w:right w:w="16" w:type="dxa"/>
            </w:tcMar>
            <w:vAlign w:val="center"/>
          </w:tcPr>
          <w:p>
            <w:pPr>
              <w:adjustRightInd w:val="0"/>
              <w:snapToGrid w:val="0"/>
              <w:jc w:val="center"/>
              <w:rPr>
                <w:rFonts w:ascii="宋体"/>
              </w:rPr>
            </w:pPr>
            <w:r>
              <w:rPr>
                <w:rFonts w:hint="eastAsia" w:ascii="宋体" w:hAnsi="宋体" w:cs="宋体"/>
              </w:rPr>
              <w:t>建设地点</w:t>
            </w:r>
          </w:p>
        </w:tc>
        <w:tc>
          <w:tcPr>
            <w:tcW w:w="7180" w:type="dxa"/>
            <w:gridSpan w:val="3"/>
            <w:vAlign w:val="center"/>
          </w:tcPr>
          <w:p>
            <w:pPr>
              <w:adjustRightInd w:val="0"/>
              <w:snapToGrid w:val="0"/>
              <w:jc w:val="center"/>
              <w:rPr>
                <w:rFonts w:ascii="宋体"/>
              </w:rPr>
            </w:pPr>
            <w:r>
              <w:rPr>
                <w:rFonts w:hint="eastAsia" w:cs="宋体"/>
                <w:kern w:val="0"/>
              </w:rPr>
              <w:t>安徽省宿州市经济技术开发区金泰路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690" w:type="dxa"/>
            <w:tcMar>
              <w:top w:w="16" w:type="dxa"/>
              <w:left w:w="16" w:type="dxa"/>
              <w:right w:w="16" w:type="dxa"/>
            </w:tcMar>
            <w:vAlign w:val="center"/>
          </w:tcPr>
          <w:p>
            <w:pPr>
              <w:adjustRightInd w:val="0"/>
              <w:snapToGrid w:val="0"/>
              <w:jc w:val="center"/>
              <w:rPr>
                <w:rFonts w:ascii="宋体"/>
              </w:rPr>
            </w:pPr>
            <w:r>
              <w:rPr>
                <w:rFonts w:hint="eastAsia" w:ascii="宋体" w:hAnsi="宋体" w:cs="宋体"/>
              </w:rPr>
              <w:t>地理坐标</w:t>
            </w:r>
          </w:p>
        </w:tc>
        <w:tc>
          <w:tcPr>
            <w:tcW w:w="7180" w:type="dxa"/>
            <w:gridSpan w:val="3"/>
            <w:vAlign w:val="center"/>
          </w:tcPr>
          <w:p>
            <w:pPr>
              <w:jc w:val="center"/>
              <w:rPr>
                <w:rFonts w:ascii="宋体"/>
              </w:rPr>
            </w:pPr>
            <w:r>
              <w:rPr>
                <w:rFonts w:hint="eastAsia" w:ascii="宋体" w:hAnsi="宋体" w:cs="宋体"/>
              </w:rPr>
              <w:t>（</w:t>
            </w:r>
            <w:r>
              <w:rPr>
                <w:rFonts w:hint="eastAsia"/>
                <w:u w:val="single"/>
              </w:rPr>
              <w:t>117</w:t>
            </w:r>
            <w:r>
              <w:t>度</w:t>
            </w:r>
            <w:r>
              <w:rPr>
                <w:rFonts w:hint="eastAsia"/>
                <w:u w:val="single"/>
              </w:rPr>
              <w:t>1</w:t>
            </w:r>
            <w:r>
              <w:t>分</w:t>
            </w:r>
            <w:r>
              <w:rPr>
                <w:rFonts w:hint="eastAsia"/>
                <w:u w:val="single"/>
              </w:rPr>
              <w:t>46.548</w:t>
            </w:r>
            <w:r>
              <w:t>秒，</w:t>
            </w:r>
            <w:r>
              <w:rPr>
                <w:u w:val="single"/>
              </w:rPr>
              <w:t xml:space="preserve"> 33 </w:t>
            </w:r>
            <w:r>
              <w:t>度</w:t>
            </w:r>
            <w:r>
              <w:rPr>
                <w:u w:val="single"/>
              </w:rPr>
              <w:t xml:space="preserve"> 35 </w:t>
            </w:r>
            <w:r>
              <w:t>分</w:t>
            </w:r>
            <w:r>
              <w:rPr>
                <w:rFonts w:hint="eastAsia"/>
                <w:u w:val="single"/>
              </w:rPr>
              <w:t>40.925</w:t>
            </w:r>
            <w:r>
              <w:rPr>
                <w:rFonts w:hint="eastAsia" w:ascii="宋体" w:hAnsi="宋体" w:cs="宋体"/>
              </w:rPr>
              <w:t>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61" w:hRule="atLeast"/>
          <w:jc w:val="center"/>
        </w:trPr>
        <w:tc>
          <w:tcPr>
            <w:tcW w:w="1690" w:type="dxa"/>
            <w:tcMar>
              <w:top w:w="16" w:type="dxa"/>
              <w:left w:w="16" w:type="dxa"/>
              <w:right w:w="16" w:type="dxa"/>
            </w:tcMar>
            <w:vAlign w:val="center"/>
          </w:tcPr>
          <w:p>
            <w:pPr>
              <w:adjustRightInd w:val="0"/>
              <w:snapToGrid w:val="0"/>
              <w:jc w:val="center"/>
              <w:rPr>
                <w:rFonts w:ascii="宋体"/>
              </w:rPr>
            </w:pPr>
            <w:r>
              <w:rPr>
                <w:rFonts w:hint="eastAsia" w:ascii="宋体" w:hAnsi="宋体" w:cs="宋体"/>
              </w:rPr>
              <w:t>国民经济</w:t>
            </w:r>
          </w:p>
          <w:p>
            <w:pPr>
              <w:adjustRightInd w:val="0"/>
              <w:snapToGrid w:val="0"/>
              <w:jc w:val="center"/>
              <w:rPr>
                <w:rFonts w:ascii="宋体"/>
              </w:rPr>
            </w:pPr>
            <w:r>
              <w:rPr>
                <w:rFonts w:hint="eastAsia" w:ascii="宋体" w:hAnsi="宋体" w:cs="宋体"/>
              </w:rPr>
              <w:t>行业类别</w:t>
            </w:r>
          </w:p>
        </w:tc>
        <w:tc>
          <w:tcPr>
            <w:tcW w:w="2329" w:type="dxa"/>
            <w:vAlign w:val="center"/>
          </w:tcPr>
          <w:p>
            <w:pPr>
              <w:adjustRightInd w:val="0"/>
              <w:snapToGrid w:val="0"/>
              <w:jc w:val="center"/>
              <w:rPr>
                <w:rFonts w:ascii="宋体"/>
              </w:rPr>
            </w:pPr>
            <w:r>
              <w:t>C</w:t>
            </w:r>
            <w:r>
              <w:rPr>
                <w:rFonts w:hint="eastAsia"/>
              </w:rPr>
              <w:t>1329其他饲料加工</w:t>
            </w:r>
          </w:p>
        </w:tc>
        <w:tc>
          <w:tcPr>
            <w:tcW w:w="2212" w:type="dxa"/>
            <w:vAlign w:val="center"/>
          </w:tcPr>
          <w:p>
            <w:pPr>
              <w:adjustRightInd w:val="0"/>
              <w:snapToGrid w:val="0"/>
              <w:jc w:val="center"/>
              <w:rPr>
                <w:rFonts w:ascii="宋体"/>
              </w:rPr>
            </w:pPr>
            <w:bookmarkStart w:id="1" w:name="_Hlk49843745"/>
            <w:r>
              <w:rPr>
                <w:rFonts w:hint="eastAsia" w:ascii="宋体" w:hAnsi="宋体" w:cs="宋体"/>
              </w:rPr>
              <w:t>建设项目</w:t>
            </w:r>
          </w:p>
          <w:p>
            <w:pPr>
              <w:adjustRightInd w:val="0"/>
              <w:snapToGrid w:val="0"/>
              <w:jc w:val="center"/>
              <w:rPr>
                <w:rFonts w:ascii="宋体"/>
              </w:rPr>
            </w:pPr>
            <w:r>
              <w:rPr>
                <w:rFonts w:hint="eastAsia" w:ascii="宋体" w:hAnsi="宋体" w:cs="宋体"/>
              </w:rPr>
              <w:t>行业类别</w:t>
            </w:r>
            <w:bookmarkEnd w:id="1"/>
          </w:p>
        </w:tc>
        <w:tc>
          <w:tcPr>
            <w:tcW w:w="2639" w:type="dxa"/>
            <w:vAlign w:val="center"/>
          </w:tcPr>
          <w:p>
            <w:pPr>
              <w:adjustRightInd w:val="0"/>
              <w:snapToGrid w:val="0"/>
              <w:jc w:val="center"/>
              <w:rPr>
                <w:rFonts w:ascii="宋体"/>
              </w:rPr>
            </w:pPr>
            <w:r>
              <w:rPr>
                <w:rFonts w:hint="eastAsia"/>
              </w:rPr>
              <w:t>十、农副食品加工业</w:t>
            </w:r>
            <w:r>
              <w:t>-</w:t>
            </w:r>
            <w:r>
              <w:rPr>
                <w:rFonts w:hint="eastAsia"/>
              </w:rPr>
              <w:t>15饲料加工132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219" w:hRule="atLeast"/>
          <w:jc w:val="center"/>
        </w:trPr>
        <w:tc>
          <w:tcPr>
            <w:tcW w:w="1690" w:type="dxa"/>
            <w:tcMar>
              <w:top w:w="16" w:type="dxa"/>
              <w:left w:w="16" w:type="dxa"/>
              <w:right w:w="16" w:type="dxa"/>
            </w:tcMar>
            <w:vAlign w:val="center"/>
          </w:tcPr>
          <w:p>
            <w:pPr>
              <w:adjustRightInd w:val="0"/>
              <w:snapToGrid w:val="0"/>
              <w:jc w:val="center"/>
              <w:rPr>
                <w:rFonts w:ascii="宋体"/>
              </w:rPr>
            </w:pPr>
            <w:r>
              <w:rPr>
                <w:rFonts w:hint="eastAsia" w:ascii="宋体" w:hAnsi="宋体" w:cs="宋体"/>
              </w:rPr>
              <w:t>建设性质</w:t>
            </w:r>
          </w:p>
        </w:tc>
        <w:tc>
          <w:tcPr>
            <w:tcW w:w="2329" w:type="dxa"/>
            <w:vAlign w:val="center"/>
          </w:tcPr>
          <w:p>
            <w:pPr>
              <w:jc w:val="left"/>
              <w:rPr>
                <w:rFonts w:ascii="宋体"/>
              </w:rPr>
            </w:pPr>
            <w:r>
              <w:rPr>
                <w:rFonts w:hint="eastAsia" w:ascii="宋体" w:hAnsi="Wingdings 2"/>
                <w:szCs w:val="20"/>
              </w:rPr>
              <w:sym w:font="Wingdings 2" w:char="0052"/>
            </w:r>
            <w:r>
              <w:rPr>
                <w:rFonts w:hint="eastAsia" w:ascii="宋体" w:hAnsi="宋体" w:cs="宋体"/>
              </w:rPr>
              <w:t>新建（迁建）</w:t>
            </w:r>
          </w:p>
          <w:p>
            <w:pPr>
              <w:jc w:val="left"/>
              <w:rPr>
                <w:rFonts w:ascii="宋体"/>
              </w:rPr>
            </w:pPr>
            <w:r>
              <w:rPr>
                <w:rFonts w:hint="eastAsia" w:ascii="宋体" w:hAnsi="宋体" w:cs="宋体"/>
              </w:rPr>
              <w:sym w:font="Wingdings 2" w:char="00A3"/>
            </w:r>
            <w:r>
              <w:rPr>
                <w:rFonts w:hint="eastAsia" w:ascii="宋体" w:hAnsi="宋体" w:cs="宋体"/>
              </w:rPr>
              <w:t>改建</w:t>
            </w:r>
          </w:p>
          <w:p>
            <w:pPr>
              <w:jc w:val="left"/>
              <w:rPr>
                <w:rFonts w:ascii="宋体"/>
              </w:rPr>
            </w:pPr>
            <w:r>
              <w:rPr>
                <w:rFonts w:hint="eastAsia" w:ascii="宋体" w:hAnsi="Wingdings 2"/>
                <w:szCs w:val="20"/>
              </w:rPr>
              <w:sym w:font="Wingdings 2" w:char="00A3"/>
            </w:r>
            <w:r>
              <w:rPr>
                <w:rFonts w:hint="eastAsia" w:ascii="宋体" w:hAnsi="宋体" w:cs="宋体"/>
              </w:rPr>
              <w:t>扩建</w:t>
            </w:r>
          </w:p>
          <w:p>
            <w:pPr>
              <w:jc w:val="left"/>
              <w:rPr>
                <w:rFonts w:ascii="宋体"/>
              </w:rPr>
            </w:pPr>
            <w:r>
              <w:rPr>
                <w:rFonts w:hint="eastAsia" w:ascii="宋体" w:hAnsi="宋体" w:cs="宋体"/>
              </w:rPr>
              <w:sym w:font="Wingdings 2" w:char="00A3"/>
            </w:r>
            <w:r>
              <w:rPr>
                <w:rFonts w:hint="eastAsia" w:ascii="宋体" w:hAnsi="宋体" w:cs="宋体"/>
              </w:rPr>
              <w:t>技术改造</w:t>
            </w:r>
          </w:p>
        </w:tc>
        <w:tc>
          <w:tcPr>
            <w:tcW w:w="2212" w:type="dxa"/>
            <w:vAlign w:val="center"/>
          </w:tcPr>
          <w:p>
            <w:pPr>
              <w:adjustRightInd w:val="0"/>
              <w:snapToGrid w:val="0"/>
              <w:jc w:val="center"/>
              <w:rPr>
                <w:rFonts w:ascii="宋体"/>
              </w:rPr>
            </w:pPr>
            <w:r>
              <w:rPr>
                <w:rFonts w:hint="eastAsia" w:ascii="宋体" w:hAnsi="宋体" w:cs="宋体"/>
              </w:rPr>
              <w:t>建设项目</w:t>
            </w:r>
          </w:p>
          <w:p>
            <w:pPr>
              <w:adjustRightInd w:val="0"/>
              <w:snapToGrid w:val="0"/>
              <w:jc w:val="center"/>
              <w:rPr>
                <w:rFonts w:ascii="宋体"/>
              </w:rPr>
            </w:pPr>
            <w:r>
              <w:rPr>
                <w:rFonts w:hint="eastAsia" w:ascii="宋体" w:hAnsi="宋体" w:cs="宋体"/>
              </w:rPr>
              <w:t>申报情形</w:t>
            </w:r>
          </w:p>
        </w:tc>
        <w:tc>
          <w:tcPr>
            <w:tcW w:w="2639" w:type="dxa"/>
            <w:vAlign w:val="center"/>
          </w:tcPr>
          <w:p>
            <w:pPr>
              <w:jc w:val="left"/>
              <w:rPr>
                <w:rFonts w:ascii="宋体"/>
              </w:rPr>
            </w:pPr>
            <w:r>
              <w:rPr>
                <w:rFonts w:hint="eastAsia" w:ascii="宋体" w:hAnsi="Wingdings 2"/>
                <w:szCs w:val="20"/>
              </w:rPr>
              <w:sym w:font="Wingdings 2" w:char="F052"/>
            </w:r>
            <w:r>
              <w:rPr>
                <w:rFonts w:hint="eastAsia" w:ascii="宋体" w:hAnsi="宋体" w:cs="宋体"/>
              </w:rPr>
              <w:t>首次申报项目</w:t>
            </w:r>
          </w:p>
          <w:p>
            <w:pPr>
              <w:jc w:val="left"/>
              <w:rPr>
                <w:rFonts w:ascii="宋体"/>
              </w:rPr>
            </w:pPr>
            <w:r>
              <w:rPr>
                <w:rFonts w:hint="eastAsia" w:ascii="宋体" w:hAnsi="宋体" w:cs="宋体"/>
              </w:rPr>
              <w:sym w:font="Wingdings 2" w:char="00A3"/>
            </w:r>
            <w:r>
              <w:rPr>
                <w:rFonts w:hint="eastAsia" w:ascii="宋体" w:hAnsi="宋体" w:cs="宋体"/>
              </w:rPr>
              <w:t>不予批准后再次申报项目</w:t>
            </w:r>
          </w:p>
          <w:p>
            <w:pPr>
              <w:jc w:val="left"/>
              <w:rPr>
                <w:rFonts w:ascii="宋体"/>
              </w:rPr>
            </w:pPr>
            <w:r>
              <w:rPr>
                <w:rFonts w:hint="eastAsia" w:ascii="宋体" w:hAnsi="Wingdings 2"/>
                <w:szCs w:val="20"/>
              </w:rPr>
              <w:sym w:font="Wingdings 2" w:char="00A3"/>
            </w:r>
            <w:r>
              <w:rPr>
                <w:rFonts w:hint="eastAsia" w:ascii="宋体" w:hAnsi="宋体" w:cs="宋体"/>
              </w:rPr>
              <w:t>超五年重新审核项目</w:t>
            </w:r>
          </w:p>
          <w:p>
            <w:pPr>
              <w:jc w:val="left"/>
              <w:rPr>
                <w:rFonts w:ascii="宋体"/>
              </w:rPr>
            </w:pPr>
            <w:r>
              <w:rPr>
                <w:rFonts w:hint="eastAsia" w:ascii="宋体" w:hAnsi="宋体" w:cs="宋体"/>
              </w:rPr>
              <w:sym w:font="Wingdings 2" w:char="00A3"/>
            </w:r>
            <w:r>
              <w:rPr>
                <w:rFonts w:hint="eastAsia" w:ascii="宋体" w:hAnsi="宋体" w:cs="宋体"/>
              </w:rPr>
              <w:t>重大变动重新报批项目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851" w:hRule="atLeast"/>
          <w:jc w:val="center"/>
        </w:trPr>
        <w:tc>
          <w:tcPr>
            <w:tcW w:w="1690" w:type="dxa"/>
            <w:tcMar>
              <w:top w:w="16" w:type="dxa"/>
              <w:left w:w="16" w:type="dxa"/>
              <w:right w:w="16" w:type="dxa"/>
            </w:tcMar>
            <w:vAlign w:val="center"/>
          </w:tcPr>
          <w:p>
            <w:pPr>
              <w:adjustRightInd w:val="0"/>
              <w:snapToGrid w:val="0"/>
              <w:jc w:val="center"/>
              <w:rPr>
                <w:rFonts w:ascii="宋体"/>
              </w:rPr>
            </w:pPr>
            <w:r>
              <w:rPr>
                <w:rFonts w:hint="eastAsia" w:ascii="宋体" w:hAnsi="宋体" w:cs="宋体"/>
              </w:rPr>
              <w:t>项目审批（核准</w:t>
            </w:r>
            <w:r>
              <w:rPr>
                <w:rFonts w:ascii="宋体" w:hAnsi="宋体" w:cs="宋体"/>
              </w:rPr>
              <w:t>/</w:t>
            </w:r>
          </w:p>
          <w:p>
            <w:pPr>
              <w:adjustRightInd w:val="0"/>
              <w:snapToGrid w:val="0"/>
              <w:jc w:val="center"/>
              <w:rPr>
                <w:rFonts w:ascii="宋体"/>
              </w:rPr>
            </w:pPr>
            <w:r>
              <w:rPr>
                <w:rFonts w:hint="eastAsia" w:ascii="宋体" w:hAnsi="宋体" w:cs="宋体"/>
              </w:rPr>
              <w:t>备案）部门（选填）</w:t>
            </w:r>
          </w:p>
        </w:tc>
        <w:tc>
          <w:tcPr>
            <w:tcW w:w="2329" w:type="dxa"/>
            <w:vAlign w:val="center"/>
          </w:tcPr>
          <w:p>
            <w:pPr>
              <w:adjustRightInd w:val="0"/>
              <w:snapToGrid w:val="0"/>
              <w:jc w:val="center"/>
              <w:rPr>
                <w:rFonts w:ascii="宋体"/>
              </w:rPr>
            </w:pPr>
            <w:r>
              <w:rPr>
                <w:rFonts w:hint="eastAsia" w:ascii="宋体"/>
              </w:rPr>
              <w:t>宿州经开区经发局</w:t>
            </w:r>
          </w:p>
        </w:tc>
        <w:tc>
          <w:tcPr>
            <w:tcW w:w="2212" w:type="dxa"/>
            <w:vAlign w:val="center"/>
          </w:tcPr>
          <w:p>
            <w:pPr>
              <w:adjustRightInd w:val="0"/>
              <w:snapToGrid w:val="0"/>
              <w:jc w:val="center"/>
              <w:rPr>
                <w:rFonts w:ascii="宋体"/>
              </w:rPr>
            </w:pPr>
            <w:r>
              <w:rPr>
                <w:rFonts w:hint="eastAsia" w:ascii="宋体" w:hAnsi="宋体" w:cs="宋体"/>
              </w:rPr>
              <w:t>项目审批（核准</w:t>
            </w:r>
            <w:r>
              <w:rPr>
                <w:rFonts w:ascii="宋体" w:hAnsi="宋体" w:cs="宋体"/>
              </w:rPr>
              <w:t>/</w:t>
            </w:r>
          </w:p>
          <w:p>
            <w:pPr>
              <w:adjustRightInd w:val="0"/>
              <w:snapToGrid w:val="0"/>
              <w:jc w:val="center"/>
              <w:rPr>
                <w:rFonts w:ascii="宋体"/>
              </w:rPr>
            </w:pPr>
            <w:r>
              <w:rPr>
                <w:rFonts w:hint="eastAsia" w:ascii="宋体" w:hAnsi="宋体" w:cs="宋体"/>
              </w:rPr>
              <w:t>备案）文号（选填）</w:t>
            </w:r>
          </w:p>
        </w:tc>
        <w:tc>
          <w:tcPr>
            <w:tcW w:w="2639" w:type="dxa"/>
            <w:vAlign w:val="center"/>
          </w:tcPr>
          <w:p>
            <w:pPr>
              <w:adjustRightInd w:val="0"/>
              <w:snapToGrid w:val="0"/>
              <w:jc w:val="center"/>
              <w:rPr>
                <w:rFonts w:ascii="宋体"/>
              </w:rPr>
            </w:pPr>
            <w:r>
              <w:rPr>
                <w:rFonts w:hint="eastAsia" w:ascii="宋体"/>
              </w:rPr>
              <w:t>宿开经审批</w:t>
            </w:r>
            <w:r>
              <w:rPr>
                <w:rFonts w:hint="eastAsia" w:ascii="宋体" w:hAnsi="宋体" w:cs="宋体"/>
              </w:rPr>
              <w:t>[</w:t>
            </w:r>
            <w:r>
              <w:t>2022</w:t>
            </w:r>
            <w:r>
              <w:rPr>
                <w:rFonts w:hint="eastAsia" w:ascii="宋体" w:hAnsi="宋体" w:cs="宋体"/>
              </w:rPr>
              <w:t>]</w:t>
            </w:r>
            <w:r>
              <w:t>001</w:t>
            </w:r>
            <w:r>
              <w:rPr>
                <w:rFonts w:hint="eastAsia" w:ascii="宋体"/>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690" w:type="dxa"/>
            <w:tcMar>
              <w:top w:w="16" w:type="dxa"/>
              <w:left w:w="16" w:type="dxa"/>
              <w:right w:w="16" w:type="dxa"/>
            </w:tcMar>
            <w:vAlign w:val="center"/>
          </w:tcPr>
          <w:p>
            <w:pPr>
              <w:adjustRightInd w:val="0"/>
              <w:snapToGrid w:val="0"/>
              <w:jc w:val="center"/>
              <w:rPr>
                <w:rFonts w:ascii="宋体"/>
              </w:rPr>
            </w:pPr>
            <w:r>
              <w:rPr>
                <w:rFonts w:hint="eastAsia" w:ascii="宋体" w:hAnsi="宋体" w:cs="宋体"/>
              </w:rPr>
              <w:t>总投资（万元）</w:t>
            </w:r>
          </w:p>
        </w:tc>
        <w:tc>
          <w:tcPr>
            <w:tcW w:w="2329" w:type="dxa"/>
            <w:vAlign w:val="center"/>
          </w:tcPr>
          <w:p>
            <w:pPr>
              <w:adjustRightInd w:val="0"/>
              <w:snapToGrid w:val="0"/>
              <w:jc w:val="center"/>
            </w:pPr>
            <w:r>
              <w:rPr>
                <w:rFonts w:hint="eastAsia"/>
              </w:rPr>
              <w:t>13000</w:t>
            </w:r>
          </w:p>
        </w:tc>
        <w:tc>
          <w:tcPr>
            <w:tcW w:w="2212" w:type="dxa"/>
            <w:tcMar>
              <w:top w:w="16" w:type="dxa"/>
              <w:left w:w="16" w:type="dxa"/>
              <w:right w:w="16" w:type="dxa"/>
            </w:tcMar>
            <w:vAlign w:val="center"/>
          </w:tcPr>
          <w:p>
            <w:pPr>
              <w:adjustRightInd w:val="0"/>
              <w:snapToGrid w:val="0"/>
              <w:jc w:val="center"/>
            </w:pPr>
            <w:r>
              <w:t>环保投资（万元）</w:t>
            </w:r>
          </w:p>
        </w:tc>
        <w:tc>
          <w:tcPr>
            <w:tcW w:w="2639" w:type="dxa"/>
            <w:vAlign w:val="center"/>
          </w:tcPr>
          <w:p>
            <w:pPr>
              <w:adjustRightInd w:val="0"/>
              <w:snapToGrid w:val="0"/>
              <w:jc w:val="center"/>
            </w:pPr>
            <w:r>
              <w:rPr>
                <w:rFonts w:hint="eastAsia"/>
              </w:rPr>
              <w:t>108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690" w:type="dxa"/>
            <w:tcMar>
              <w:top w:w="16" w:type="dxa"/>
              <w:left w:w="16" w:type="dxa"/>
              <w:right w:w="16" w:type="dxa"/>
            </w:tcMar>
            <w:vAlign w:val="center"/>
          </w:tcPr>
          <w:p>
            <w:pPr>
              <w:adjustRightInd w:val="0"/>
              <w:snapToGrid w:val="0"/>
              <w:jc w:val="center"/>
              <w:rPr>
                <w:rFonts w:ascii="宋体"/>
              </w:rPr>
            </w:pPr>
            <w:r>
              <w:rPr>
                <w:rFonts w:hint="eastAsia" w:ascii="宋体" w:hAnsi="宋体" w:cs="宋体"/>
              </w:rPr>
              <w:t>环保投资占比（</w:t>
            </w:r>
            <w:r>
              <w:t>%</w:t>
            </w:r>
            <w:r>
              <w:rPr>
                <w:rFonts w:hint="eastAsia" w:ascii="宋体" w:hAnsi="宋体" w:cs="宋体"/>
              </w:rPr>
              <w:t>）</w:t>
            </w:r>
          </w:p>
        </w:tc>
        <w:tc>
          <w:tcPr>
            <w:tcW w:w="2329" w:type="dxa"/>
            <w:vAlign w:val="center"/>
          </w:tcPr>
          <w:p>
            <w:pPr>
              <w:adjustRightInd w:val="0"/>
              <w:snapToGrid w:val="0"/>
              <w:jc w:val="center"/>
            </w:pPr>
            <w:r>
              <w:rPr>
                <w:rFonts w:hint="eastAsia"/>
              </w:rPr>
              <w:t>0.83</w:t>
            </w:r>
          </w:p>
        </w:tc>
        <w:tc>
          <w:tcPr>
            <w:tcW w:w="2212" w:type="dxa"/>
            <w:tcMar>
              <w:top w:w="16" w:type="dxa"/>
              <w:left w:w="16" w:type="dxa"/>
              <w:right w:w="16" w:type="dxa"/>
            </w:tcMar>
            <w:vAlign w:val="center"/>
          </w:tcPr>
          <w:p>
            <w:pPr>
              <w:adjustRightInd w:val="0"/>
              <w:snapToGrid w:val="0"/>
              <w:jc w:val="center"/>
            </w:pPr>
            <w:r>
              <w:t>施工工期</w:t>
            </w:r>
          </w:p>
        </w:tc>
        <w:tc>
          <w:tcPr>
            <w:tcW w:w="2639" w:type="dxa"/>
            <w:vAlign w:val="center"/>
          </w:tcPr>
          <w:p>
            <w:pPr>
              <w:adjustRightInd w:val="0"/>
              <w:snapToGrid w:val="0"/>
              <w:jc w:val="center"/>
            </w:pPr>
            <w:r>
              <w:rPr>
                <w:rFonts w:hint="eastAsia"/>
              </w:rPr>
              <w:t>12月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690" w:type="dxa"/>
            <w:tcMar>
              <w:top w:w="16" w:type="dxa"/>
              <w:left w:w="16" w:type="dxa"/>
              <w:right w:w="16" w:type="dxa"/>
            </w:tcMar>
            <w:vAlign w:val="center"/>
          </w:tcPr>
          <w:p>
            <w:pPr>
              <w:adjustRightInd w:val="0"/>
              <w:snapToGrid w:val="0"/>
              <w:jc w:val="center"/>
              <w:rPr>
                <w:rFonts w:ascii="宋体"/>
              </w:rPr>
            </w:pPr>
            <w:r>
              <w:rPr>
                <w:rFonts w:hint="eastAsia" w:ascii="宋体" w:hAnsi="宋体" w:cs="宋体"/>
              </w:rPr>
              <w:t>是否开工建设</w:t>
            </w:r>
          </w:p>
        </w:tc>
        <w:tc>
          <w:tcPr>
            <w:tcW w:w="2329" w:type="dxa"/>
            <w:vAlign w:val="center"/>
          </w:tcPr>
          <w:p>
            <w:pPr>
              <w:adjustRightInd w:val="0"/>
              <w:snapToGrid w:val="0"/>
              <w:rPr>
                <w:rFonts w:ascii="宋体"/>
              </w:rPr>
            </w:pPr>
            <w:r>
              <w:rPr>
                <w:rFonts w:hint="eastAsia" w:ascii="宋体" w:hAnsi="Wingdings 2"/>
                <w:szCs w:val="20"/>
              </w:rPr>
              <w:sym w:font="Wingdings 2" w:char="F052"/>
            </w:r>
            <w:r>
              <w:rPr>
                <w:rFonts w:hint="eastAsia" w:ascii="宋体" w:hAnsi="宋体" w:cs="宋体"/>
              </w:rPr>
              <w:t>否</w:t>
            </w:r>
          </w:p>
          <w:p>
            <w:pPr>
              <w:adjustRightInd w:val="0"/>
              <w:snapToGrid w:val="0"/>
              <w:rPr>
                <w:rFonts w:ascii="宋体"/>
              </w:rPr>
            </w:pPr>
            <w:r>
              <w:rPr>
                <w:rFonts w:hint="eastAsia" w:ascii="宋体" w:hAnsi="Wingdings 2"/>
                <w:szCs w:val="20"/>
              </w:rPr>
              <w:sym w:font="Wingdings 2" w:char="F0A3"/>
            </w:r>
            <w:r>
              <w:rPr>
                <w:rFonts w:hint="eastAsia" w:ascii="宋体" w:hAnsi="宋体" w:cs="宋体"/>
                <w:color w:val="000000"/>
              </w:rPr>
              <w:t>是</w:t>
            </w:r>
            <w:r>
              <w:rPr>
                <w:rFonts w:hint="eastAsia" w:ascii="宋体" w:hAnsi="宋体" w:cs="宋体"/>
              </w:rPr>
              <w:t>：</w:t>
            </w:r>
          </w:p>
        </w:tc>
        <w:tc>
          <w:tcPr>
            <w:tcW w:w="2212" w:type="dxa"/>
            <w:tcMar>
              <w:top w:w="16" w:type="dxa"/>
              <w:left w:w="16" w:type="dxa"/>
              <w:right w:w="16" w:type="dxa"/>
            </w:tcMar>
            <w:vAlign w:val="center"/>
          </w:tcPr>
          <w:p>
            <w:pPr>
              <w:adjustRightInd w:val="0"/>
              <w:snapToGrid w:val="0"/>
              <w:jc w:val="center"/>
              <w:rPr>
                <w:rFonts w:ascii="宋体"/>
                <w:spacing w:val="-6"/>
              </w:rPr>
            </w:pPr>
            <w:r>
              <w:rPr>
                <w:rFonts w:hint="eastAsia" w:ascii="宋体" w:hAnsi="宋体" w:cs="宋体"/>
                <w:spacing w:val="-6"/>
              </w:rPr>
              <w:t>用地（用海）</w:t>
            </w:r>
          </w:p>
          <w:p>
            <w:pPr>
              <w:adjustRightInd w:val="0"/>
              <w:snapToGrid w:val="0"/>
              <w:jc w:val="center"/>
              <w:rPr>
                <w:rFonts w:ascii="宋体"/>
              </w:rPr>
            </w:pPr>
            <w:r>
              <w:rPr>
                <w:rFonts w:hint="eastAsia" w:ascii="宋体" w:hAnsi="宋体" w:cs="宋体"/>
                <w:spacing w:val="-6"/>
              </w:rPr>
              <w:t>面积（</w:t>
            </w:r>
            <w:r>
              <w:rPr>
                <w:spacing w:val="-6"/>
              </w:rPr>
              <w:t>m</w:t>
            </w:r>
            <w:r>
              <w:rPr>
                <w:spacing w:val="-6"/>
                <w:vertAlign w:val="superscript"/>
              </w:rPr>
              <w:t>2</w:t>
            </w:r>
            <w:r>
              <w:rPr>
                <w:rFonts w:hint="eastAsia" w:ascii="宋体" w:hAnsi="宋体" w:cs="宋体"/>
                <w:spacing w:val="-6"/>
              </w:rPr>
              <w:t>）</w:t>
            </w:r>
          </w:p>
        </w:tc>
        <w:tc>
          <w:tcPr>
            <w:tcW w:w="2639" w:type="dxa"/>
            <w:vAlign w:val="center"/>
          </w:tcPr>
          <w:p>
            <w:pPr>
              <w:adjustRightInd w:val="0"/>
              <w:snapToGrid w:val="0"/>
              <w:jc w:val="center"/>
              <w:rPr>
                <w:rFonts w:ascii="宋体"/>
              </w:rPr>
            </w:pPr>
            <w:r>
              <w:t>33300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690" w:type="dxa"/>
            <w:vAlign w:val="center"/>
          </w:tcPr>
          <w:p>
            <w:pPr>
              <w:autoSpaceDE w:val="0"/>
              <w:autoSpaceDN w:val="0"/>
              <w:adjustRightInd w:val="0"/>
              <w:snapToGrid w:val="0"/>
              <w:jc w:val="center"/>
              <w:rPr>
                <w:rFonts w:ascii="宋体"/>
                <w:kern w:val="0"/>
              </w:rPr>
            </w:pPr>
            <w:r>
              <w:rPr>
                <w:rFonts w:hint="eastAsia" w:ascii="宋体" w:hAnsi="宋体" w:cs="宋体"/>
                <w:kern w:val="0"/>
              </w:rPr>
              <w:t>专项评价设置情况</w:t>
            </w:r>
          </w:p>
        </w:tc>
        <w:tc>
          <w:tcPr>
            <w:tcW w:w="7180" w:type="dxa"/>
            <w:gridSpan w:val="3"/>
            <w:vAlign w:val="center"/>
          </w:tcPr>
          <w:p>
            <w:pPr>
              <w:autoSpaceDE w:val="0"/>
              <w:autoSpaceDN w:val="0"/>
              <w:adjustRightInd w:val="0"/>
              <w:snapToGrid w:val="0"/>
              <w:jc w:val="center"/>
              <w:rPr>
                <w:rFonts w:ascii="宋体"/>
                <w:kern w:val="0"/>
              </w:rPr>
            </w:pPr>
            <w:r>
              <w:rPr>
                <w:rFonts w:hint="eastAsia" w:ascii="宋体" w:hAnsi="宋体" w:cs="宋体"/>
                <w:kern w:val="0"/>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960" w:hRule="atLeast"/>
          <w:jc w:val="center"/>
        </w:trPr>
        <w:tc>
          <w:tcPr>
            <w:tcW w:w="1690" w:type="dxa"/>
            <w:vAlign w:val="center"/>
          </w:tcPr>
          <w:p>
            <w:pPr>
              <w:autoSpaceDE w:val="0"/>
              <w:autoSpaceDN w:val="0"/>
              <w:adjustRightInd w:val="0"/>
              <w:snapToGrid w:val="0"/>
              <w:jc w:val="center"/>
              <w:rPr>
                <w:rFonts w:ascii="宋体"/>
                <w:kern w:val="0"/>
              </w:rPr>
            </w:pPr>
            <w:r>
              <w:rPr>
                <w:rFonts w:hint="eastAsia" w:ascii="宋体" w:hAnsi="宋体" w:cs="宋体"/>
              </w:rPr>
              <w:t>规划情况</w:t>
            </w:r>
          </w:p>
        </w:tc>
        <w:tc>
          <w:tcPr>
            <w:tcW w:w="7180" w:type="dxa"/>
            <w:gridSpan w:val="3"/>
            <w:vAlign w:val="center"/>
          </w:tcPr>
          <w:p>
            <w:pPr>
              <w:autoSpaceDE w:val="0"/>
              <w:autoSpaceDN w:val="0"/>
              <w:adjustRightInd w:val="0"/>
              <w:snapToGrid w:val="0"/>
              <w:spacing w:line="360" w:lineRule="auto"/>
              <w:jc w:val="left"/>
              <w:rPr>
                <w:kern w:val="0"/>
                <w:sz w:val="24"/>
                <w:szCs w:val="24"/>
              </w:rPr>
            </w:pPr>
            <w:r>
              <w:rPr>
                <w:rFonts w:hint="eastAsia" w:cs="宋体"/>
                <w:kern w:val="0"/>
                <w:sz w:val="24"/>
                <w:szCs w:val="24"/>
              </w:rPr>
              <w:t>规划名称：《宿州经济技术开发区总体发展规划（</w:t>
            </w:r>
            <w:r>
              <w:rPr>
                <w:kern w:val="0"/>
                <w:sz w:val="24"/>
                <w:szCs w:val="24"/>
              </w:rPr>
              <w:t>2016-2030</w:t>
            </w:r>
            <w:r>
              <w:rPr>
                <w:rFonts w:hint="eastAsia" w:cs="宋体"/>
                <w:kern w:val="0"/>
                <w:sz w:val="24"/>
                <w:szCs w:val="24"/>
              </w:rPr>
              <w:t>）》</w:t>
            </w:r>
          </w:p>
          <w:p>
            <w:pPr>
              <w:autoSpaceDE w:val="0"/>
              <w:autoSpaceDN w:val="0"/>
              <w:adjustRightInd w:val="0"/>
              <w:snapToGrid w:val="0"/>
              <w:spacing w:line="360" w:lineRule="auto"/>
              <w:jc w:val="left"/>
              <w:rPr>
                <w:kern w:val="0"/>
                <w:sz w:val="24"/>
                <w:szCs w:val="24"/>
              </w:rPr>
            </w:pPr>
            <w:r>
              <w:rPr>
                <w:rFonts w:hint="eastAsia" w:cs="宋体"/>
                <w:kern w:val="0"/>
                <w:sz w:val="24"/>
                <w:szCs w:val="24"/>
              </w:rPr>
              <w:t>审批机关：安徽省人民政府</w:t>
            </w:r>
          </w:p>
          <w:p>
            <w:pPr>
              <w:autoSpaceDE w:val="0"/>
              <w:autoSpaceDN w:val="0"/>
              <w:adjustRightInd w:val="0"/>
              <w:snapToGrid w:val="0"/>
              <w:spacing w:line="360" w:lineRule="auto"/>
              <w:jc w:val="left"/>
              <w:rPr>
                <w:color w:val="000000"/>
              </w:rPr>
            </w:pPr>
            <w:r>
              <w:rPr>
                <w:rFonts w:hint="eastAsia" w:cs="宋体"/>
                <w:kern w:val="0"/>
                <w:sz w:val="24"/>
                <w:szCs w:val="24"/>
              </w:rPr>
              <w:t>审批文件名称及文号：《关于同意设立宿州经济技术开发区的批复》（皖政秘【</w:t>
            </w:r>
            <w:r>
              <w:rPr>
                <w:kern w:val="0"/>
                <w:sz w:val="24"/>
                <w:szCs w:val="24"/>
              </w:rPr>
              <w:t>2001</w:t>
            </w:r>
            <w:r>
              <w:rPr>
                <w:rFonts w:hint="eastAsia" w:cs="宋体"/>
                <w:kern w:val="0"/>
                <w:sz w:val="24"/>
                <w:szCs w:val="24"/>
              </w:rPr>
              <w:t>】</w:t>
            </w:r>
            <w:r>
              <w:rPr>
                <w:kern w:val="0"/>
                <w:sz w:val="24"/>
                <w:szCs w:val="24"/>
              </w:rPr>
              <w:t>102</w:t>
            </w:r>
            <w:r>
              <w:rPr>
                <w:rFonts w:hint="eastAsia" w:cs="宋体"/>
                <w:kern w:val="0"/>
                <w:sz w:val="24"/>
                <w:szCs w:val="24"/>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477" w:hRule="atLeast"/>
          <w:jc w:val="center"/>
        </w:trPr>
        <w:tc>
          <w:tcPr>
            <w:tcW w:w="1690" w:type="dxa"/>
            <w:vAlign w:val="center"/>
          </w:tcPr>
          <w:p>
            <w:pPr>
              <w:adjustRightInd w:val="0"/>
              <w:snapToGrid w:val="0"/>
              <w:jc w:val="center"/>
              <w:rPr>
                <w:rFonts w:ascii="宋体"/>
              </w:rPr>
            </w:pPr>
            <w:r>
              <w:rPr>
                <w:rFonts w:hint="eastAsia" w:ascii="宋体" w:hAnsi="宋体" w:cs="宋体"/>
              </w:rPr>
              <w:t>规划环境影响</w:t>
            </w:r>
          </w:p>
          <w:p>
            <w:pPr>
              <w:adjustRightInd w:val="0"/>
              <w:snapToGrid w:val="0"/>
              <w:jc w:val="center"/>
              <w:rPr>
                <w:rFonts w:ascii="宋体"/>
                <w:kern w:val="0"/>
              </w:rPr>
            </w:pPr>
            <w:r>
              <w:rPr>
                <w:rFonts w:hint="eastAsia" w:ascii="宋体" w:hAnsi="宋体" w:cs="宋体"/>
              </w:rPr>
              <w:t>评价情况</w:t>
            </w:r>
          </w:p>
        </w:tc>
        <w:tc>
          <w:tcPr>
            <w:tcW w:w="7180" w:type="dxa"/>
            <w:gridSpan w:val="3"/>
            <w:vAlign w:val="center"/>
          </w:tcPr>
          <w:p>
            <w:pPr>
              <w:spacing w:line="360" w:lineRule="auto"/>
              <w:jc w:val="left"/>
              <w:rPr>
                <w:kern w:val="0"/>
                <w:sz w:val="24"/>
                <w:szCs w:val="24"/>
              </w:rPr>
            </w:pPr>
            <w:r>
              <w:rPr>
                <w:rFonts w:hint="eastAsia" w:cs="宋体"/>
                <w:kern w:val="0"/>
                <w:sz w:val="24"/>
                <w:szCs w:val="24"/>
              </w:rPr>
              <w:t>规划环境影响评价文件名称：《宿州经济技术开发区总体发展规划环境影响报告书》</w:t>
            </w:r>
          </w:p>
          <w:p>
            <w:pPr>
              <w:spacing w:line="360" w:lineRule="auto"/>
              <w:jc w:val="left"/>
              <w:rPr>
                <w:kern w:val="0"/>
                <w:sz w:val="24"/>
                <w:szCs w:val="24"/>
              </w:rPr>
            </w:pPr>
            <w:r>
              <w:rPr>
                <w:rFonts w:hint="eastAsia" w:cs="宋体"/>
                <w:kern w:val="0"/>
                <w:sz w:val="24"/>
                <w:szCs w:val="24"/>
              </w:rPr>
              <w:t>审查机关：原安徽省环境保护厅</w:t>
            </w:r>
          </w:p>
          <w:p>
            <w:pPr>
              <w:spacing w:line="360" w:lineRule="auto"/>
              <w:jc w:val="left"/>
              <w:rPr>
                <w:rFonts w:ascii="宋体"/>
                <w:color w:val="000000"/>
                <w:kern w:val="0"/>
              </w:rPr>
            </w:pPr>
            <w:r>
              <w:rPr>
                <w:rFonts w:hint="eastAsia" w:cs="宋体"/>
                <w:kern w:val="0"/>
                <w:sz w:val="24"/>
                <w:szCs w:val="24"/>
              </w:rPr>
              <w:t>审查文件名称及文号：《安徽省环保厅关于宿州经济技术开发区总体发展规划环境影响报告书审查意见的函》（皖环函【</w:t>
            </w:r>
            <w:r>
              <w:rPr>
                <w:kern w:val="0"/>
                <w:sz w:val="24"/>
                <w:szCs w:val="24"/>
              </w:rPr>
              <w:t>2016</w:t>
            </w:r>
            <w:r>
              <w:rPr>
                <w:rFonts w:hint="eastAsia" w:cs="宋体"/>
                <w:kern w:val="0"/>
                <w:sz w:val="24"/>
                <w:szCs w:val="24"/>
              </w:rPr>
              <w:t>】</w:t>
            </w:r>
            <w:r>
              <w:rPr>
                <w:kern w:val="0"/>
                <w:sz w:val="24"/>
                <w:szCs w:val="24"/>
              </w:rPr>
              <w:t>622</w:t>
            </w:r>
            <w:r>
              <w:rPr>
                <w:rFonts w:hint="eastAsia" w:cs="宋体"/>
                <w:kern w:val="0"/>
                <w:sz w:val="24"/>
                <w:szCs w:val="24"/>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342" w:hRule="atLeast"/>
          <w:jc w:val="center"/>
        </w:trPr>
        <w:tc>
          <w:tcPr>
            <w:tcW w:w="1690" w:type="dxa"/>
            <w:vAlign w:val="center"/>
          </w:tcPr>
          <w:p>
            <w:pPr>
              <w:autoSpaceDE w:val="0"/>
              <w:autoSpaceDN w:val="0"/>
              <w:adjustRightInd w:val="0"/>
              <w:snapToGrid w:val="0"/>
              <w:jc w:val="center"/>
              <w:rPr>
                <w:rFonts w:ascii="宋体"/>
                <w:kern w:val="0"/>
              </w:rPr>
            </w:pPr>
            <w:r>
              <w:rPr>
                <w:rFonts w:hint="eastAsia" w:ascii="宋体" w:hAnsi="宋体" w:cs="宋体"/>
                <w:kern w:val="0"/>
              </w:rPr>
              <w:t>规划及规划环境</w:t>
            </w:r>
          </w:p>
          <w:p>
            <w:pPr>
              <w:autoSpaceDE w:val="0"/>
              <w:autoSpaceDN w:val="0"/>
              <w:adjustRightInd w:val="0"/>
              <w:snapToGrid w:val="0"/>
              <w:jc w:val="center"/>
              <w:rPr>
                <w:rFonts w:ascii="宋体"/>
                <w:kern w:val="0"/>
              </w:rPr>
            </w:pPr>
            <w:r>
              <w:rPr>
                <w:rFonts w:hint="eastAsia" w:ascii="宋体" w:hAnsi="宋体" w:cs="宋体"/>
                <w:kern w:val="0"/>
              </w:rPr>
              <w:t>影响评价符合性分析</w:t>
            </w:r>
          </w:p>
        </w:tc>
        <w:tc>
          <w:tcPr>
            <w:tcW w:w="7180" w:type="dxa"/>
            <w:gridSpan w:val="3"/>
          </w:tcPr>
          <w:p>
            <w:pPr>
              <w:spacing w:line="360" w:lineRule="auto"/>
              <w:ind w:firstLine="482" w:firstLineChars="200"/>
              <w:rPr>
                <w:rStyle w:val="28"/>
                <w:kern w:val="0"/>
              </w:rPr>
            </w:pPr>
            <w:r>
              <w:rPr>
                <w:rFonts w:hint="eastAsia" w:cs="宋体"/>
                <w:b/>
                <w:bCs/>
                <w:sz w:val="24"/>
                <w:szCs w:val="24"/>
              </w:rPr>
              <w:t>一、规划符合性分析</w:t>
            </w:r>
          </w:p>
          <w:p>
            <w:pPr>
              <w:spacing w:line="360" w:lineRule="auto"/>
              <w:ind w:firstLine="480" w:firstLineChars="200"/>
              <w:rPr>
                <w:sz w:val="24"/>
                <w:szCs w:val="24"/>
              </w:rPr>
            </w:pPr>
            <w:r>
              <w:rPr>
                <w:bCs/>
                <w:color w:val="auto"/>
                <w:kern w:val="0"/>
                <w:sz w:val="24"/>
                <w:szCs w:val="24"/>
              </w:rPr>
              <w:t>根据《宿州经济技术开发区总体发展规划》（2016-2030）</w:t>
            </w:r>
            <w:r>
              <w:rPr>
                <w:rFonts w:hint="eastAsia"/>
                <w:bCs/>
                <w:color w:val="auto"/>
                <w:kern w:val="0"/>
                <w:sz w:val="24"/>
                <w:szCs w:val="24"/>
              </w:rPr>
              <w:t>，</w:t>
            </w:r>
            <w:r>
              <w:rPr>
                <w:rFonts w:hint="eastAsia" w:cs="宋体"/>
                <w:color w:val="auto"/>
                <w:sz w:val="24"/>
                <w:szCs w:val="24"/>
              </w:rPr>
              <w:t>宿州经济技术开发区首位产业为生物医药产业、鞋帽服装产业，主导产业为高端装备制造产业、新材料和新能源产业，延伸产业为商贸物流业，配套产业为生产性和生活性服务业；禁止建设国家明令禁止的项目；禁止新建小型燃煤锅炉；本项目</w:t>
            </w:r>
            <w:r>
              <w:rPr>
                <w:rFonts w:hint="eastAsia" w:cs="宋体"/>
                <w:color w:val="auto"/>
                <w:sz w:val="24"/>
                <w:szCs w:val="24"/>
                <w:lang w:eastAsia="zh-CN"/>
              </w:rPr>
              <w:t>为搬迁项目，</w:t>
            </w:r>
            <w:r>
              <w:rPr>
                <w:rFonts w:hint="eastAsia" w:cs="宋体"/>
                <w:color w:val="auto"/>
                <w:sz w:val="24"/>
                <w:szCs w:val="24"/>
              </w:rPr>
              <w:t>建设地点</w:t>
            </w:r>
            <w:r>
              <w:rPr>
                <w:rFonts w:hint="eastAsia" w:cs="宋体"/>
                <w:color w:val="auto"/>
                <w:kern w:val="0"/>
                <w:sz w:val="24"/>
                <w:szCs w:val="24"/>
              </w:rPr>
              <w:t>位于宿州市经济技术开发区金泰路</w:t>
            </w:r>
            <w:r>
              <w:rPr>
                <w:rFonts w:hint="eastAsia" w:cs="宋体"/>
                <w:color w:val="auto"/>
                <w:kern w:val="0"/>
                <w:sz w:val="24"/>
                <w:szCs w:val="24"/>
                <w:lang w:eastAsia="zh-CN"/>
              </w:rPr>
              <w:t>，</w:t>
            </w:r>
            <w:r>
              <w:rPr>
                <w:rFonts w:hint="eastAsia" w:cs="宋体"/>
                <w:color w:val="auto"/>
                <w:kern w:val="0"/>
                <w:sz w:val="24"/>
                <w:szCs w:val="24"/>
              </w:rPr>
              <w:t>属于</w:t>
            </w:r>
            <w:r>
              <w:rPr>
                <w:color w:val="auto"/>
                <w:kern w:val="0"/>
                <w:sz w:val="24"/>
                <w:szCs w:val="24"/>
              </w:rPr>
              <w:t>C1</w:t>
            </w:r>
            <w:r>
              <w:rPr>
                <w:rFonts w:hint="eastAsia"/>
                <w:color w:val="auto"/>
                <w:kern w:val="0"/>
                <w:sz w:val="24"/>
                <w:szCs w:val="24"/>
              </w:rPr>
              <w:t>329其他饲料加工</w:t>
            </w:r>
            <w:r>
              <w:rPr>
                <w:rFonts w:hint="eastAsia" w:cs="宋体"/>
                <w:color w:val="auto"/>
                <w:kern w:val="0"/>
                <w:sz w:val="24"/>
                <w:szCs w:val="24"/>
              </w:rPr>
              <w:t>，为农副产品加工业，不在</w:t>
            </w:r>
            <w:r>
              <w:rPr>
                <w:rFonts w:hint="eastAsia" w:cs="宋体"/>
                <w:color w:val="auto"/>
                <w:sz w:val="24"/>
                <w:szCs w:val="24"/>
              </w:rPr>
              <w:t>国家明令禁止的项目之列，项目不新建燃煤锅炉，使用1台2t/h的燃气锅炉</w:t>
            </w:r>
            <w:r>
              <w:rPr>
                <w:rFonts w:hint="eastAsia" w:cs="宋体"/>
                <w:color w:val="auto"/>
                <w:sz w:val="24"/>
                <w:szCs w:val="24"/>
                <w:lang w:eastAsia="zh-CN"/>
              </w:rPr>
              <w:t>；</w:t>
            </w:r>
            <w:r>
              <w:rPr>
                <w:rFonts w:hint="eastAsia" w:cs="宋体"/>
                <w:color w:val="auto"/>
                <w:sz w:val="24"/>
                <w:szCs w:val="24"/>
              </w:rPr>
              <w:t>项目</w:t>
            </w:r>
            <w:r>
              <w:rPr>
                <w:rFonts w:hint="eastAsia" w:cs="宋体"/>
                <w:color w:val="auto"/>
                <w:sz w:val="24"/>
                <w:szCs w:val="24"/>
                <w:lang w:eastAsia="zh-CN"/>
              </w:rPr>
              <w:t>不在</w:t>
            </w:r>
            <w:r>
              <w:rPr>
                <w:rFonts w:hint="eastAsia" w:cs="宋体"/>
                <w:color w:val="auto"/>
                <w:sz w:val="24"/>
                <w:szCs w:val="24"/>
              </w:rPr>
              <w:t>宿州经济技术开发区</w:t>
            </w:r>
            <w:r>
              <w:rPr>
                <w:rFonts w:hint="eastAsia" w:cs="宋体"/>
                <w:color w:val="auto"/>
                <w:sz w:val="24"/>
                <w:szCs w:val="24"/>
                <w:lang w:eastAsia="zh-CN"/>
              </w:rPr>
              <w:t>禁止产业之列，基本</w:t>
            </w:r>
            <w:r>
              <w:rPr>
                <w:rFonts w:hint="eastAsia" w:cs="宋体"/>
                <w:color w:val="auto"/>
                <w:sz w:val="24"/>
                <w:szCs w:val="24"/>
              </w:rPr>
              <w:t>符合宿州经济技术开发区总体发展规划。</w:t>
            </w:r>
          </w:p>
          <w:p>
            <w:pPr>
              <w:spacing w:line="360" w:lineRule="auto"/>
              <w:ind w:firstLine="482" w:firstLineChars="200"/>
              <w:rPr>
                <w:b/>
                <w:bCs/>
                <w:sz w:val="24"/>
                <w:szCs w:val="24"/>
              </w:rPr>
            </w:pPr>
            <w:r>
              <w:rPr>
                <w:rFonts w:hint="eastAsia" w:cs="宋体"/>
                <w:b/>
                <w:bCs/>
                <w:sz w:val="24"/>
                <w:szCs w:val="24"/>
              </w:rPr>
              <w:t>二、规划环评及审查意见相符性分析</w:t>
            </w:r>
          </w:p>
          <w:p>
            <w:pPr>
              <w:spacing w:line="360" w:lineRule="auto"/>
              <w:ind w:firstLine="480" w:firstLineChars="200"/>
              <w:rPr>
                <w:rFonts w:cs="宋体"/>
                <w:b/>
                <w:bCs/>
                <w:sz w:val="24"/>
                <w:szCs w:val="24"/>
              </w:rPr>
            </w:pPr>
            <w:r>
              <w:rPr>
                <w:rFonts w:hint="eastAsia" w:cs="宋体"/>
                <w:kern w:val="0"/>
                <w:sz w:val="24"/>
                <w:szCs w:val="24"/>
              </w:rPr>
              <w:t>项目规划环评及审查意见符合性参照《宿州经济技术开发区总体发展规划环境影响报告书》及其审查意见进行分析，具体见下表。</w:t>
            </w:r>
          </w:p>
          <w:p>
            <w:pPr>
              <w:spacing w:line="360" w:lineRule="auto"/>
              <w:jc w:val="center"/>
              <w:rPr>
                <w:sz w:val="24"/>
                <w:szCs w:val="24"/>
              </w:rPr>
            </w:pPr>
            <w:r>
              <w:rPr>
                <w:rFonts w:hint="eastAsia" w:cs="宋体"/>
                <w:b/>
                <w:bCs/>
                <w:sz w:val="24"/>
                <w:szCs w:val="24"/>
              </w:rPr>
              <w:t>表</w:t>
            </w:r>
            <w:r>
              <w:rPr>
                <w:b/>
                <w:bCs/>
                <w:sz w:val="24"/>
                <w:szCs w:val="24"/>
              </w:rPr>
              <w:t>1-</w:t>
            </w:r>
            <w:r>
              <w:rPr>
                <w:rFonts w:hint="eastAsia"/>
                <w:b/>
                <w:bCs/>
                <w:sz w:val="24"/>
                <w:szCs w:val="24"/>
                <w:lang w:val="en-US" w:eastAsia="zh-CN"/>
              </w:rPr>
              <w:t>1</w:t>
            </w:r>
            <w:r>
              <w:rPr>
                <w:b/>
                <w:bCs/>
                <w:sz w:val="24"/>
                <w:szCs w:val="24"/>
              </w:rPr>
              <w:t xml:space="preserve">  </w:t>
            </w:r>
            <w:r>
              <w:rPr>
                <w:rFonts w:hint="eastAsia" w:cs="宋体"/>
                <w:b/>
                <w:bCs/>
                <w:sz w:val="24"/>
                <w:szCs w:val="24"/>
              </w:rPr>
              <w:t>关于宿州市经济技术开发区总体发展规划环境影响报告书审查意见符合性分析</w:t>
            </w:r>
          </w:p>
          <w:tbl>
            <w:tblPr>
              <w:tblStyle w:val="23"/>
              <w:tblW w:w="6998" w:type="dxa"/>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0"/>
              <w:gridCol w:w="3946"/>
              <w:gridCol w:w="1942"/>
              <w:gridCol w:w="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3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序</w:t>
                  </w:r>
                </w:p>
                <w:p>
                  <w:pPr>
                    <w:jc w:val="center"/>
                  </w:pPr>
                  <w:r>
                    <w:rPr>
                      <w:rFonts w:hint="eastAsia" w:cs="宋体"/>
                    </w:rPr>
                    <w:t>号</w:t>
                  </w:r>
                </w:p>
              </w:tc>
              <w:tc>
                <w:tcPr>
                  <w:tcW w:w="3946"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审查意见</w:t>
                  </w:r>
                </w:p>
              </w:tc>
              <w:tc>
                <w:tcPr>
                  <w:tcW w:w="1942"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项目情况</w:t>
                  </w:r>
                </w:p>
              </w:tc>
              <w:tc>
                <w:tcPr>
                  <w:tcW w:w="68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相符</w:t>
                  </w:r>
                </w:p>
                <w:p>
                  <w:pPr>
                    <w:jc w:val="center"/>
                  </w:pPr>
                  <w:r>
                    <w:rPr>
                      <w:rFonts w:hint="eastAsia" w:cs="宋体"/>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5" w:hRule="atLeast"/>
              </w:trPr>
              <w:tc>
                <w:tcPr>
                  <w:tcW w:w="430" w:type="dxa"/>
                  <w:tcBorders>
                    <w:top w:val="single" w:color="auto" w:sz="4" w:space="0"/>
                    <w:left w:val="single" w:color="auto" w:sz="4" w:space="0"/>
                    <w:bottom w:val="single" w:color="auto" w:sz="4" w:space="0"/>
                    <w:right w:val="single" w:color="auto" w:sz="4" w:space="0"/>
                  </w:tcBorders>
                  <w:vAlign w:val="center"/>
                </w:tcPr>
                <w:p>
                  <w:r>
                    <w:t>1</w:t>
                  </w:r>
                </w:p>
              </w:tc>
              <w:tc>
                <w:tcPr>
                  <w:tcW w:w="3946" w:type="dxa"/>
                  <w:tcBorders>
                    <w:top w:val="single" w:color="auto" w:sz="4" w:space="0"/>
                    <w:left w:val="single" w:color="auto" w:sz="4" w:space="0"/>
                    <w:bottom w:val="single" w:color="auto" w:sz="4" w:space="0"/>
                    <w:right w:val="single" w:color="auto" w:sz="4" w:space="0"/>
                  </w:tcBorders>
                  <w:vAlign w:val="center"/>
                </w:tcPr>
                <w:p>
                  <w:r>
                    <w:rPr>
                      <w:rFonts w:hint="eastAsia" w:cs="宋体"/>
                    </w:rPr>
                    <w:t>（一）充分考虑开发区内外居住区域环境要求，进一步优化调整开发区空间布局、组团结构，设置生态隔离措施，减轻和避免各功能区之间、项目之间的相互影响。化工产业片区设置的环境防护距离应符合环评函</w:t>
                  </w:r>
                  <w:r>
                    <w:t xml:space="preserve">[2011] 892 </w:t>
                  </w:r>
                  <w:r>
                    <w:rPr>
                      <w:rFonts w:hint="eastAsia" w:cs="宋体"/>
                    </w:rPr>
                    <w:t>号文要求。严格控制开发区周边用地规划，加强对敏感点的保护。开发区内现有天然水体应予以保留。</w:t>
                  </w:r>
                </w:p>
              </w:tc>
              <w:tc>
                <w:tcPr>
                  <w:tcW w:w="1942"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本项目不属于化工产业；项目用水采用市政供水；项目用地为工业用地，</w:t>
                  </w:r>
                  <w:r>
                    <w:rPr>
                      <w:rFonts w:hint="eastAsia" w:cs="宋体"/>
                      <w:kern w:val="0"/>
                    </w:rPr>
                    <w:t>项目各项污染物经治理后能够达标排放，对周围环境影响较小</w:t>
                  </w:r>
                </w:p>
              </w:tc>
              <w:tc>
                <w:tcPr>
                  <w:tcW w:w="68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30" w:type="dxa"/>
                  <w:tcBorders>
                    <w:top w:val="single" w:color="auto" w:sz="4" w:space="0"/>
                    <w:left w:val="single" w:color="auto" w:sz="4" w:space="0"/>
                    <w:bottom w:val="single" w:color="auto" w:sz="4" w:space="0"/>
                    <w:right w:val="single" w:color="auto" w:sz="4" w:space="0"/>
                  </w:tcBorders>
                  <w:vAlign w:val="center"/>
                </w:tcPr>
                <w:p>
                  <w:r>
                    <w:t>2</w:t>
                  </w:r>
                </w:p>
              </w:tc>
              <w:tc>
                <w:tcPr>
                  <w:tcW w:w="3946" w:type="dxa"/>
                  <w:tcBorders>
                    <w:top w:val="single" w:color="auto" w:sz="4" w:space="0"/>
                    <w:left w:val="single" w:color="auto" w:sz="4" w:space="0"/>
                    <w:bottom w:val="single" w:color="auto" w:sz="4" w:space="0"/>
                    <w:right w:val="single" w:color="auto" w:sz="4" w:space="0"/>
                  </w:tcBorders>
                  <w:vAlign w:val="center"/>
                </w:tcPr>
                <w:p>
                  <w:r>
                    <w:rPr>
                      <w:rFonts w:hint="eastAsia" w:cs="宋体"/>
                    </w:rPr>
                    <w:t>（二）强化水资源管理，提高工业水重复利用率和中水回用率。制定并实施开发区节水和中水利用规划，积极推进企业内、企业间水资源梯级利用和企业用水总量控制，切实提高水资源利用率。严禁建设国家明令禁止的项目，严格控制高耗水、高耗能、污水排放量大的项目建设；已建和拟入区建设项目应严格执行水环境保护相关标准和要求。开发区内企业不得自行开采地下水用于工业生产。</w:t>
                  </w:r>
                </w:p>
              </w:tc>
              <w:tc>
                <w:tcPr>
                  <w:tcW w:w="1942"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本项目为饲料加工业，不属于国家明令禁止项目；项目用水均由区域给水管网提供；本项目不属于</w:t>
                  </w:r>
                  <w:r>
                    <w:rPr>
                      <w:rFonts w:hint="eastAsia" w:ascii="宋体" w:hAnsi="宋体" w:cs="宋体"/>
                    </w:rPr>
                    <w:t>高耗水、高耗能、污水排放量大的项目建设</w:t>
                  </w:r>
                </w:p>
              </w:tc>
              <w:tc>
                <w:tcPr>
                  <w:tcW w:w="68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7" w:hRule="atLeast"/>
              </w:trPr>
              <w:tc>
                <w:tcPr>
                  <w:tcW w:w="430" w:type="dxa"/>
                  <w:tcBorders>
                    <w:top w:val="single" w:color="auto" w:sz="4" w:space="0"/>
                    <w:left w:val="single" w:color="auto" w:sz="4" w:space="0"/>
                    <w:bottom w:val="single" w:color="auto" w:sz="4" w:space="0"/>
                    <w:right w:val="single" w:color="auto" w:sz="4" w:space="0"/>
                  </w:tcBorders>
                  <w:vAlign w:val="center"/>
                </w:tcPr>
                <w:p>
                  <w:r>
                    <w:t>3</w:t>
                  </w:r>
                </w:p>
              </w:tc>
              <w:tc>
                <w:tcPr>
                  <w:tcW w:w="3946" w:type="dxa"/>
                  <w:tcBorders>
                    <w:top w:val="single" w:color="auto" w:sz="4" w:space="0"/>
                    <w:left w:val="single" w:color="auto" w:sz="4" w:space="0"/>
                    <w:bottom w:val="single" w:color="auto" w:sz="4" w:space="0"/>
                    <w:right w:val="single" w:color="auto" w:sz="4" w:space="0"/>
                  </w:tcBorders>
                  <w:vAlign w:val="center"/>
                </w:tcPr>
                <w:p>
                  <w:r>
                    <w:rPr>
                      <w:rFonts w:hint="eastAsia" w:cs="宋体"/>
                    </w:rPr>
                    <w:t>（三）在规划确定的开发区产业定位总体框架下，根据当地环境容量和资源情况，合理确定生物医药化工产业规模，生物医药化工企业应集中布置在规划的化工片区，进一步优化发展重点，严格控制非主导产业项目入区。对不符合开发区产业定位和环保要求以及容易引起突发性环境风险的项目应禁止入区建设。入区项目要采用先进的生产工艺和装备，采用高水平的污染治理措施。清洁生产水平现阶段要按国内先进水平要求，并逐步提高，最大限度控制开发区污染物排放量和排放强度。建立并实施不符合规划、产业准入和环保准入条件项目的退出机制。</w:t>
                  </w:r>
                </w:p>
              </w:tc>
              <w:tc>
                <w:tcPr>
                  <w:tcW w:w="1942"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color w:val="auto"/>
                    </w:rPr>
                    <w:t>本项目为“</w:t>
                  </w:r>
                  <w:r>
                    <w:rPr>
                      <w:color w:val="auto"/>
                    </w:rPr>
                    <w:t>C</w:t>
                  </w:r>
                  <w:r>
                    <w:rPr>
                      <w:rFonts w:hint="eastAsia"/>
                      <w:color w:val="auto"/>
                    </w:rPr>
                    <w:t>1329其他饲料加工”</w:t>
                  </w:r>
                  <w:r>
                    <w:rPr>
                      <w:rFonts w:hint="eastAsia" w:cs="宋体"/>
                      <w:color w:val="auto"/>
                    </w:rPr>
                    <w:t>，属于农副产品加工业，不属于</w:t>
                  </w:r>
                  <w:r>
                    <w:rPr>
                      <w:rFonts w:hint="eastAsia" w:ascii="宋体" w:hAnsi="宋体" w:cs="宋体"/>
                      <w:color w:val="auto"/>
                    </w:rPr>
                    <w:t>生物医药化工</w:t>
                  </w:r>
                  <w:r>
                    <w:rPr>
                      <w:rFonts w:hint="eastAsia" w:ascii="宋体" w:hAnsi="宋体" w:cs="宋体"/>
                    </w:rPr>
                    <w:t>产业</w:t>
                  </w:r>
                  <w:r>
                    <w:rPr>
                      <w:rStyle w:val="28"/>
                      <w:rFonts w:hint="eastAsia"/>
                      <w:kern w:val="0"/>
                    </w:rPr>
                    <w:t>；</w:t>
                  </w:r>
                  <w:r>
                    <w:rPr>
                      <w:rFonts w:hint="eastAsia" w:cs="宋体"/>
                    </w:rPr>
                    <w:t>本项目所使用的原料主要为玉米、小麦、面粉、麸皮、豆粕，不是容易引起突发性环境风险的项目。本项目采用先进的生产工艺和装备，所有的废气经相应环保设备处理后均能实现达标排放</w:t>
                  </w:r>
                </w:p>
              </w:tc>
              <w:tc>
                <w:tcPr>
                  <w:tcW w:w="68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4" w:hRule="atLeast"/>
              </w:trPr>
              <w:tc>
                <w:tcPr>
                  <w:tcW w:w="430" w:type="dxa"/>
                  <w:tcBorders>
                    <w:top w:val="single" w:color="auto" w:sz="4" w:space="0"/>
                    <w:left w:val="single" w:color="auto" w:sz="4" w:space="0"/>
                    <w:bottom w:val="single" w:color="auto" w:sz="4" w:space="0"/>
                    <w:right w:val="single" w:color="auto" w:sz="4" w:space="0"/>
                  </w:tcBorders>
                  <w:vAlign w:val="center"/>
                </w:tcPr>
                <w:p>
                  <w:r>
                    <w:t>4</w:t>
                  </w:r>
                </w:p>
              </w:tc>
              <w:tc>
                <w:tcPr>
                  <w:tcW w:w="3946" w:type="dxa"/>
                  <w:tcBorders>
                    <w:top w:val="single" w:color="auto" w:sz="4" w:space="0"/>
                    <w:left w:val="single" w:color="auto" w:sz="4" w:space="0"/>
                    <w:bottom w:val="single" w:color="auto" w:sz="4" w:space="0"/>
                    <w:right w:val="single" w:color="auto" w:sz="4" w:space="0"/>
                  </w:tcBorders>
                  <w:vAlign w:val="center"/>
                </w:tcPr>
                <w:p>
                  <w:r>
                    <w:rPr>
                      <w:rFonts w:hint="eastAsia" w:cs="宋体"/>
                    </w:rPr>
                    <w:t>（四）坚持环保优先原则，强化环保基础设施建设。实施开发区内清污分流、雨污分流和污水集中处理，开发区京沪铁路以西片区污水依托城南污水处理厂，以东片区污水排入开发区污水处理厂，应加快污水管网建设，对区内污水实行全收集、全处理。在此之前，开发区不得新建排放水污染物的项目。适时配套建设中水厂，进一步提高中水回用率。</w:t>
                  </w:r>
                </w:p>
                <w:p>
                  <w:r>
                    <w:rPr>
                      <w:rFonts w:hint="eastAsia" w:cs="宋体"/>
                    </w:rPr>
                    <w:t>化工企业应做到废水分类收集、分质处理，并对废水进行预处理，达到污水处理厂接管要求后，方可接入进行集中深度处理；在建和拟建的化工项目污水排放应实现</w:t>
                  </w:r>
                  <w:r>
                    <w:t>“</w:t>
                  </w:r>
                  <w:r>
                    <w:rPr>
                      <w:rFonts w:hint="eastAsia" w:cs="宋体"/>
                    </w:rPr>
                    <w:t>一企一管</w:t>
                  </w:r>
                  <w:r>
                    <w:t>”</w:t>
                  </w:r>
                  <w:r>
                    <w:rPr>
                      <w:rFonts w:hint="eastAsia" w:cs="宋体"/>
                    </w:rPr>
                    <w:t>方式，经专用管道输送至开发区污水处理厂，并设置在线监控装置、视频监控系统及自控阀门；化工企业初期雨水、事故废水应全部进行有效收集处理。化工生产装置区、罐区、初期雨水收集装置和污水处理设施等应落实相应等级的防渗措施，防止污染地下水。落实各项水环境保护措施，确保开发区建设不降低地表水、地下水环境质量和水体功能。全面落实《安徽省大气污染防治行动计划实施方案》各项要求，禁止新建小型燃煤锅炉。开发区内企业应加强对废气尤其是有毒及恶臭气体的收集和处理，严格控制挥发性有机物、有毒及恶臭气体的排放，配备相应的环境应急处置设施。</w:t>
                  </w:r>
                </w:p>
              </w:tc>
              <w:tc>
                <w:tcPr>
                  <w:tcW w:w="1942"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本项目废水实施雨污分流；雨水进入区域雨水管网；食堂废水经隔油池处理后，与生活污水一同</w:t>
                  </w:r>
                  <w:r>
                    <w:t>经化粪池处理后纳管</w:t>
                  </w:r>
                  <w:r>
                    <w:rPr>
                      <w:rFonts w:hint="eastAsia" w:cs="宋体"/>
                    </w:rPr>
                    <w:t>，</w:t>
                  </w:r>
                  <w:r>
                    <w:rPr>
                      <w:rFonts w:hint="eastAsia" w:cs="宋体"/>
                      <w:lang w:eastAsia="zh-CN"/>
                    </w:rPr>
                    <w:t>纯水制备废水</w:t>
                  </w:r>
                  <w:r>
                    <w:rPr>
                      <w:rFonts w:hint="eastAsia"/>
                    </w:rPr>
                    <w:t>浓度满足宿州市经济技术开发区污水处理厂接管标准，可直接纳管排入区域管网，食堂废水、生活污水和</w:t>
                  </w:r>
                  <w:r>
                    <w:rPr>
                      <w:rFonts w:hint="eastAsia"/>
                      <w:lang w:eastAsia="zh-CN"/>
                    </w:rPr>
                    <w:t>纯水制备废水</w:t>
                  </w:r>
                  <w:r>
                    <w:rPr>
                      <w:rFonts w:hint="eastAsia"/>
                    </w:rPr>
                    <w:t>都</w:t>
                  </w:r>
                  <w:r>
                    <w:t>进入</w:t>
                  </w:r>
                  <w:r>
                    <w:rPr>
                      <w:rFonts w:hint="eastAsia"/>
                    </w:rPr>
                    <w:t>宿州市经济技术开发区污水处理厂</w:t>
                  </w:r>
                  <w:r>
                    <w:t>集中处理</w:t>
                  </w:r>
                  <w:r>
                    <w:rPr>
                      <w:rFonts w:hint="eastAsia"/>
                    </w:rPr>
                    <w:t>，</w:t>
                  </w:r>
                  <w:r>
                    <w:t>达标后排入运粮河</w:t>
                  </w:r>
                  <w:r>
                    <w:rPr>
                      <w:rFonts w:hint="eastAsia"/>
                    </w:rPr>
                    <w:t>；项目不属于化工企业项目</w:t>
                  </w:r>
                  <w:r>
                    <w:rPr>
                      <w:rFonts w:hint="eastAsia" w:cs="宋体"/>
                    </w:rPr>
                    <w:t>；项目使用的为燃气锅炉，不使用燃煤锅炉；项目废气中不包含恶臭气体，所有的废气经相应环保设备处理后均能实现达标排放</w:t>
                  </w:r>
                </w:p>
              </w:tc>
              <w:tc>
                <w:tcPr>
                  <w:tcW w:w="68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1" w:hRule="atLeast"/>
              </w:trPr>
              <w:tc>
                <w:tcPr>
                  <w:tcW w:w="430" w:type="dxa"/>
                  <w:tcBorders>
                    <w:top w:val="single" w:color="auto" w:sz="4" w:space="0"/>
                    <w:left w:val="single" w:color="auto" w:sz="4" w:space="0"/>
                    <w:bottom w:val="single" w:color="auto" w:sz="4" w:space="0"/>
                    <w:right w:val="single" w:color="auto" w:sz="4" w:space="0"/>
                  </w:tcBorders>
                  <w:vAlign w:val="center"/>
                </w:tcPr>
                <w:p>
                  <w:r>
                    <w:t>5</w:t>
                  </w:r>
                </w:p>
              </w:tc>
              <w:tc>
                <w:tcPr>
                  <w:tcW w:w="3946" w:type="dxa"/>
                  <w:tcBorders>
                    <w:top w:val="single" w:color="auto" w:sz="4" w:space="0"/>
                    <w:left w:val="single" w:color="auto" w:sz="4" w:space="0"/>
                    <w:bottom w:val="single" w:color="auto" w:sz="4" w:space="0"/>
                    <w:right w:val="single" w:color="auto" w:sz="4" w:space="0"/>
                  </w:tcBorders>
                  <w:vAlign w:val="center"/>
                </w:tcPr>
                <w:p>
                  <w:r>
                    <w:rPr>
                      <w:rFonts w:hint="eastAsia" w:cs="宋体"/>
                    </w:rPr>
                    <w:t>（五）全面加强危险化学品和危险废物管理。开发区应建立危险化学品和危险废物信息库并及时动态更新。入区企业应按要求进行危险化学品环境管理登记，建立化学品环境管理台账和信息档案，加强化学品环境风险管理。危险废物应按有关规定安全收集、暂存、处置。确定专人对危险废物进行管理，建立危险废物环境管理台账和信息档案，严格执行危险废物转移联单制度。化工污水处理单元产生的污泥应进行甄别，属危险废物的须按照危险废物进行管理。</w:t>
                  </w:r>
                </w:p>
              </w:tc>
              <w:tc>
                <w:tcPr>
                  <w:tcW w:w="1942"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本环评要求企业对</w:t>
                  </w:r>
                  <w:r>
                    <w:rPr>
                      <w:rFonts w:hint="eastAsia" w:ascii="宋体" w:hAnsi="宋体" w:cs="宋体"/>
                    </w:rPr>
                    <w:t>危险废物按有关规定进行安全收集、暂存、处置。确定专人对危险废物进行管理，建立危险废物环境管理台账和信息档案，严格执行危险废物转移联单制度</w:t>
                  </w:r>
                  <w:r>
                    <w:rPr>
                      <w:rStyle w:val="28"/>
                      <w:rFonts w:hint="eastAsia" w:cs="宋体"/>
                      <w:kern w:val="0"/>
                    </w:rPr>
                    <w:t>；项目不属于化工企业项目</w:t>
                  </w:r>
                </w:p>
              </w:tc>
              <w:tc>
                <w:tcPr>
                  <w:tcW w:w="68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3" w:hRule="atLeast"/>
              </w:trPr>
              <w:tc>
                <w:tcPr>
                  <w:tcW w:w="430" w:type="dxa"/>
                  <w:tcBorders>
                    <w:top w:val="single" w:color="auto" w:sz="4" w:space="0"/>
                    <w:left w:val="single" w:color="auto" w:sz="4" w:space="0"/>
                    <w:bottom w:val="single" w:color="auto" w:sz="4" w:space="0"/>
                    <w:right w:val="single" w:color="auto" w:sz="4" w:space="0"/>
                  </w:tcBorders>
                  <w:vAlign w:val="center"/>
                </w:tcPr>
                <w:p>
                  <w:r>
                    <w:t>6</w:t>
                  </w:r>
                </w:p>
              </w:tc>
              <w:tc>
                <w:tcPr>
                  <w:tcW w:w="3946" w:type="dxa"/>
                  <w:tcBorders>
                    <w:top w:val="single" w:color="auto" w:sz="4" w:space="0"/>
                    <w:left w:val="single" w:color="auto" w:sz="4" w:space="0"/>
                    <w:bottom w:val="single" w:color="auto" w:sz="4" w:space="0"/>
                    <w:right w:val="single" w:color="auto" w:sz="4" w:space="0"/>
                  </w:tcBorders>
                  <w:vAlign w:val="center"/>
                </w:tcPr>
                <w:p>
                  <w:r>
                    <w:rPr>
                      <w:rFonts w:hint="eastAsia" w:cs="宋体"/>
                    </w:rPr>
                    <w:t>（六）建立健全开发区环境监控体系。开发区和入区企业要按照有关规范要求，开展日常环境监控工作，建设完善的污染物排放在线监控系统，并与生态环境部门实现联网。</w:t>
                  </w:r>
                </w:p>
              </w:tc>
              <w:tc>
                <w:tcPr>
                  <w:tcW w:w="1942" w:type="dxa"/>
                  <w:tcBorders>
                    <w:top w:val="single" w:color="auto" w:sz="4" w:space="0"/>
                    <w:left w:val="single" w:color="auto" w:sz="4" w:space="0"/>
                    <w:bottom w:val="single" w:color="auto" w:sz="4" w:space="0"/>
                    <w:right w:val="single" w:color="auto" w:sz="4" w:space="0"/>
                  </w:tcBorders>
                  <w:vAlign w:val="center"/>
                </w:tcPr>
                <w:p>
                  <w:pPr>
                    <w:jc w:val="center"/>
                  </w:pPr>
                  <w:r>
                    <w:rPr>
                      <w:rStyle w:val="28"/>
                      <w:rFonts w:hint="eastAsia" w:cs="宋体"/>
                      <w:kern w:val="0"/>
                    </w:rPr>
                    <w:t>本环评要求企业按照有关规定进行例行监测</w:t>
                  </w:r>
                </w:p>
              </w:tc>
              <w:tc>
                <w:tcPr>
                  <w:tcW w:w="68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6" w:hRule="atLeast"/>
              </w:trPr>
              <w:tc>
                <w:tcPr>
                  <w:tcW w:w="430" w:type="dxa"/>
                  <w:tcBorders>
                    <w:top w:val="single" w:color="auto" w:sz="4" w:space="0"/>
                    <w:left w:val="single" w:color="auto" w:sz="4" w:space="0"/>
                    <w:bottom w:val="single" w:color="auto" w:sz="4" w:space="0"/>
                    <w:right w:val="single" w:color="auto" w:sz="4" w:space="0"/>
                  </w:tcBorders>
                  <w:vAlign w:val="center"/>
                </w:tcPr>
                <w:p>
                  <w:r>
                    <w:t>7</w:t>
                  </w:r>
                </w:p>
              </w:tc>
              <w:tc>
                <w:tcPr>
                  <w:tcW w:w="3946" w:type="dxa"/>
                  <w:tcBorders>
                    <w:top w:val="single" w:color="auto" w:sz="4" w:space="0"/>
                    <w:left w:val="single" w:color="auto" w:sz="4" w:space="0"/>
                    <w:bottom w:val="single" w:color="auto" w:sz="4" w:space="0"/>
                    <w:right w:val="single" w:color="auto" w:sz="4" w:space="0"/>
                  </w:tcBorders>
                  <w:vAlign w:val="center"/>
                </w:tcPr>
                <w:p>
                  <w:r>
                    <w:rPr>
                      <w:rFonts w:hint="eastAsia" w:cs="宋体"/>
                    </w:rPr>
                    <w:t>（七）加强环境保护制度建设和管理。入区建设项目应认真履行环保法律法规要求，严格执行环境影响评价制度和环保</w:t>
                  </w:r>
                  <w:r>
                    <w:t>“</w:t>
                  </w:r>
                  <w:r>
                    <w:rPr>
                      <w:rFonts w:hint="eastAsia" w:cs="宋体"/>
                    </w:rPr>
                    <w:t>三同时</w:t>
                  </w:r>
                  <w:r>
                    <w:t>”</w:t>
                  </w:r>
                  <w:r>
                    <w:rPr>
                      <w:rFonts w:hint="eastAsia" w:cs="宋体"/>
                    </w:rPr>
                    <w:t>制度；新增大气污染物、水污染物和重金属排放总量的建设项目应严格执行污染物排放总量控制相关要求。</w:t>
                  </w:r>
                </w:p>
              </w:tc>
              <w:tc>
                <w:tcPr>
                  <w:tcW w:w="1942"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本环评要求企业认真履行环保法律法规要求，严格执行环境影响评价制度和环保</w:t>
                  </w:r>
                  <w:r>
                    <w:rPr>
                      <w:rFonts w:hint="eastAsia" w:ascii="宋体" w:hAnsi="宋体" w:cs="宋体"/>
                    </w:rPr>
                    <w:t>“三同时”</w:t>
                  </w:r>
                  <w:r>
                    <w:t>制</w:t>
                  </w:r>
                  <w:r>
                    <w:rPr>
                      <w:rFonts w:hint="eastAsia" w:cs="宋体"/>
                    </w:rPr>
                    <w:t>度；本项目新增的大气污染物排放总量严格执行污染物排放总量控制相关要求</w:t>
                  </w:r>
                </w:p>
              </w:tc>
              <w:tc>
                <w:tcPr>
                  <w:tcW w:w="68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符合</w:t>
                  </w:r>
                </w:p>
              </w:tc>
            </w:tr>
          </w:tbl>
          <w:p>
            <w:pPr>
              <w:spacing w:line="360" w:lineRule="auto"/>
              <w:ind w:firstLine="480" w:firstLineChars="200"/>
            </w:pPr>
            <w:r>
              <w:rPr>
                <w:rFonts w:hint="eastAsia" w:cs="宋体"/>
                <w:color w:val="000000"/>
                <w:sz w:val="24"/>
                <w:szCs w:val="24"/>
              </w:rPr>
              <w:t>综上所述，本项目</w:t>
            </w:r>
            <w:r>
              <w:rPr>
                <w:rFonts w:hint="eastAsia" w:cs="宋体"/>
                <w:sz w:val="24"/>
                <w:szCs w:val="24"/>
              </w:rPr>
              <w:t>符合宿州经济技术开发区总体发展规划和宿州市经济技术开发区总体发展规划环境影响报告书审查意见中的相关</w:t>
            </w:r>
            <w:r>
              <w:rPr>
                <w:rFonts w:hint="eastAsia" w:cs="宋体"/>
                <w:color w:val="000000"/>
                <w:sz w:val="24"/>
                <w:szCs w:val="24"/>
              </w:rPr>
              <w:t>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247" w:hRule="atLeast"/>
          <w:jc w:val="center"/>
        </w:trPr>
        <w:tc>
          <w:tcPr>
            <w:tcW w:w="1690" w:type="dxa"/>
            <w:tcBorders>
              <w:bottom w:val="single" w:color="auto" w:sz="8" w:space="0"/>
            </w:tcBorders>
            <w:vAlign w:val="center"/>
          </w:tcPr>
          <w:p>
            <w:pPr>
              <w:autoSpaceDE w:val="0"/>
              <w:autoSpaceDN w:val="0"/>
              <w:adjustRightInd w:val="0"/>
              <w:snapToGrid w:val="0"/>
              <w:jc w:val="center"/>
              <w:rPr>
                <w:rFonts w:ascii="宋体"/>
                <w:kern w:val="0"/>
              </w:rPr>
            </w:pPr>
            <w:r>
              <w:rPr>
                <w:rFonts w:hint="eastAsia" w:ascii="宋体" w:hAnsi="宋体" w:cs="宋体"/>
                <w:kern w:val="0"/>
              </w:rPr>
              <w:t>其他符合性分析</w:t>
            </w:r>
          </w:p>
        </w:tc>
        <w:tc>
          <w:tcPr>
            <w:tcW w:w="7180" w:type="dxa"/>
            <w:gridSpan w:val="3"/>
            <w:tcBorders>
              <w:bottom w:val="single" w:color="auto" w:sz="8" w:space="0"/>
            </w:tcBorders>
            <w:vAlign w:val="center"/>
          </w:tcPr>
          <w:p>
            <w:pPr>
              <w:autoSpaceDE w:val="0"/>
              <w:autoSpaceDN w:val="0"/>
              <w:adjustRightInd w:val="0"/>
              <w:snapToGrid w:val="0"/>
              <w:spacing w:line="360" w:lineRule="auto"/>
              <w:rPr>
                <w:b/>
                <w:bCs/>
                <w:kern w:val="0"/>
                <w:sz w:val="24"/>
                <w:szCs w:val="24"/>
              </w:rPr>
            </w:pPr>
            <w:r>
              <w:rPr>
                <w:b/>
                <w:bCs/>
                <w:kern w:val="0"/>
                <w:sz w:val="24"/>
                <w:szCs w:val="24"/>
              </w:rPr>
              <w:t>1</w:t>
            </w:r>
            <w:r>
              <w:rPr>
                <w:rFonts w:hint="eastAsia" w:cs="宋体"/>
                <w:b/>
                <w:bCs/>
                <w:kern w:val="0"/>
                <w:sz w:val="24"/>
                <w:szCs w:val="24"/>
              </w:rPr>
              <w:t>、选址合理性分析</w:t>
            </w:r>
          </w:p>
          <w:p>
            <w:pPr>
              <w:autoSpaceDE w:val="0"/>
              <w:autoSpaceDN w:val="0"/>
              <w:adjustRightInd w:val="0"/>
              <w:snapToGrid w:val="0"/>
              <w:spacing w:line="360" w:lineRule="auto"/>
              <w:ind w:firstLine="480" w:firstLineChars="200"/>
              <w:rPr>
                <w:kern w:val="0"/>
                <w:sz w:val="24"/>
                <w:szCs w:val="24"/>
              </w:rPr>
            </w:pPr>
            <w:r>
              <w:rPr>
                <w:rFonts w:hint="eastAsia" w:cs="宋体"/>
                <w:color w:val="auto"/>
                <w:kern w:val="0"/>
                <w:sz w:val="24"/>
                <w:szCs w:val="24"/>
              </w:rPr>
              <w:t>本项目位于宿州市经济技术开发区金泰路，属于</w:t>
            </w:r>
            <w:r>
              <w:rPr>
                <w:color w:val="auto"/>
                <w:kern w:val="0"/>
                <w:sz w:val="24"/>
                <w:szCs w:val="24"/>
              </w:rPr>
              <w:t>C1</w:t>
            </w:r>
            <w:r>
              <w:rPr>
                <w:rFonts w:hint="eastAsia"/>
                <w:color w:val="auto"/>
                <w:kern w:val="0"/>
                <w:sz w:val="24"/>
                <w:szCs w:val="24"/>
              </w:rPr>
              <w:t>329其他饲料加工</w:t>
            </w:r>
            <w:r>
              <w:rPr>
                <w:rFonts w:hint="eastAsia" w:cs="宋体"/>
                <w:color w:val="auto"/>
                <w:kern w:val="0"/>
                <w:sz w:val="24"/>
                <w:szCs w:val="24"/>
              </w:rPr>
              <w:t>，为农副产品加工业</w:t>
            </w:r>
            <w:r>
              <w:rPr>
                <w:rFonts w:hint="eastAsia" w:cs="宋体"/>
                <w:color w:val="auto"/>
                <w:kern w:val="0"/>
                <w:sz w:val="24"/>
                <w:szCs w:val="24"/>
                <w:lang w:eastAsia="zh-CN"/>
              </w:rPr>
              <w:t>。</w:t>
            </w:r>
            <w:r>
              <w:rPr>
                <w:rFonts w:hint="eastAsia" w:cs="宋体"/>
                <w:color w:val="auto"/>
                <w:sz w:val="24"/>
                <w:szCs w:val="24"/>
              </w:rPr>
              <w:t>本项目厂界外500</w:t>
            </w:r>
            <w:r>
              <w:rPr>
                <w:color w:val="auto"/>
                <w:sz w:val="24"/>
                <w:szCs w:val="24"/>
              </w:rPr>
              <w:t>m</w:t>
            </w:r>
            <w:r>
              <w:rPr>
                <w:rFonts w:hint="eastAsia"/>
                <w:color w:val="auto"/>
                <w:sz w:val="24"/>
                <w:szCs w:val="24"/>
              </w:rPr>
              <w:t>范围内无</w:t>
            </w:r>
            <w:r>
              <w:rPr>
                <w:rFonts w:hint="eastAsia"/>
                <w:color w:val="auto"/>
                <w:kern w:val="1"/>
                <w:sz w:val="24"/>
                <w:lang w:eastAsia="zh-CN"/>
              </w:rPr>
              <w:t>对环境敏感企业（如食品行业等）、无</w:t>
            </w:r>
            <w:r>
              <w:rPr>
                <w:rFonts w:hint="eastAsia"/>
                <w:color w:val="auto"/>
                <w:sz w:val="24"/>
                <w:szCs w:val="24"/>
              </w:rPr>
              <w:t>居民点、自然风景保护区等敏感点</w:t>
            </w:r>
            <w:r>
              <w:rPr>
                <w:rFonts w:hint="eastAsia"/>
                <w:color w:val="auto"/>
                <w:sz w:val="24"/>
                <w:szCs w:val="24"/>
                <w:lang w:eastAsia="zh-CN"/>
              </w:rPr>
              <w:t>，</w:t>
            </w:r>
            <w:r>
              <w:rPr>
                <w:rFonts w:hint="eastAsia"/>
                <w:color w:val="auto"/>
                <w:kern w:val="1"/>
                <w:sz w:val="24"/>
              </w:rPr>
              <w:t>本项目</w:t>
            </w:r>
            <w:r>
              <w:rPr>
                <w:rFonts w:hint="eastAsia"/>
                <w:color w:val="auto"/>
                <w:kern w:val="1"/>
                <w:sz w:val="24"/>
                <w:lang w:eastAsia="zh-CN"/>
              </w:rPr>
              <w:t>对周围环境</w:t>
            </w:r>
            <w:r>
              <w:rPr>
                <w:rFonts w:hint="eastAsia"/>
                <w:color w:val="auto"/>
                <w:kern w:val="1"/>
                <w:sz w:val="24"/>
              </w:rPr>
              <w:t>影响较小</w:t>
            </w:r>
            <w:r>
              <w:rPr>
                <w:rFonts w:hint="eastAsia" w:ascii="宋体" w:hAnsi="宋体" w:cs="宋体"/>
                <w:color w:val="auto"/>
                <w:sz w:val="24"/>
                <w:szCs w:val="24"/>
              </w:rPr>
              <w:t>。</w:t>
            </w:r>
            <w:r>
              <w:rPr>
                <w:rFonts w:hint="eastAsia" w:cs="宋体"/>
                <w:color w:val="auto"/>
                <w:kern w:val="0"/>
                <w:sz w:val="24"/>
                <w:szCs w:val="24"/>
              </w:rPr>
              <w:t>本项目未列入《限制用地项目目录（</w:t>
            </w:r>
            <w:r>
              <w:rPr>
                <w:color w:val="auto"/>
                <w:kern w:val="0"/>
                <w:sz w:val="24"/>
                <w:szCs w:val="24"/>
              </w:rPr>
              <w:t>2012</w:t>
            </w:r>
            <w:r>
              <w:rPr>
                <w:rFonts w:hint="eastAsia" w:cs="宋体"/>
                <w:color w:val="auto"/>
                <w:kern w:val="0"/>
                <w:sz w:val="24"/>
                <w:szCs w:val="24"/>
              </w:rPr>
              <w:t>年本）》和《禁止用地项目目录（</w:t>
            </w:r>
            <w:r>
              <w:rPr>
                <w:color w:val="auto"/>
                <w:kern w:val="0"/>
                <w:sz w:val="24"/>
                <w:szCs w:val="24"/>
              </w:rPr>
              <w:t>2012</w:t>
            </w:r>
            <w:r>
              <w:rPr>
                <w:rFonts w:hint="eastAsia" w:cs="宋体"/>
                <w:color w:val="auto"/>
                <w:kern w:val="0"/>
                <w:sz w:val="24"/>
                <w:szCs w:val="24"/>
              </w:rPr>
              <w:t>年本）》中限制、禁止类用地的建设项目。根据宿州经济技术开发区总体规划（2016-2030）近期建设规划图（见附图）可知，本项目用地属于一类工业用地，符合当地规划要求和准入要求。</w:t>
            </w:r>
          </w:p>
          <w:p>
            <w:pPr>
              <w:autoSpaceDE w:val="0"/>
              <w:autoSpaceDN w:val="0"/>
              <w:adjustRightInd w:val="0"/>
              <w:spacing w:line="360" w:lineRule="auto"/>
              <w:jc w:val="left"/>
              <w:rPr>
                <w:b/>
                <w:bCs/>
                <w:kern w:val="0"/>
                <w:sz w:val="24"/>
                <w:szCs w:val="24"/>
              </w:rPr>
            </w:pPr>
            <w:r>
              <w:rPr>
                <w:b/>
                <w:bCs/>
                <w:kern w:val="0"/>
                <w:sz w:val="24"/>
                <w:szCs w:val="24"/>
              </w:rPr>
              <w:t>2</w:t>
            </w:r>
            <w:r>
              <w:rPr>
                <w:rFonts w:hint="eastAsia" w:cs="宋体"/>
                <w:b/>
                <w:bCs/>
                <w:kern w:val="0"/>
                <w:sz w:val="24"/>
                <w:szCs w:val="24"/>
              </w:rPr>
              <w:t>、产业政策符合性分析</w:t>
            </w:r>
          </w:p>
          <w:p>
            <w:pPr>
              <w:autoSpaceDE w:val="0"/>
              <w:autoSpaceDN w:val="0"/>
              <w:adjustRightInd w:val="0"/>
              <w:spacing w:line="360" w:lineRule="auto"/>
              <w:ind w:firstLine="480" w:firstLineChars="200"/>
              <w:rPr>
                <w:color w:val="auto"/>
                <w:kern w:val="0"/>
                <w:sz w:val="24"/>
                <w:szCs w:val="24"/>
              </w:rPr>
            </w:pPr>
            <w:r>
              <w:rPr>
                <w:rFonts w:hint="eastAsia" w:cs="宋体"/>
                <w:kern w:val="0"/>
                <w:sz w:val="24"/>
                <w:szCs w:val="24"/>
              </w:rPr>
              <w:t>本项目为</w:t>
            </w:r>
            <w:r>
              <w:rPr>
                <w:sz w:val="24"/>
                <w:szCs w:val="24"/>
              </w:rPr>
              <w:t>C1</w:t>
            </w:r>
            <w:r>
              <w:rPr>
                <w:rFonts w:hint="eastAsia"/>
                <w:sz w:val="24"/>
                <w:szCs w:val="24"/>
              </w:rPr>
              <w:t>329其他饲料加工</w:t>
            </w:r>
            <w:r>
              <w:rPr>
                <w:rFonts w:hint="eastAsia" w:cs="宋体"/>
                <w:kern w:val="0"/>
                <w:sz w:val="24"/>
                <w:szCs w:val="24"/>
              </w:rPr>
              <w:t>，经查询</w:t>
            </w:r>
            <w:r>
              <w:rPr>
                <w:rFonts w:hint="eastAsia" w:cs="宋体"/>
                <w:kern w:val="24"/>
                <w:sz w:val="24"/>
                <w:szCs w:val="24"/>
              </w:rPr>
              <w:t>不属于《产业结构调整指导目录（</w:t>
            </w:r>
            <w:r>
              <w:rPr>
                <w:kern w:val="24"/>
                <w:sz w:val="24"/>
                <w:szCs w:val="24"/>
              </w:rPr>
              <w:t>2019</w:t>
            </w:r>
            <w:r>
              <w:rPr>
                <w:rFonts w:hint="eastAsia" w:cs="宋体"/>
                <w:kern w:val="24"/>
                <w:sz w:val="24"/>
                <w:szCs w:val="24"/>
              </w:rPr>
              <w:t>年本）》（中华人民共和国国家发展和改革委员会令第</w:t>
            </w:r>
            <w:r>
              <w:rPr>
                <w:kern w:val="24"/>
                <w:sz w:val="24"/>
                <w:szCs w:val="24"/>
              </w:rPr>
              <w:t>29</w:t>
            </w:r>
            <w:r>
              <w:rPr>
                <w:rFonts w:hint="eastAsia" w:cs="宋体"/>
                <w:kern w:val="24"/>
                <w:sz w:val="24"/>
                <w:szCs w:val="24"/>
              </w:rPr>
              <w:t>号）中限制类和淘汰类项目；不属于《安徽省工业产业结构调</w:t>
            </w:r>
            <w:r>
              <w:rPr>
                <w:rFonts w:hint="eastAsia" w:cs="宋体"/>
                <w:sz w:val="24"/>
                <w:szCs w:val="24"/>
              </w:rPr>
              <w:t>整指导目录》（</w:t>
            </w:r>
            <w:r>
              <w:rPr>
                <w:sz w:val="24"/>
                <w:szCs w:val="24"/>
              </w:rPr>
              <w:t>2007</w:t>
            </w:r>
            <w:r>
              <w:rPr>
                <w:rFonts w:hint="eastAsia" w:cs="宋体"/>
                <w:sz w:val="24"/>
                <w:szCs w:val="24"/>
              </w:rPr>
              <w:t>年本）中限制类和淘汰类项目；</w:t>
            </w:r>
            <w:r>
              <w:rPr>
                <w:rFonts w:hint="eastAsia" w:cs="宋体"/>
                <w:color w:val="auto"/>
                <w:sz w:val="24"/>
                <w:szCs w:val="24"/>
                <w:lang w:eastAsia="zh-CN"/>
              </w:rPr>
              <w:t>不属于</w:t>
            </w:r>
            <w:r>
              <w:rPr>
                <w:rFonts w:hint="eastAsia" w:cs="宋体"/>
                <w:color w:val="auto"/>
                <w:sz w:val="24"/>
                <w:szCs w:val="24"/>
              </w:rPr>
              <w:t>《环境保护综合名录》（2021年版）中“高污染、高环境风险”产品名录</w:t>
            </w:r>
            <w:r>
              <w:rPr>
                <w:rFonts w:hint="eastAsia" w:cs="宋体"/>
                <w:color w:val="auto"/>
                <w:sz w:val="24"/>
                <w:szCs w:val="24"/>
                <w:lang w:eastAsia="zh-CN"/>
              </w:rPr>
              <w:t>项目；也不属于《安徽省“两高”项目管理名录》（征求意见稿）项目；</w:t>
            </w:r>
            <w:r>
              <w:rPr>
                <w:rFonts w:hint="eastAsia" w:cs="宋体"/>
                <w:color w:val="auto"/>
                <w:sz w:val="24"/>
                <w:szCs w:val="24"/>
              </w:rPr>
              <w:t>因此，可视为允许类。</w:t>
            </w:r>
          </w:p>
          <w:p>
            <w:pPr>
              <w:autoSpaceDE w:val="0"/>
              <w:autoSpaceDN w:val="0"/>
              <w:adjustRightInd w:val="0"/>
              <w:spacing w:line="360" w:lineRule="auto"/>
              <w:ind w:firstLine="480" w:firstLineChars="200"/>
              <w:rPr>
                <w:kern w:val="0"/>
                <w:sz w:val="24"/>
                <w:szCs w:val="24"/>
              </w:rPr>
            </w:pPr>
            <w:r>
              <w:rPr>
                <w:rFonts w:hint="eastAsia" w:cs="宋体"/>
                <w:kern w:val="0"/>
                <w:sz w:val="24"/>
                <w:szCs w:val="24"/>
              </w:rPr>
              <w:t>本项目已于</w:t>
            </w:r>
            <w:r>
              <w:rPr>
                <w:color w:val="000000"/>
                <w:kern w:val="0"/>
                <w:sz w:val="24"/>
                <w:szCs w:val="24"/>
              </w:rPr>
              <w:t>202</w:t>
            </w:r>
            <w:r>
              <w:rPr>
                <w:rFonts w:hint="eastAsia"/>
                <w:color w:val="000000"/>
                <w:kern w:val="0"/>
                <w:sz w:val="24"/>
                <w:szCs w:val="24"/>
              </w:rPr>
              <w:t>2</w:t>
            </w:r>
            <w:r>
              <w:rPr>
                <w:rFonts w:hint="eastAsia" w:cs="宋体"/>
                <w:kern w:val="0"/>
                <w:sz w:val="24"/>
                <w:szCs w:val="24"/>
              </w:rPr>
              <w:t>年1月6日经</w:t>
            </w:r>
            <w:r>
              <w:rPr>
                <w:rFonts w:hint="eastAsia" w:cs="宋体"/>
                <w:sz w:val="24"/>
                <w:szCs w:val="24"/>
              </w:rPr>
              <w:t>宿州经济技术开发区经济发展局</w:t>
            </w:r>
            <w:r>
              <w:rPr>
                <w:rFonts w:hint="eastAsia" w:cs="宋体"/>
                <w:kern w:val="0"/>
                <w:sz w:val="24"/>
                <w:szCs w:val="24"/>
              </w:rPr>
              <w:t>（项目代码：</w:t>
            </w:r>
            <w:r>
              <w:rPr>
                <w:color w:val="000000"/>
                <w:sz w:val="24"/>
                <w:szCs w:val="24"/>
              </w:rPr>
              <w:t>2</w:t>
            </w:r>
            <w:r>
              <w:rPr>
                <w:rFonts w:hint="eastAsia"/>
                <w:color w:val="000000"/>
                <w:sz w:val="24"/>
                <w:szCs w:val="24"/>
              </w:rPr>
              <w:t>201</w:t>
            </w:r>
            <w:r>
              <w:rPr>
                <w:color w:val="000000"/>
                <w:sz w:val="24"/>
                <w:szCs w:val="24"/>
              </w:rPr>
              <w:t>-</w:t>
            </w:r>
            <w:r>
              <w:rPr>
                <w:rFonts w:hint="eastAsia"/>
                <w:color w:val="000000"/>
                <w:sz w:val="24"/>
                <w:szCs w:val="24"/>
              </w:rPr>
              <w:t>341361</w:t>
            </w:r>
            <w:r>
              <w:rPr>
                <w:color w:val="000000"/>
                <w:sz w:val="24"/>
                <w:szCs w:val="24"/>
              </w:rPr>
              <w:t>-04-0</w:t>
            </w:r>
            <w:r>
              <w:rPr>
                <w:rFonts w:hint="eastAsia"/>
                <w:color w:val="000000"/>
                <w:sz w:val="24"/>
                <w:szCs w:val="24"/>
              </w:rPr>
              <w:t>1</w:t>
            </w:r>
            <w:r>
              <w:rPr>
                <w:color w:val="000000"/>
                <w:sz w:val="24"/>
                <w:szCs w:val="24"/>
              </w:rPr>
              <w:t>-</w:t>
            </w:r>
            <w:r>
              <w:rPr>
                <w:rFonts w:hint="eastAsia"/>
                <w:color w:val="000000"/>
                <w:sz w:val="24"/>
                <w:szCs w:val="24"/>
              </w:rPr>
              <w:t>124901</w:t>
            </w:r>
            <w:r>
              <w:rPr>
                <w:rFonts w:hint="eastAsia" w:cs="宋体"/>
                <w:kern w:val="0"/>
                <w:sz w:val="24"/>
                <w:szCs w:val="24"/>
              </w:rPr>
              <w:t>）批准备案。</w:t>
            </w:r>
          </w:p>
          <w:p>
            <w:pPr>
              <w:autoSpaceDE w:val="0"/>
              <w:autoSpaceDN w:val="0"/>
              <w:adjustRightInd w:val="0"/>
              <w:snapToGrid w:val="0"/>
              <w:spacing w:line="360" w:lineRule="auto"/>
              <w:ind w:firstLine="480" w:firstLineChars="200"/>
              <w:rPr>
                <w:kern w:val="0"/>
                <w:sz w:val="24"/>
                <w:szCs w:val="24"/>
              </w:rPr>
            </w:pPr>
            <w:r>
              <w:rPr>
                <w:rFonts w:hint="eastAsia" w:cs="宋体"/>
                <w:kern w:val="0"/>
                <w:sz w:val="24"/>
                <w:szCs w:val="24"/>
              </w:rPr>
              <w:t>因此，本项目的建设符合国家和地方相关产业政策的要求。</w:t>
            </w:r>
          </w:p>
          <w:p>
            <w:pPr>
              <w:pStyle w:val="30"/>
              <w:spacing w:line="360" w:lineRule="auto"/>
              <w:rPr>
                <w:rFonts w:ascii="Times New Roman" w:hAnsi="Times New Roman" w:cs="Times New Roman"/>
                <w:b/>
                <w:bCs/>
                <w:color w:val="auto"/>
              </w:rPr>
            </w:pPr>
            <w:r>
              <w:rPr>
                <w:rFonts w:ascii="Times New Roman" w:hAnsi="Times New Roman" w:cs="Times New Roman"/>
                <w:b/>
                <w:bCs/>
                <w:color w:val="auto"/>
              </w:rPr>
              <w:t>3</w:t>
            </w:r>
            <w:r>
              <w:rPr>
                <w:rFonts w:hint="eastAsia" w:ascii="Times New Roman" w:hAnsi="Times New Roman"/>
                <w:b/>
                <w:bCs/>
                <w:color w:val="auto"/>
              </w:rPr>
              <w:t>、与周边环境相容性分析</w:t>
            </w:r>
          </w:p>
          <w:p>
            <w:pPr>
              <w:pStyle w:val="30"/>
              <w:spacing w:line="360" w:lineRule="auto"/>
              <w:ind w:firstLine="480" w:firstLineChars="200"/>
              <w:rPr>
                <w:rFonts w:ascii="Times New Roman" w:hAnsi="Times New Roman" w:cs="Times New Roman"/>
                <w:color w:val="auto"/>
              </w:rPr>
            </w:pPr>
            <w:r>
              <w:rPr>
                <w:rFonts w:ascii="Times New Roman" w:hAnsi="Times New Roman" w:cs="Times New Roman"/>
                <w:kern w:val="0"/>
              </w:rPr>
              <w:t>本项目位于</w:t>
            </w:r>
            <w:r>
              <w:rPr>
                <w:rFonts w:hint="eastAsia" w:ascii="Times New Roman" w:hAnsi="Times New Roman" w:cs="Times New Roman"/>
                <w:kern w:val="0"/>
              </w:rPr>
              <w:t>宿州市经济技术开发区金泰路</w:t>
            </w:r>
            <w:r>
              <w:rPr>
                <w:rFonts w:hint="eastAsia"/>
                <w:color w:val="auto"/>
                <w:kern w:val="0"/>
              </w:rPr>
              <w:t>，</w:t>
            </w:r>
            <w:r>
              <w:rPr>
                <w:rFonts w:hint="eastAsia" w:ascii="Times New Roman" w:hAnsi="Times New Roman"/>
                <w:color w:val="auto"/>
              </w:rPr>
              <w:t>项目地北侧为安徽亿海矿山设备股份有限公司，东侧、西侧和南侧均为空地，详细情况见项目周边关系图（附图4）。</w:t>
            </w:r>
          </w:p>
          <w:p>
            <w:pPr>
              <w:spacing w:line="360" w:lineRule="auto"/>
              <w:ind w:firstLine="480" w:firstLineChars="200"/>
              <w:rPr>
                <w:sz w:val="24"/>
                <w:szCs w:val="24"/>
              </w:rPr>
            </w:pPr>
            <w:r>
              <w:rPr>
                <w:rFonts w:hint="eastAsia" w:cs="宋体"/>
                <w:color w:val="auto"/>
                <w:sz w:val="24"/>
                <w:szCs w:val="24"/>
              </w:rPr>
              <w:t>根据业主提供的资料和现场勘察可知，本项目厂界外500</w:t>
            </w:r>
            <w:r>
              <w:rPr>
                <w:color w:val="auto"/>
                <w:sz w:val="24"/>
                <w:szCs w:val="24"/>
              </w:rPr>
              <w:t>m</w:t>
            </w:r>
            <w:r>
              <w:rPr>
                <w:rFonts w:hint="eastAsia"/>
                <w:color w:val="auto"/>
                <w:sz w:val="24"/>
                <w:szCs w:val="24"/>
              </w:rPr>
              <w:t>范围内无</w:t>
            </w:r>
            <w:r>
              <w:rPr>
                <w:rFonts w:hint="eastAsia"/>
                <w:color w:val="auto"/>
                <w:kern w:val="1"/>
                <w:sz w:val="24"/>
                <w:lang w:eastAsia="zh-CN"/>
              </w:rPr>
              <w:t>对环境敏感企业（如食品行业等）、无</w:t>
            </w:r>
            <w:r>
              <w:rPr>
                <w:rFonts w:hint="eastAsia"/>
                <w:color w:val="auto"/>
                <w:sz w:val="24"/>
                <w:szCs w:val="24"/>
              </w:rPr>
              <w:t>居民点、自然风景保护区等敏感点</w:t>
            </w:r>
            <w:r>
              <w:rPr>
                <w:rFonts w:hint="eastAsia"/>
                <w:color w:val="auto"/>
                <w:sz w:val="24"/>
                <w:szCs w:val="24"/>
                <w:lang w:eastAsia="zh-CN"/>
              </w:rPr>
              <w:t>，</w:t>
            </w:r>
            <w:r>
              <w:rPr>
                <w:rFonts w:hint="eastAsia"/>
                <w:color w:val="auto"/>
                <w:kern w:val="1"/>
                <w:sz w:val="24"/>
              </w:rPr>
              <w:t>本项目</w:t>
            </w:r>
            <w:r>
              <w:rPr>
                <w:rFonts w:hint="eastAsia"/>
                <w:color w:val="auto"/>
                <w:kern w:val="1"/>
                <w:sz w:val="24"/>
                <w:lang w:eastAsia="zh-CN"/>
              </w:rPr>
              <w:t>对周围环境</w:t>
            </w:r>
            <w:r>
              <w:rPr>
                <w:rFonts w:hint="eastAsia"/>
                <w:color w:val="auto"/>
                <w:kern w:val="1"/>
                <w:sz w:val="24"/>
              </w:rPr>
              <w:t>影响较小</w:t>
            </w:r>
            <w:r>
              <w:rPr>
                <w:rFonts w:hint="eastAsia" w:ascii="宋体" w:hAnsi="宋体" w:cs="宋体"/>
                <w:color w:val="auto"/>
                <w:sz w:val="24"/>
                <w:szCs w:val="24"/>
              </w:rPr>
              <w:t>。</w:t>
            </w:r>
            <w:r>
              <w:rPr>
                <w:rFonts w:hint="eastAsia" w:cs="宋体"/>
                <w:color w:val="auto"/>
                <w:kern w:val="0"/>
                <w:sz w:val="24"/>
                <w:szCs w:val="24"/>
              </w:rPr>
              <w:t>根据工程分析，本项目运营过程中产生的污染物主要为废气、废水、</w:t>
            </w:r>
            <w:r>
              <w:rPr>
                <w:rFonts w:hint="eastAsia" w:cs="宋体"/>
                <w:kern w:val="0"/>
                <w:sz w:val="24"/>
                <w:szCs w:val="24"/>
              </w:rPr>
              <w:t>噪声和固体废弃物。项目生产过程中产生的粉尘经脉冲布筒除尘器或单筒无动力除尘器进行处理，处理达标后高空排放，对空气环境影响较小；项目区实行</w:t>
            </w:r>
            <w:r>
              <w:rPr>
                <w:rFonts w:hint="eastAsia" w:cs="宋体"/>
                <w:sz w:val="24"/>
                <w:szCs w:val="24"/>
              </w:rPr>
              <w:t>雨污分流，雨水进入区域雨水管网；食堂废水经隔油池处理后，与生活污水一同</w:t>
            </w:r>
            <w:r>
              <w:rPr>
                <w:sz w:val="24"/>
                <w:szCs w:val="24"/>
              </w:rPr>
              <w:t>经化粪池处理后纳管</w:t>
            </w:r>
            <w:r>
              <w:rPr>
                <w:rFonts w:hint="eastAsia" w:cs="宋体"/>
                <w:sz w:val="24"/>
                <w:szCs w:val="24"/>
              </w:rPr>
              <w:t>，</w:t>
            </w:r>
            <w:r>
              <w:rPr>
                <w:rFonts w:hint="eastAsia" w:cs="宋体"/>
                <w:sz w:val="24"/>
                <w:szCs w:val="24"/>
                <w:lang w:eastAsia="zh-CN"/>
              </w:rPr>
              <w:t>纯水制备</w:t>
            </w:r>
            <w:r>
              <w:rPr>
                <w:rFonts w:hint="eastAsia" w:cs="宋体"/>
                <w:color w:val="auto"/>
                <w:sz w:val="24"/>
                <w:szCs w:val="24"/>
                <w:lang w:eastAsia="zh-CN"/>
              </w:rPr>
              <w:t>废水</w:t>
            </w:r>
            <w:r>
              <w:rPr>
                <w:rFonts w:hint="eastAsia"/>
                <w:color w:val="auto"/>
                <w:sz w:val="24"/>
                <w:szCs w:val="24"/>
              </w:rPr>
              <w:t>浓度满足</w:t>
            </w:r>
            <w:r>
              <w:rPr>
                <w:rFonts w:hint="eastAsia"/>
                <w:sz w:val="24"/>
                <w:szCs w:val="24"/>
              </w:rPr>
              <w:t>宿州市经济技术开发区污水处理厂接管标准，可直接纳管排入区域管网</w:t>
            </w:r>
            <w:r>
              <w:rPr>
                <w:rFonts w:hint="eastAsia" w:cs="宋体"/>
                <w:sz w:val="24"/>
                <w:szCs w:val="24"/>
              </w:rPr>
              <w:t>，所有废水均进入宿州市经济技术开发区污水处理厂集中处理，达标后排入运粮河，对地表水环境影响较小；项目产生的危险废物暂存于危废暂存间内，定期委托有危废处理资质公司的单位妥善处置，对周围环境影响较小。项目在运营期</w:t>
            </w:r>
            <w:r>
              <w:rPr>
                <w:rFonts w:hint="eastAsia" w:cs="宋体"/>
                <w:kern w:val="0"/>
                <w:sz w:val="24"/>
                <w:szCs w:val="24"/>
              </w:rPr>
              <w:t>采取相应的环保措施后，可以有效地避免或者减少给项目区域环境带来的不利影响。</w:t>
            </w:r>
            <w:r>
              <w:rPr>
                <w:rFonts w:hint="eastAsia" w:cs="宋体"/>
                <w:sz w:val="24"/>
                <w:szCs w:val="24"/>
              </w:rPr>
              <w:t>本项目的实施对周围的影响较小，周围环境没有对本项目建设的制约因素，项目建设与周围环境具有相容性。</w:t>
            </w:r>
          </w:p>
          <w:p>
            <w:pPr>
              <w:pStyle w:val="30"/>
              <w:spacing w:line="360" w:lineRule="auto"/>
              <w:rPr>
                <w:rFonts w:cs="Times New Roman"/>
                <w:b/>
                <w:bCs/>
              </w:rPr>
            </w:pPr>
            <w:r>
              <w:rPr>
                <w:rFonts w:ascii="Times New Roman" w:hAnsi="Times New Roman" w:cs="Times New Roman"/>
                <w:b/>
                <w:bCs/>
              </w:rPr>
              <w:t>4</w:t>
            </w:r>
            <w:r>
              <w:rPr>
                <w:rFonts w:hint="eastAsia"/>
                <w:b/>
                <w:bCs/>
              </w:rPr>
              <w:t>、“三线一单”符合性分析</w:t>
            </w:r>
          </w:p>
          <w:p>
            <w:pPr>
              <w:tabs>
                <w:tab w:val="left" w:pos="1830"/>
              </w:tabs>
              <w:spacing w:line="360" w:lineRule="auto"/>
              <w:ind w:firstLine="480" w:firstLineChars="200"/>
              <w:rPr>
                <w:sz w:val="24"/>
              </w:rPr>
            </w:pPr>
            <w:r>
              <w:rPr>
                <w:rFonts w:hint="eastAsia"/>
                <w:sz w:val="24"/>
              </w:rPr>
              <w:t>根据环境保护部于2016年7月15日印发《“十三五”环境影响评价改革实施方案》（环评[2016]95号）及2016年10月27日印发《关于以改善环境质量为核心加强环境影响评价管理的通知》（环评[2016]150号），其中“三线一单”是指“生态保护红线、环境质量底线、资源利用上线和环境准入负面清单”，同时要求切实加强环境影响评价管理，落实“三线一单”约束。</w:t>
            </w:r>
          </w:p>
          <w:p>
            <w:pPr>
              <w:tabs>
                <w:tab w:val="left" w:pos="1830"/>
              </w:tabs>
              <w:spacing w:line="360" w:lineRule="auto"/>
              <w:ind w:firstLine="480" w:firstLineChars="200"/>
              <w:rPr>
                <w:sz w:val="24"/>
              </w:rPr>
            </w:pPr>
            <w:r>
              <w:rPr>
                <w:rFonts w:hint="eastAsia"/>
                <w:sz w:val="24"/>
              </w:rPr>
              <w:t>本项目与“三线一单”相符性分析如下：</w:t>
            </w:r>
          </w:p>
          <w:p>
            <w:pPr>
              <w:tabs>
                <w:tab w:val="left" w:pos="1830"/>
              </w:tabs>
              <w:spacing w:line="360" w:lineRule="auto"/>
              <w:ind w:firstLine="480" w:firstLineChars="200"/>
              <w:rPr>
                <w:sz w:val="24"/>
              </w:rPr>
            </w:pPr>
            <w:r>
              <w:rPr>
                <w:sz w:val="24"/>
              </w:rPr>
              <w:t>（1）与生态红线相符性分析</w:t>
            </w:r>
          </w:p>
          <w:p>
            <w:pPr>
              <w:pStyle w:val="30"/>
              <w:spacing w:line="360" w:lineRule="auto"/>
              <w:ind w:firstLine="480" w:firstLineChars="200"/>
            </w:pPr>
            <w:r>
              <w:rPr>
                <w:rFonts w:hint="eastAsia"/>
                <w:color w:val="auto"/>
              </w:rPr>
              <w:t>本项目位于</w:t>
            </w:r>
            <w:r>
              <w:rPr>
                <w:rFonts w:hint="eastAsia" w:ascii="Times New Roman" w:hAnsi="Times New Roman" w:cs="Times New Roman"/>
                <w:kern w:val="0"/>
              </w:rPr>
              <w:t>宿州市经济技术开发区金泰路</w:t>
            </w:r>
            <w:r>
              <w:rPr>
                <w:rFonts w:hint="eastAsia"/>
                <w:kern w:val="0"/>
              </w:rPr>
              <w:t>。根据《安徽省生态保护红线》、《宿州市生态保护红线》和现场踏勘情况，对照宿州市生态保护红线区域分布图，本项目所在地不在生态保护红线内，且不在当地饮用水源、风景区、自然保护区等生态保护区内，因此本项目的建设与生态红线相符。</w:t>
            </w:r>
          </w:p>
          <w:p>
            <w:pPr>
              <w:pStyle w:val="30"/>
              <w:spacing w:line="360" w:lineRule="auto"/>
              <w:ind w:firstLine="480" w:firstLineChars="200"/>
              <w:rPr>
                <w:bCs/>
              </w:rPr>
            </w:pPr>
            <w:r>
              <w:rPr>
                <w:rFonts w:hint="eastAsia"/>
                <w:bCs/>
              </w:rPr>
              <w:t>（</w:t>
            </w:r>
            <w:r>
              <w:rPr>
                <w:rFonts w:ascii="Times New Roman" w:hAnsi="Times New Roman"/>
                <w:bCs/>
              </w:rPr>
              <w:t>2</w:t>
            </w:r>
            <w:r>
              <w:rPr>
                <w:rFonts w:hint="eastAsia"/>
                <w:bCs/>
              </w:rPr>
              <w:t>）</w:t>
            </w:r>
            <w:r>
              <w:rPr>
                <w:bCs/>
              </w:rPr>
              <w:t>环境质量底线相符性分析</w:t>
            </w:r>
          </w:p>
          <w:p>
            <w:pPr>
              <w:spacing w:line="360" w:lineRule="auto"/>
              <w:ind w:firstLine="480" w:firstLineChars="200"/>
              <w:rPr>
                <w:sz w:val="24"/>
              </w:rPr>
            </w:pPr>
            <w:r>
              <w:rPr>
                <w:sz w:val="24"/>
              </w:rPr>
              <w:t>1）根据</w:t>
            </w:r>
            <w:r>
              <w:rPr>
                <w:rFonts w:hint="eastAsia"/>
                <w:color w:val="auto"/>
                <w:sz w:val="24"/>
              </w:rPr>
              <w:t>宿州市2020年环境质量公报及“</w:t>
            </w:r>
            <w:r>
              <w:rPr>
                <w:sz w:val="24"/>
              </w:rPr>
              <w:t>基于互联网的环境影响评价技术服务平台</w:t>
            </w:r>
            <w:r>
              <w:rPr>
                <w:rFonts w:hint="eastAsia"/>
                <w:sz w:val="24"/>
              </w:rPr>
              <w:t>”</w:t>
            </w:r>
            <w:r>
              <w:rPr>
                <w:sz w:val="24"/>
              </w:rPr>
              <w:t>发布的信息，宿州市</w:t>
            </w:r>
            <w:r>
              <w:rPr>
                <w:rFonts w:hint="eastAsia"/>
                <w:sz w:val="24"/>
              </w:rPr>
              <w:t>2020</w:t>
            </w:r>
            <w:r>
              <w:rPr>
                <w:sz w:val="24"/>
              </w:rPr>
              <w:t>年环境空气质量基础污染物中超过《环境空气质量标准》（GB3095-2012）中二级标准限值的污染物为</w:t>
            </w:r>
            <w:r>
              <w:rPr>
                <w:color w:val="000000"/>
                <w:sz w:val="24"/>
              </w:rPr>
              <w:t>PM</w:t>
            </w:r>
            <w:r>
              <w:rPr>
                <w:color w:val="000000"/>
                <w:sz w:val="24"/>
                <w:vertAlign w:val="subscript"/>
              </w:rPr>
              <w:t>10</w:t>
            </w:r>
            <w:r>
              <w:rPr>
                <w:color w:val="000000"/>
                <w:sz w:val="24"/>
              </w:rPr>
              <w:t>、O</w:t>
            </w:r>
            <w:r>
              <w:rPr>
                <w:color w:val="000000"/>
                <w:sz w:val="24"/>
                <w:vertAlign w:val="subscript"/>
              </w:rPr>
              <w:t>3</w:t>
            </w:r>
            <w:r>
              <w:rPr>
                <w:color w:val="000000"/>
                <w:sz w:val="24"/>
              </w:rPr>
              <w:t>、PM</w:t>
            </w:r>
            <w:r>
              <w:rPr>
                <w:color w:val="000000"/>
                <w:sz w:val="24"/>
                <w:vertAlign w:val="subscript"/>
              </w:rPr>
              <w:t>2.5</w:t>
            </w:r>
            <w:r>
              <w:rPr>
                <w:rFonts w:ascii="宋体" w:hAnsi="宋体" w:cs="宋体"/>
                <w:sz w:val="24"/>
              </w:rPr>
              <w:t>，</w:t>
            </w:r>
            <w:r>
              <w:rPr>
                <w:color w:val="000000"/>
                <w:sz w:val="24"/>
              </w:rPr>
              <w:t>本项目评价</w:t>
            </w:r>
            <w:r>
              <w:rPr>
                <w:rFonts w:hint="eastAsia"/>
                <w:color w:val="000000"/>
                <w:sz w:val="24"/>
              </w:rPr>
              <w:t>所在区</w:t>
            </w:r>
            <w:r>
              <w:rPr>
                <w:color w:val="000000"/>
                <w:sz w:val="24"/>
              </w:rPr>
              <w:t>区域环境空气质量与《环境空气质</w:t>
            </w:r>
            <w:r>
              <w:rPr>
                <w:sz w:val="24"/>
              </w:rPr>
              <w:t>量标准》（GB3095-2012）中的二级标准尚有差距，宿州市环境空气质量为不达标区</w:t>
            </w:r>
            <w:r>
              <w:rPr>
                <w:rFonts w:hint="eastAsia"/>
                <w:sz w:val="24"/>
              </w:rPr>
              <w:t>。</w:t>
            </w:r>
          </w:p>
          <w:p>
            <w:pPr>
              <w:spacing w:line="360" w:lineRule="auto"/>
              <w:ind w:firstLine="480" w:firstLineChars="200"/>
              <w:rPr>
                <w:rFonts w:ascii="宋体" w:hAnsi="宋体" w:cs="宋体"/>
                <w:sz w:val="24"/>
              </w:rPr>
            </w:pPr>
            <w:r>
              <w:rPr>
                <w:rFonts w:hint="eastAsia"/>
                <w:sz w:val="24"/>
              </w:rPr>
              <w:t>本</w:t>
            </w:r>
            <w:r>
              <w:rPr>
                <w:sz w:val="24"/>
              </w:rPr>
              <w:t>项目排放废气的各项污染物，经处理后均能达标排放。</w:t>
            </w:r>
          </w:p>
          <w:p>
            <w:pPr>
              <w:spacing w:line="360" w:lineRule="auto"/>
              <w:ind w:firstLine="480" w:firstLineChars="200"/>
              <w:rPr>
                <w:rFonts w:ascii="宋体"/>
                <w:sz w:val="24"/>
                <w:szCs w:val="24"/>
              </w:rPr>
            </w:pPr>
            <w:r>
              <w:rPr>
                <w:sz w:val="24"/>
                <w:szCs w:val="24"/>
              </w:rPr>
              <w:t>2</w:t>
            </w:r>
            <w:r>
              <w:rPr>
                <w:rFonts w:hint="eastAsia" w:cs="宋体"/>
                <w:sz w:val="24"/>
                <w:szCs w:val="24"/>
              </w:rPr>
              <w:t>）</w:t>
            </w:r>
            <w:r>
              <w:rPr>
                <w:rFonts w:hint="eastAsia" w:ascii="宋体" w:hAnsi="宋体" w:cs="宋体"/>
                <w:sz w:val="24"/>
                <w:szCs w:val="24"/>
              </w:rPr>
              <w:t>监测结果表明，运粮河各监测因子均能满足《地表水环境质量标准》</w:t>
            </w:r>
            <w:r>
              <w:rPr>
                <w:rFonts w:hint="eastAsia" w:cs="宋体"/>
                <w:sz w:val="24"/>
                <w:szCs w:val="24"/>
              </w:rPr>
              <w:t>（</w:t>
            </w:r>
            <w:r>
              <w:rPr>
                <w:sz w:val="24"/>
                <w:szCs w:val="24"/>
              </w:rPr>
              <w:t>GB3838-2002</w:t>
            </w:r>
            <w:r>
              <w:rPr>
                <w:rFonts w:hint="eastAsia" w:cs="宋体"/>
                <w:sz w:val="24"/>
                <w:szCs w:val="24"/>
              </w:rPr>
              <w:t>）</w:t>
            </w:r>
            <w:r>
              <w:rPr>
                <w:rFonts w:hint="eastAsia" w:ascii="宋体" w:hAnsi="宋体" w:cs="宋体"/>
                <w:sz w:val="24"/>
                <w:szCs w:val="24"/>
              </w:rPr>
              <w:t>中的</w:t>
            </w:r>
            <w:r>
              <w:rPr>
                <w:sz w:val="24"/>
                <w:szCs w:val="24"/>
              </w:rPr>
              <w:t>V</w:t>
            </w:r>
            <w:r>
              <w:rPr>
                <w:rFonts w:hint="eastAsia" w:ascii="宋体" w:hAnsi="宋体" w:cs="宋体"/>
                <w:sz w:val="24"/>
                <w:szCs w:val="24"/>
              </w:rPr>
              <w:t>类标准，检测结果表明现状地表水水质较好。</w:t>
            </w:r>
          </w:p>
          <w:p>
            <w:pPr>
              <w:spacing w:line="360" w:lineRule="auto"/>
              <w:ind w:firstLine="480" w:firstLineChars="200"/>
              <w:rPr>
                <w:rFonts w:ascii="宋体" w:hAnsi="宋体" w:cs="宋体"/>
                <w:sz w:val="24"/>
                <w:szCs w:val="24"/>
              </w:rPr>
            </w:pPr>
            <w:r>
              <w:rPr>
                <w:rFonts w:hint="eastAsia" w:ascii="宋体" w:hAnsi="宋体" w:cs="宋体"/>
                <w:sz w:val="24"/>
                <w:szCs w:val="24"/>
              </w:rPr>
              <w:t>本项目食堂废水经隔油池预处理后，与生活污水一同经化粪池处理后纳管，</w:t>
            </w:r>
            <w:r>
              <w:rPr>
                <w:rStyle w:val="28"/>
                <w:rFonts w:hint="eastAsia"/>
                <w:kern w:val="0"/>
                <w:lang w:eastAsia="zh-CN"/>
              </w:rPr>
              <w:t>纯水制备</w:t>
            </w:r>
            <w:r>
              <w:rPr>
                <w:rFonts w:hint="eastAsia" w:ascii="宋体" w:hAnsi="宋体" w:cs="宋体"/>
                <w:color w:val="auto"/>
                <w:sz w:val="24"/>
                <w:szCs w:val="24"/>
                <w:lang w:eastAsia="zh-CN"/>
              </w:rPr>
              <w:t>废水</w:t>
            </w:r>
            <w:r>
              <w:rPr>
                <w:rFonts w:hint="eastAsia" w:ascii="宋体" w:hAnsi="宋体" w:cs="宋体"/>
                <w:sz w:val="24"/>
                <w:szCs w:val="24"/>
              </w:rPr>
              <w:t>浓度满足宿州市经济技术开发区污水处理厂接管标准，可直接纳管排入区域管网，所有废水均进入宿州市经济技术开发区污水处理厂集中处理，达标后排入运粮河，对地表水环境影响较小。</w:t>
            </w:r>
          </w:p>
          <w:p>
            <w:pPr>
              <w:spacing w:line="360" w:lineRule="auto"/>
              <w:ind w:firstLine="480" w:firstLineChars="200"/>
              <w:rPr>
                <w:sz w:val="24"/>
                <w:szCs w:val="24"/>
              </w:rPr>
            </w:pPr>
            <w:r>
              <w:rPr>
                <w:sz w:val="24"/>
                <w:szCs w:val="24"/>
              </w:rPr>
              <w:t>3</w:t>
            </w:r>
            <w:r>
              <w:rPr>
                <w:rFonts w:hint="eastAsia" w:cs="宋体"/>
                <w:sz w:val="24"/>
                <w:szCs w:val="24"/>
              </w:rPr>
              <w:t>）项目区域声环境能满足《声环境质量标准》（</w:t>
            </w:r>
            <w:r>
              <w:rPr>
                <w:sz w:val="24"/>
                <w:szCs w:val="24"/>
              </w:rPr>
              <w:t>GB3096-2008</w:t>
            </w:r>
            <w:r>
              <w:rPr>
                <w:rFonts w:hint="eastAsia" w:cs="宋体"/>
                <w:sz w:val="24"/>
                <w:szCs w:val="24"/>
              </w:rPr>
              <w:t>）中</w:t>
            </w:r>
            <w:r>
              <w:rPr>
                <w:sz w:val="24"/>
                <w:szCs w:val="24"/>
              </w:rPr>
              <w:t>3</w:t>
            </w:r>
            <w:r>
              <w:rPr>
                <w:rFonts w:hint="eastAsia" w:cs="宋体"/>
                <w:sz w:val="24"/>
                <w:szCs w:val="24"/>
              </w:rPr>
              <w:t>类标准。项目设备经减震、隔声处理后厂界噪声达到《工业企业厂界环境噪声排放标准》（</w:t>
            </w:r>
            <w:r>
              <w:rPr>
                <w:sz w:val="24"/>
                <w:szCs w:val="24"/>
              </w:rPr>
              <w:t>GB12348-2008</w:t>
            </w:r>
            <w:r>
              <w:rPr>
                <w:rFonts w:hint="eastAsia" w:cs="宋体"/>
                <w:sz w:val="24"/>
                <w:szCs w:val="24"/>
              </w:rPr>
              <w:t>）中的</w:t>
            </w:r>
            <w:r>
              <w:rPr>
                <w:sz w:val="24"/>
                <w:szCs w:val="24"/>
              </w:rPr>
              <w:t>3</w:t>
            </w:r>
            <w:r>
              <w:rPr>
                <w:rFonts w:hint="eastAsia" w:cs="宋体"/>
                <w:sz w:val="24"/>
                <w:szCs w:val="24"/>
              </w:rPr>
              <w:t>类标准，不改变评价区域声环境质量现状声功能区级别。</w:t>
            </w:r>
          </w:p>
          <w:p>
            <w:pPr>
              <w:pStyle w:val="30"/>
              <w:spacing w:line="360" w:lineRule="auto"/>
              <w:ind w:firstLine="480" w:firstLineChars="200"/>
              <w:rPr>
                <w:rFonts w:cs="Times New Roman"/>
              </w:rPr>
            </w:pPr>
            <w:r>
              <w:rPr>
                <w:rFonts w:hint="eastAsia"/>
              </w:rPr>
              <w:t>（</w:t>
            </w:r>
            <w:r>
              <w:rPr>
                <w:rFonts w:ascii="Times New Roman" w:hAnsi="Times New Roman" w:cs="Times New Roman"/>
              </w:rPr>
              <w:t>3</w:t>
            </w:r>
            <w:r>
              <w:rPr>
                <w:rFonts w:hint="eastAsia"/>
              </w:rPr>
              <w:t>）资源利用上线相符性分析</w:t>
            </w:r>
          </w:p>
          <w:p>
            <w:pPr>
              <w:autoSpaceDE w:val="0"/>
              <w:spacing w:line="360" w:lineRule="auto"/>
              <w:ind w:firstLine="480" w:firstLineChars="200"/>
              <w:rPr>
                <w:sz w:val="24"/>
                <w:szCs w:val="24"/>
              </w:rPr>
            </w:pPr>
            <w:r>
              <w:rPr>
                <w:rFonts w:hint="eastAsia" w:cs="宋体"/>
                <w:color w:val="000000"/>
                <w:sz w:val="24"/>
                <w:szCs w:val="24"/>
              </w:rPr>
              <w:t>本项目为C1329其他饲料加工，项目用水来自市政供水，项目用电由区域供电系统供给，可满足全厂用电需求。生产过程尽可能做到合理利用和节约能耗，最大限度地减少物耗、能耗。</w:t>
            </w:r>
          </w:p>
          <w:p>
            <w:pPr>
              <w:pStyle w:val="30"/>
              <w:spacing w:line="360" w:lineRule="auto"/>
              <w:ind w:firstLine="480" w:firstLineChars="200"/>
              <w:rPr>
                <w:rFonts w:cs="Times New Roman"/>
              </w:rPr>
            </w:pPr>
            <w:r>
              <w:rPr>
                <w:rFonts w:hint="eastAsia"/>
              </w:rPr>
              <w:t>（</w:t>
            </w:r>
            <w:r>
              <w:rPr>
                <w:rFonts w:ascii="Times New Roman" w:hAnsi="Times New Roman" w:cs="Times New Roman"/>
              </w:rPr>
              <w:t>4</w:t>
            </w:r>
            <w:r>
              <w:rPr>
                <w:rFonts w:hint="eastAsia"/>
              </w:rPr>
              <w:t>）与生态环境准入清单相符性</w:t>
            </w:r>
          </w:p>
          <w:p>
            <w:pPr>
              <w:pStyle w:val="30"/>
              <w:spacing w:line="360" w:lineRule="auto"/>
              <w:ind w:firstLine="480" w:firstLineChars="200"/>
              <w:rPr>
                <w:rFonts w:ascii="Times New Roman" w:hAnsi="Times New Roman" w:cs="Times New Roman"/>
                <w:color w:val="auto"/>
              </w:rPr>
            </w:pPr>
            <w:r>
              <w:rPr>
                <w:rFonts w:hint="eastAsia"/>
                <w:color w:val="auto"/>
              </w:rPr>
              <w:t>对照国家及地方产业政策和《市场准入负面清单草案（</w:t>
            </w:r>
            <w:r>
              <w:rPr>
                <w:rFonts w:ascii="Times New Roman" w:hAnsi="Times New Roman" w:cs="Times New Roman"/>
                <w:color w:val="auto"/>
              </w:rPr>
              <w:t>2020</w:t>
            </w:r>
            <w:r>
              <w:rPr>
                <w:rFonts w:hint="eastAsia" w:ascii="Times New Roman" w:hAnsi="Times New Roman"/>
                <w:color w:val="auto"/>
              </w:rPr>
              <w:t>年版</w:t>
            </w:r>
            <w:r>
              <w:rPr>
                <w:rFonts w:hint="eastAsia"/>
                <w:color w:val="auto"/>
              </w:rPr>
              <w:t>）》进行说明：本项目不属于《市场准入清单草案（</w:t>
            </w:r>
            <w:r>
              <w:rPr>
                <w:rFonts w:ascii="Times New Roman" w:hAnsi="Times New Roman" w:cs="Times New Roman"/>
                <w:color w:val="auto"/>
              </w:rPr>
              <w:t>2020</w:t>
            </w:r>
            <w:r>
              <w:rPr>
                <w:rFonts w:hint="eastAsia" w:ascii="Times New Roman" w:hAnsi="Times New Roman"/>
                <w:color w:val="auto"/>
              </w:rPr>
              <w:t>年版</w:t>
            </w:r>
            <w:r>
              <w:rPr>
                <w:rFonts w:hint="eastAsia"/>
                <w:color w:val="auto"/>
              </w:rPr>
              <w:t>）》中禁止准入类和限制准入类项目。根据《产业结构调整指导目录</w:t>
            </w:r>
            <w:r>
              <w:rPr>
                <w:rFonts w:ascii="Times New Roman" w:hAnsi="Times New Roman" w:cs="Times New Roman"/>
                <w:color w:val="auto"/>
              </w:rPr>
              <w:t>（2019年本）》（国家发展和改革委员会令第29号），本项目不属于国家产业政策中限制类、禁止类产业类别，视为允许类；</w:t>
            </w:r>
            <w:r>
              <w:rPr>
                <w:rFonts w:ascii="Times New Roman" w:hAnsi="Times New Roman" w:cs="Times New Roman"/>
                <w:color w:val="auto"/>
                <w:kern w:val="0"/>
              </w:rPr>
              <w:t>本项目位于宿州市经济技术开发区金泰路，属于C1329其他饲料加工，为农副产品加工业，</w:t>
            </w:r>
            <w:r>
              <w:rPr>
                <w:rFonts w:hint="eastAsia"/>
                <w:color w:val="auto"/>
                <w:kern w:val="0"/>
              </w:rPr>
              <w:t>不在</w:t>
            </w:r>
            <w:r>
              <w:rPr>
                <w:rFonts w:hint="eastAsia"/>
                <w:color w:val="auto"/>
              </w:rPr>
              <w:t>建设国家明令禁止的项目之列，项目不新建燃煤锅炉，使用1台</w:t>
            </w:r>
            <w:r>
              <w:rPr>
                <w:rFonts w:ascii="Times New Roman" w:hAnsi="Times New Roman" w:cs="Times New Roman"/>
                <w:color w:val="auto"/>
              </w:rPr>
              <w:t>2t/h的</w:t>
            </w:r>
            <w:r>
              <w:rPr>
                <w:rFonts w:hint="eastAsia"/>
                <w:color w:val="auto"/>
              </w:rPr>
              <w:t>燃气锅炉，</w:t>
            </w:r>
            <w:r>
              <w:rPr>
                <w:rFonts w:ascii="Times New Roman" w:hAnsi="Times New Roman" w:cs="Times New Roman"/>
                <w:color w:val="auto"/>
                <w:kern w:val="0"/>
              </w:rPr>
              <w:t>符合《</w:t>
            </w:r>
            <w:r>
              <w:rPr>
                <w:rFonts w:ascii="Times New Roman" w:hAnsi="Times New Roman" w:cs="Times New Roman"/>
                <w:color w:val="auto"/>
              </w:rPr>
              <w:t>宿州经济技术开发区总体发展规划》（2016-2030）的相关要求；本项目符合国家和地方的相关产业政策。</w:t>
            </w:r>
          </w:p>
          <w:p>
            <w:pPr>
              <w:pStyle w:val="30"/>
              <w:spacing w:line="360" w:lineRule="auto"/>
              <w:ind w:firstLine="480" w:firstLineChars="200"/>
            </w:pPr>
            <w:r>
              <w:rPr>
                <w:rFonts w:hint="eastAsia"/>
                <w:bCs/>
                <w:color w:val="auto"/>
              </w:rPr>
              <w:t>（</w:t>
            </w:r>
            <w:r>
              <w:rPr>
                <w:rFonts w:ascii="Times New Roman" w:hAnsi="Times New Roman" w:cs="Times New Roman"/>
                <w:bCs/>
                <w:color w:val="auto"/>
              </w:rPr>
              <w:t>5</w:t>
            </w:r>
            <w:r>
              <w:rPr>
                <w:rFonts w:hint="eastAsia"/>
                <w:bCs/>
                <w:color w:val="auto"/>
              </w:rPr>
              <w:t>）生</w:t>
            </w:r>
            <w:r>
              <w:rPr>
                <w:rFonts w:hint="eastAsia"/>
                <w:color w:val="auto"/>
                <w:kern w:val="1"/>
              </w:rPr>
              <w:t>态环境分区管控</w:t>
            </w:r>
          </w:p>
          <w:p>
            <w:pPr>
              <w:spacing w:line="360" w:lineRule="auto"/>
              <w:ind w:firstLine="480" w:firstLineChars="200"/>
              <w:rPr>
                <w:sz w:val="24"/>
              </w:rPr>
            </w:pPr>
            <w:r>
              <w:rPr>
                <w:rFonts w:hint="eastAsia"/>
                <w:sz w:val="24"/>
              </w:rPr>
              <w:t>加快实施生态保护红线、环境质量底线、资源利用上线和生态环境准入清单“三线一单”生态环境分区管控体系，有助于我省生态环境治理体系和治理能力现代化。安徽省共划定1002个生态环境管控单元，分为优先保护、重点管控和一般管控3类。</w:t>
            </w:r>
          </w:p>
          <w:p>
            <w:pPr>
              <w:spacing w:line="360" w:lineRule="auto"/>
              <w:ind w:firstLine="480" w:firstLineChars="200"/>
              <w:rPr>
                <w:sz w:val="24"/>
              </w:rPr>
            </w:pPr>
            <w:r>
              <w:rPr>
                <w:sz w:val="24"/>
              </w:rPr>
              <w:t>①</w:t>
            </w:r>
            <w:r>
              <w:rPr>
                <w:rFonts w:hint="eastAsia"/>
                <w:sz w:val="24"/>
              </w:rPr>
              <w:t>优先保护单元。共545个，面积42519.24平方公里，占全省国土面积的30.33%，包含生态保护红线、自然保护地、集中式饮用水水源保护区等生态功能重要区和生态环境敏感区，主要分布在皖南山区、皖西大别山区、巢湖湖区等重点生态功能区域。该区域突出空间用途管控，以严格保护生态环境为导向，依法禁止或限制大规模、高强度的工业开发和城镇建设，确保生态环境功能不降低。</w:t>
            </w:r>
          </w:p>
          <w:p>
            <w:pPr>
              <w:spacing w:line="360" w:lineRule="auto"/>
              <w:ind w:firstLine="480" w:firstLineChars="200"/>
              <w:rPr>
                <w:sz w:val="24"/>
              </w:rPr>
            </w:pPr>
            <w:r>
              <w:rPr>
                <w:sz w:val="24"/>
              </w:rPr>
              <w:t>②</w:t>
            </w:r>
            <w:r>
              <w:rPr>
                <w:rFonts w:hint="eastAsia"/>
                <w:sz w:val="24"/>
              </w:rPr>
              <w:t>重点管控单元。共354个，面积25011.43平方公里，占全省国土面积的17.84%，包含城镇规划边界、省级及以上开发区等开发强度高、污染物排放强度大的区域，以及环境问题相对集中的区域，主要分布在沿江、沿淮等重点发展区域。该区域突出污染物排放控制和环境风险防控，以守住环境质量底线、积极发展社会经济为导向，强化环境质量改善目标约束。</w:t>
            </w:r>
          </w:p>
          <w:p>
            <w:pPr>
              <w:spacing w:line="360" w:lineRule="auto"/>
              <w:ind w:firstLine="480" w:firstLineChars="200"/>
              <w:rPr>
                <w:sz w:val="24"/>
              </w:rPr>
            </w:pPr>
            <w:r>
              <w:rPr>
                <w:sz w:val="24"/>
              </w:rPr>
              <w:t>③</w:t>
            </w:r>
            <w:r>
              <w:rPr>
                <w:rFonts w:hint="eastAsia"/>
                <w:sz w:val="24"/>
              </w:rPr>
              <w:t>一般管控单元。共103个，面积72643.72平方公里，占全省国土面积的51.83%，优先保护单元、重点管控单元之外为一般管控单元。该区域以经济社会可持续发展为导向，执行区域生态环境保护的基本要求。</w:t>
            </w:r>
          </w:p>
          <w:p>
            <w:pPr>
              <w:spacing w:line="360" w:lineRule="auto"/>
              <w:ind w:firstLine="480" w:firstLineChars="200"/>
              <w:rPr>
                <w:color w:val="auto"/>
                <w:sz w:val="24"/>
              </w:rPr>
            </w:pPr>
            <w:r>
              <w:rPr>
                <w:rFonts w:hint="eastAsia"/>
                <w:sz w:val="24"/>
              </w:rPr>
              <w:t>本项目地址位于</w:t>
            </w:r>
            <w:r>
              <w:rPr>
                <w:rFonts w:hint="eastAsia"/>
                <w:kern w:val="0"/>
                <w:sz w:val="24"/>
                <w:szCs w:val="24"/>
              </w:rPr>
              <w:t>宿州市经济技术开发区金泰路</w:t>
            </w:r>
            <w:r>
              <w:rPr>
                <w:rFonts w:hint="eastAsia"/>
                <w:sz w:val="24"/>
              </w:rPr>
              <w:t>，该区域</w:t>
            </w:r>
            <w:r>
              <w:rPr>
                <w:rFonts w:hint="eastAsia"/>
                <w:color w:val="auto"/>
                <w:sz w:val="24"/>
              </w:rPr>
              <w:t>属于生态环境管控单元中的重点管控单元，不属于优先保护管控。</w:t>
            </w:r>
            <w:r>
              <w:rPr>
                <w:color w:val="auto"/>
                <w:kern w:val="1"/>
                <w:sz w:val="24"/>
              </w:rPr>
              <w:t>本项目在运营过程中产生的</w:t>
            </w:r>
            <w:r>
              <w:rPr>
                <w:rFonts w:hint="eastAsia"/>
                <w:color w:val="auto"/>
                <w:kern w:val="1"/>
                <w:sz w:val="24"/>
              </w:rPr>
              <w:t>各种</w:t>
            </w:r>
            <w:r>
              <w:rPr>
                <w:color w:val="auto"/>
                <w:kern w:val="1"/>
                <w:sz w:val="24"/>
              </w:rPr>
              <w:t>污染物经</w:t>
            </w:r>
            <w:r>
              <w:rPr>
                <w:rFonts w:hint="eastAsia"/>
                <w:color w:val="auto"/>
                <w:kern w:val="1"/>
                <w:sz w:val="24"/>
              </w:rPr>
              <w:t>各种</w:t>
            </w:r>
            <w:r>
              <w:rPr>
                <w:color w:val="auto"/>
                <w:kern w:val="1"/>
                <w:sz w:val="24"/>
              </w:rPr>
              <w:t>防治措施治理</w:t>
            </w:r>
            <w:r>
              <w:rPr>
                <w:rFonts w:hint="eastAsia"/>
                <w:color w:val="auto"/>
                <w:kern w:val="1"/>
                <w:sz w:val="24"/>
              </w:rPr>
              <w:t>达标</w:t>
            </w:r>
            <w:r>
              <w:rPr>
                <w:color w:val="auto"/>
                <w:kern w:val="1"/>
                <w:sz w:val="24"/>
              </w:rPr>
              <w:t>排放，</w:t>
            </w:r>
            <w:r>
              <w:rPr>
                <w:rFonts w:hint="eastAsia"/>
                <w:color w:val="auto"/>
                <w:kern w:val="1"/>
                <w:sz w:val="24"/>
              </w:rPr>
              <w:t>项目烟（粉）尘、SO</w:t>
            </w:r>
            <w:r>
              <w:rPr>
                <w:rFonts w:hint="eastAsia"/>
                <w:color w:val="auto"/>
                <w:kern w:val="1"/>
                <w:sz w:val="24"/>
                <w:vertAlign w:val="subscript"/>
              </w:rPr>
              <w:t>2</w:t>
            </w:r>
            <w:r>
              <w:rPr>
                <w:rFonts w:hint="eastAsia"/>
                <w:color w:val="auto"/>
                <w:kern w:val="1"/>
                <w:sz w:val="24"/>
              </w:rPr>
              <w:t>、NO</w:t>
            </w:r>
            <w:r>
              <w:rPr>
                <w:rFonts w:hint="eastAsia"/>
                <w:color w:val="auto"/>
                <w:kern w:val="1"/>
                <w:sz w:val="24"/>
                <w:vertAlign w:val="subscript"/>
              </w:rPr>
              <w:t>X</w:t>
            </w:r>
            <w:r>
              <w:rPr>
                <w:rFonts w:hint="eastAsia"/>
                <w:color w:val="auto"/>
                <w:kern w:val="1"/>
                <w:sz w:val="24"/>
              </w:rPr>
              <w:t>的排放总量满足总量控制要求。本项目满足</w:t>
            </w:r>
            <w:r>
              <w:rPr>
                <w:rFonts w:hint="eastAsia"/>
                <w:color w:val="auto"/>
                <w:sz w:val="24"/>
              </w:rPr>
              <w:t>该区域突出污染物排放控制和环境风险防控，以及守住环境质量底线、积极发展社会经济为导向，强化环境质量改善目标约束的相关要求。</w:t>
            </w:r>
          </w:p>
          <w:p>
            <w:pPr>
              <w:spacing w:line="360" w:lineRule="auto"/>
              <w:ind w:firstLine="480" w:firstLineChars="200"/>
              <w:rPr>
                <w:sz w:val="24"/>
              </w:rPr>
            </w:pPr>
            <w:r>
              <w:rPr>
                <w:rFonts w:hint="eastAsia"/>
                <w:color w:val="auto"/>
                <w:sz w:val="24"/>
              </w:rPr>
              <w:t>综上所述，本项目的建设符合《安徽省生态保护红线》、</w:t>
            </w:r>
            <w:r>
              <w:rPr>
                <w:sz w:val="24"/>
                <w:szCs w:val="24"/>
              </w:rPr>
              <w:t>宿州市的生态保护红线、以及《安徽省生态环境厅关于印发安徽</w:t>
            </w:r>
            <w:r>
              <w:rPr>
                <w:rFonts w:hint="eastAsia" w:ascii="宋体" w:hAnsi="宋体" w:cs="宋体"/>
                <w:sz w:val="24"/>
                <w:szCs w:val="24"/>
              </w:rPr>
              <w:t>省“三线一单”生态环境分区管控管理办法（暂行</w:t>
            </w:r>
            <w:r>
              <w:rPr>
                <w:sz w:val="24"/>
                <w:szCs w:val="24"/>
              </w:rPr>
              <w:t>）的通知》（皖环发〔2022〕5号）</w:t>
            </w:r>
            <w:r>
              <w:rPr>
                <w:rFonts w:hint="eastAsia"/>
                <w:sz w:val="24"/>
              </w:rPr>
              <w:t>的要求；本项目各污染物经采取相应措施后达标排放；本项目符合环境质量底线要求；本项目不会突破资源利用上线。故本项目的建设符合“三线一单”的管理要求。</w:t>
            </w:r>
          </w:p>
          <w:p>
            <w:pPr>
              <w:tabs>
                <w:tab w:val="left" w:pos="420"/>
              </w:tabs>
              <w:spacing w:line="360" w:lineRule="auto"/>
              <w:ind w:firstLine="360" w:firstLineChars="200"/>
              <w:rPr>
                <w:rFonts w:ascii="宋体"/>
                <w:kern w:val="0"/>
                <w:sz w:val="18"/>
                <w:szCs w:val="18"/>
              </w:rPr>
            </w:pPr>
          </w:p>
        </w:tc>
      </w:tr>
    </w:tbl>
    <w:p>
      <w:pPr>
        <w:spacing w:line="360" w:lineRule="auto"/>
        <w:outlineLvl w:val="0"/>
        <w:rPr>
          <w:rFonts w:eastAsia="黑体"/>
          <w:sz w:val="30"/>
          <w:szCs w:val="30"/>
        </w:rPr>
        <w:sectPr>
          <w:footerReference r:id="rId4" w:type="default"/>
          <w:pgSz w:w="11906" w:h="16838"/>
          <w:pgMar w:top="1701" w:right="1531" w:bottom="1701" w:left="1531" w:header="851" w:footer="1077" w:gutter="0"/>
          <w:pgNumType w:start="1"/>
          <w:cols w:space="720" w:num="1"/>
          <w:docGrid w:linePitch="312" w:charSpace="0"/>
        </w:sectPr>
      </w:pPr>
    </w:p>
    <w:p>
      <w:pPr>
        <w:pStyle w:val="20"/>
        <w:jc w:val="center"/>
        <w:outlineLvl w:val="0"/>
        <w:rPr>
          <w:rFonts w:ascii="黑体" w:hAnsi="黑体" w:eastAsia="黑体"/>
          <w:snapToGrid w:val="0"/>
          <w:sz w:val="30"/>
          <w:szCs w:val="30"/>
        </w:rPr>
      </w:pPr>
      <w:r>
        <w:rPr>
          <w:rFonts w:hint="eastAsia" w:ascii="黑体" w:hAnsi="黑体" w:eastAsia="黑体" w:cs="黑体"/>
          <w:snapToGrid w:val="0"/>
          <w:sz w:val="30"/>
          <w:szCs w:val="30"/>
        </w:rPr>
        <w:t>二、建设项目工程分析</w:t>
      </w:r>
    </w:p>
    <w:tbl>
      <w:tblPr>
        <w:tblStyle w:val="23"/>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23"/>
        <w:gridCol w:w="816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23" w:type="dxa"/>
            <w:tcBorders>
              <w:top w:val="single" w:color="auto" w:sz="8" w:space="0"/>
            </w:tcBorders>
            <w:vAlign w:val="center"/>
          </w:tcPr>
          <w:p>
            <w:pPr>
              <w:pStyle w:val="20"/>
              <w:adjustRightInd w:val="0"/>
              <w:snapToGrid w:val="0"/>
              <w:spacing w:before="0" w:beforeAutospacing="0" w:after="0" w:afterAutospacing="0"/>
              <w:jc w:val="center"/>
              <w:rPr>
                <w:sz w:val="21"/>
                <w:szCs w:val="21"/>
              </w:rPr>
            </w:pPr>
            <w:r>
              <w:rPr>
                <w:rFonts w:hint="eastAsia" w:cs="宋体"/>
                <w:sz w:val="21"/>
                <w:szCs w:val="21"/>
              </w:rPr>
              <w:t>建设内容</w:t>
            </w:r>
          </w:p>
        </w:tc>
        <w:tc>
          <w:tcPr>
            <w:tcW w:w="8161" w:type="dxa"/>
            <w:tcBorders>
              <w:top w:val="single" w:color="auto" w:sz="8" w:space="0"/>
            </w:tcBorders>
          </w:tcPr>
          <w:p>
            <w:pPr>
              <w:adjustRightInd w:val="0"/>
              <w:snapToGrid w:val="0"/>
              <w:spacing w:line="360" w:lineRule="auto"/>
              <w:ind w:firstLine="482" w:firstLineChars="200"/>
              <w:outlineLvl w:val="2"/>
              <w:rPr>
                <w:b/>
                <w:bCs/>
                <w:sz w:val="24"/>
                <w:szCs w:val="24"/>
              </w:rPr>
            </w:pPr>
            <w:r>
              <w:rPr>
                <w:rFonts w:hint="eastAsia" w:cs="宋体"/>
                <w:b/>
                <w:bCs/>
                <w:sz w:val="24"/>
                <w:szCs w:val="24"/>
              </w:rPr>
              <w:t>1、项目基本情况</w:t>
            </w:r>
          </w:p>
          <w:p>
            <w:pPr>
              <w:adjustRightInd w:val="0"/>
              <w:snapToGrid w:val="0"/>
              <w:spacing w:line="360" w:lineRule="auto"/>
              <w:ind w:firstLine="480" w:firstLineChars="200"/>
              <w:outlineLvl w:val="2"/>
              <w:rPr>
                <w:sz w:val="24"/>
                <w:szCs w:val="24"/>
              </w:rPr>
            </w:pPr>
            <w:r>
              <w:rPr>
                <w:rFonts w:hint="eastAsia" w:cs="宋体"/>
                <w:sz w:val="24"/>
                <w:szCs w:val="24"/>
              </w:rPr>
              <w:t>项目名称：年产18万吨饲料项目</w:t>
            </w:r>
          </w:p>
          <w:p>
            <w:pPr>
              <w:adjustRightInd w:val="0"/>
              <w:snapToGrid w:val="0"/>
              <w:spacing w:line="360" w:lineRule="auto"/>
              <w:ind w:firstLine="480" w:firstLineChars="200"/>
              <w:outlineLvl w:val="2"/>
              <w:rPr>
                <w:sz w:val="24"/>
                <w:szCs w:val="24"/>
              </w:rPr>
            </w:pPr>
            <w:r>
              <w:rPr>
                <w:rFonts w:hint="eastAsia" w:cs="宋体"/>
                <w:sz w:val="24"/>
                <w:szCs w:val="24"/>
              </w:rPr>
              <w:t>建设单位：宿州万千饲料有限公司</w:t>
            </w:r>
          </w:p>
          <w:p>
            <w:pPr>
              <w:adjustRightInd w:val="0"/>
              <w:snapToGrid w:val="0"/>
              <w:spacing w:line="360" w:lineRule="auto"/>
              <w:ind w:firstLine="480" w:firstLineChars="200"/>
              <w:rPr>
                <w:sz w:val="24"/>
                <w:szCs w:val="24"/>
              </w:rPr>
            </w:pPr>
            <w:r>
              <w:rPr>
                <w:rFonts w:hint="eastAsia" w:cs="宋体"/>
                <w:sz w:val="24"/>
                <w:szCs w:val="24"/>
              </w:rPr>
              <w:t>项目性质：迁建</w:t>
            </w:r>
          </w:p>
          <w:p>
            <w:pPr>
              <w:adjustRightInd w:val="0"/>
              <w:snapToGrid w:val="0"/>
              <w:spacing w:line="360" w:lineRule="auto"/>
              <w:ind w:firstLine="480" w:firstLineChars="200"/>
              <w:rPr>
                <w:sz w:val="24"/>
                <w:szCs w:val="24"/>
              </w:rPr>
            </w:pPr>
            <w:r>
              <w:rPr>
                <w:rFonts w:hint="eastAsia" w:cs="宋体"/>
                <w:sz w:val="24"/>
                <w:szCs w:val="24"/>
              </w:rPr>
              <w:t>建设地点：</w:t>
            </w:r>
            <w:r>
              <w:rPr>
                <w:rFonts w:hint="eastAsia" w:cs="宋体"/>
                <w:color w:val="000000"/>
                <w:kern w:val="0"/>
                <w:sz w:val="24"/>
                <w:szCs w:val="24"/>
              </w:rPr>
              <w:t>宿州市经济技术开发区金泰路</w:t>
            </w:r>
          </w:p>
          <w:p>
            <w:pPr>
              <w:adjustRightInd w:val="0"/>
              <w:snapToGrid w:val="0"/>
              <w:spacing w:line="360" w:lineRule="auto"/>
              <w:ind w:firstLine="480" w:firstLineChars="200"/>
              <w:jc w:val="left"/>
              <w:rPr>
                <w:sz w:val="24"/>
                <w:szCs w:val="24"/>
              </w:rPr>
            </w:pPr>
            <w:r>
              <w:rPr>
                <w:rFonts w:hint="eastAsia" w:cs="宋体"/>
                <w:sz w:val="24"/>
                <w:szCs w:val="24"/>
              </w:rPr>
              <w:t>投资总额：130</w:t>
            </w:r>
            <w:r>
              <w:rPr>
                <w:rFonts w:hint="eastAsia"/>
                <w:sz w:val="24"/>
                <w:szCs w:val="24"/>
              </w:rPr>
              <w:t>00</w:t>
            </w:r>
            <w:r>
              <w:rPr>
                <w:rFonts w:hint="eastAsia" w:cs="宋体"/>
                <w:sz w:val="24"/>
                <w:szCs w:val="24"/>
              </w:rPr>
              <w:t>万元</w:t>
            </w:r>
          </w:p>
          <w:p>
            <w:pPr>
              <w:adjustRightInd w:val="0"/>
              <w:snapToGrid w:val="0"/>
              <w:spacing w:line="360" w:lineRule="auto"/>
              <w:ind w:firstLine="480" w:firstLineChars="200"/>
              <w:rPr>
                <w:color w:val="auto"/>
                <w:sz w:val="24"/>
                <w:szCs w:val="24"/>
              </w:rPr>
            </w:pPr>
            <w:r>
              <w:rPr>
                <w:rFonts w:hint="eastAsia" w:cs="宋体"/>
                <w:sz w:val="24"/>
                <w:szCs w:val="24"/>
              </w:rPr>
              <w:t>建设内容与规模：</w:t>
            </w:r>
            <w:r>
              <w:rPr>
                <w:rStyle w:val="28"/>
                <w:rFonts w:hint="eastAsia"/>
                <w:kern w:val="0"/>
                <w:sz w:val="24"/>
                <w:szCs w:val="24"/>
              </w:rPr>
              <w:t>项目</w:t>
            </w:r>
            <w:r>
              <w:rPr>
                <w:rFonts w:hint="eastAsia"/>
                <w:sz w:val="24"/>
                <w:szCs w:val="24"/>
              </w:rPr>
              <w:t>总用地约50亩，主要建筑内容包括原料库、成品库、主车间、综合楼、锅炉房和其他辅助用房等等，在主车间内设置相关的生产设备，形成年产18万吨饲料生产能力。本项目为迁建项</w:t>
            </w:r>
            <w:r>
              <w:rPr>
                <w:rFonts w:hint="eastAsia"/>
                <w:color w:val="auto"/>
                <w:sz w:val="24"/>
                <w:szCs w:val="24"/>
              </w:rPr>
              <w:t>目，所有设备重新购置，不利旧。</w:t>
            </w:r>
          </w:p>
          <w:p>
            <w:pPr>
              <w:adjustRightInd w:val="0"/>
              <w:snapToGrid w:val="0"/>
              <w:spacing w:line="360" w:lineRule="auto"/>
              <w:ind w:firstLine="482" w:firstLineChars="200"/>
              <w:jc w:val="left"/>
              <w:rPr>
                <w:sz w:val="24"/>
                <w:szCs w:val="24"/>
              </w:rPr>
            </w:pPr>
            <w:r>
              <w:rPr>
                <w:rFonts w:hint="eastAsia" w:cs="宋体"/>
                <w:b/>
                <w:bCs/>
                <w:sz w:val="24"/>
                <w:szCs w:val="24"/>
              </w:rPr>
              <w:t>2、工程建设内容</w:t>
            </w:r>
          </w:p>
          <w:p>
            <w:pPr>
              <w:pStyle w:val="30"/>
              <w:spacing w:line="360" w:lineRule="auto"/>
              <w:ind w:firstLine="480" w:firstLineChars="200"/>
              <w:rPr>
                <w:b/>
                <w:bCs/>
              </w:rPr>
            </w:pPr>
            <w:r>
              <w:rPr>
                <w:rFonts w:hint="eastAsia" w:ascii="Times New Roman" w:hAnsi="Times New Roman"/>
                <w:color w:val="auto"/>
              </w:rPr>
              <w:t>项目建设内容及建设规模见下表2</w:t>
            </w:r>
            <w:r>
              <w:rPr>
                <w:rFonts w:ascii="Times New Roman" w:hAnsi="Times New Roman" w:cs="Times New Roman"/>
                <w:color w:val="auto"/>
              </w:rPr>
              <w:t>-1</w:t>
            </w:r>
            <w:r>
              <w:rPr>
                <w:rFonts w:hint="eastAsia" w:ascii="Times New Roman" w:hAnsi="Times New Roman"/>
                <w:color w:val="auto"/>
              </w:rPr>
              <w:t>。</w:t>
            </w:r>
          </w:p>
          <w:p>
            <w:pPr>
              <w:pStyle w:val="30"/>
              <w:spacing w:line="360" w:lineRule="auto"/>
              <w:jc w:val="center"/>
              <w:rPr>
                <w:rFonts w:cs="Times New Roman"/>
                <w:b/>
                <w:bCs/>
              </w:rPr>
            </w:pPr>
            <w:r>
              <w:rPr>
                <w:rFonts w:hint="eastAsia"/>
                <w:b/>
                <w:bCs/>
              </w:rPr>
              <w:t>表</w:t>
            </w:r>
            <w:r>
              <w:rPr>
                <w:rFonts w:ascii="Times New Roman" w:hAnsi="Times New Roman" w:cs="Times New Roman"/>
                <w:b/>
                <w:bCs/>
              </w:rPr>
              <w:t>2-1</w:t>
            </w:r>
            <w:r>
              <w:rPr>
                <w:rFonts w:hint="eastAsia" w:ascii="Times New Roman" w:hAnsi="Times New Roman" w:cs="Times New Roman"/>
                <w:b/>
                <w:bCs/>
                <w:lang w:val="en-US" w:eastAsia="zh-CN"/>
              </w:rPr>
              <w:t xml:space="preserve">  </w:t>
            </w:r>
            <w:r>
              <w:rPr>
                <w:rFonts w:hint="eastAsia"/>
                <w:b/>
                <w:bCs/>
              </w:rPr>
              <w:t>建设项目主要组成一览表</w:t>
            </w:r>
          </w:p>
          <w:tbl>
            <w:tblPr>
              <w:tblStyle w:val="23"/>
              <w:tblW w:w="7938" w:type="dxa"/>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3"/>
              <w:gridCol w:w="433"/>
              <w:gridCol w:w="110"/>
              <w:gridCol w:w="180"/>
              <w:gridCol w:w="627"/>
              <w:gridCol w:w="3072"/>
              <w:gridCol w:w="1153"/>
              <w:gridCol w:w="1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1083" w:type="dxa"/>
                  <w:tcBorders>
                    <w:top w:val="single" w:color="auto" w:sz="4" w:space="0"/>
                    <w:left w:val="single" w:color="auto" w:sz="4" w:space="0"/>
                    <w:bottom w:val="single" w:color="auto" w:sz="4" w:space="0"/>
                    <w:right w:val="single" w:color="auto" w:sz="4" w:space="0"/>
                  </w:tcBorders>
                  <w:vAlign w:val="center"/>
                </w:tcPr>
                <w:p>
                  <w:pPr>
                    <w:widowControl/>
                    <w:jc w:val="center"/>
                  </w:pPr>
                  <w:r>
                    <w:rPr>
                      <w:rFonts w:hint="eastAsia"/>
                    </w:rPr>
                    <w:t>工程类别</w:t>
                  </w:r>
                </w:p>
              </w:tc>
              <w:tc>
                <w:tcPr>
                  <w:tcW w:w="1350" w:type="dxa"/>
                  <w:gridSpan w:val="4"/>
                  <w:tcBorders>
                    <w:top w:val="single" w:color="auto" w:sz="4" w:space="0"/>
                    <w:left w:val="single" w:color="auto" w:sz="4" w:space="0"/>
                    <w:bottom w:val="single" w:color="auto" w:sz="4" w:space="0"/>
                    <w:right w:val="single" w:color="auto" w:sz="4" w:space="0"/>
                  </w:tcBorders>
                  <w:vAlign w:val="center"/>
                </w:tcPr>
                <w:p>
                  <w:pPr>
                    <w:widowControl/>
                    <w:jc w:val="center"/>
                  </w:pPr>
                  <w:r>
                    <w:rPr>
                      <w:rFonts w:hint="eastAsia"/>
                    </w:rPr>
                    <w:t>工程名称</w:t>
                  </w:r>
                </w:p>
              </w:tc>
              <w:tc>
                <w:tcPr>
                  <w:tcW w:w="4225" w:type="dxa"/>
                  <w:gridSpan w:val="2"/>
                  <w:tcBorders>
                    <w:top w:val="single" w:color="auto" w:sz="4" w:space="0"/>
                    <w:left w:val="single" w:color="auto" w:sz="4" w:space="0"/>
                    <w:bottom w:val="single" w:color="auto" w:sz="4" w:space="0"/>
                    <w:right w:val="single" w:color="auto" w:sz="4" w:space="0"/>
                  </w:tcBorders>
                  <w:vAlign w:val="center"/>
                </w:tcPr>
                <w:p>
                  <w:pPr>
                    <w:widowControl/>
                    <w:jc w:val="center"/>
                  </w:pPr>
                  <w:r>
                    <w:rPr>
                      <w:rFonts w:hint="eastAsia" w:cs="宋体"/>
                    </w:rPr>
                    <w:t>建设内容及规模</w:t>
                  </w:r>
                </w:p>
              </w:tc>
              <w:tc>
                <w:tcPr>
                  <w:tcW w:w="1280" w:type="dxa"/>
                  <w:tcBorders>
                    <w:top w:val="single" w:color="auto" w:sz="4" w:space="0"/>
                    <w:left w:val="single" w:color="auto" w:sz="4" w:space="0"/>
                    <w:bottom w:val="single" w:color="auto" w:sz="4" w:space="0"/>
                    <w:right w:val="single" w:color="auto" w:sz="4" w:space="0"/>
                  </w:tcBorders>
                  <w:vAlign w:val="center"/>
                </w:tcPr>
                <w:p>
                  <w:pPr>
                    <w:widowControl/>
                    <w:jc w:val="center"/>
                  </w:pPr>
                  <w:r>
                    <w:rPr>
                      <w:rFonts w:hint="eastAsia" w:cs="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10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pPr>
                  <w:r>
                    <w:rPr>
                      <w:rFonts w:hint="eastAsia" w:cs="宋体"/>
                    </w:rPr>
                    <w:t>主体工程</w:t>
                  </w:r>
                </w:p>
              </w:tc>
              <w:tc>
                <w:tcPr>
                  <w:tcW w:w="1350" w:type="dxa"/>
                  <w:gridSpan w:val="4"/>
                  <w:tcBorders>
                    <w:top w:val="single" w:color="auto" w:sz="4" w:space="0"/>
                    <w:left w:val="single" w:color="auto" w:sz="4" w:space="0"/>
                    <w:right w:val="single" w:color="auto" w:sz="4" w:space="0"/>
                  </w:tcBorders>
                  <w:vAlign w:val="center"/>
                </w:tcPr>
                <w:p>
                  <w:pPr>
                    <w:jc w:val="center"/>
                  </w:pPr>
                  <w:r>
                    <w:rPr>
                      <w:rFonts w:hint="eastAsia"/>
                    </w:rPr>
                    <w:t>生产车间</w:t>
                  </w:r>
                </w:p>
              </w:tc>
              <w:tc>
                <w:tcPr>
                  <w:tcW w:w="4225" w:type="dxa"/>
                  <w:gridSpan w:val="2"/>
                  <w:tcBorders>
                    <w:top w:val="single" w:color="auto" w:sz="4" w:space="0"/>
                    <w:left w:val="single" w:color="auto" w:sz="4" w:space="0"/>
                    <w:right w:val="single" w:color="auto" w:sz="4" w:space="0"/>
                  </w:tcBorders>
                  <w:vAlign w:val="center"/>
                </w:tcPr>
                <w:p>
                  <w:pPr>
                    <w:jc w:val="center"/>
                  </w:pPr>
                  <w:r>
                    <w:rPr>
                      <w:rFonts w:hint="eastAsia"/>
                    </w:rPr>
                    <w:t>主车间5F，建筑高度约为30m，建筑面积约为3360m</w:t>
                  </w:r>
                  <w:r>
                    <w:rPr>
                      <w:rFonts w:hint="eastAsia"/>
                      <w:vertAlign w:val="superscript"/>
                    </w:rPr>
                    <w:t>2</w:t>
                  </w:r>
                  <w:r>
                    <w:rPr>
                      <w:rFonts w:hint="eastAsia"/>
                    </w:rPr>
                    <w:t>，在主车间内布置原料接受系统、粉碎系统、配料混合系统、制粒系统和成品打包系统的相关设备，形成年产18万吨饲料生产线</w:t>
                  </w:r>
                </w:p>
              </w:tc>
              <w:tc>
                <w:tcPr>
                  <w:tcW w:w="128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1083" w:type="dxa"/>
                  <w:vMerge w:val="restart"/>
                  <w:tcBorders>
                    <w:top w:val="single" w:color="auto" w:sz="4" w:space="0"/>
                    <w:left w:val="single" w:color="auto" w:sz="4" w:space="0"/>
                    <w:right w:val="single" w:color="auto" w:sz="4" w:space="0"/>
                  </w:tcBorders>
                  <w:vAlign w:val="center"/>
                </w:tcPr>
                <w:p>
                  <w:pPr>
                    <w:spacing w:before="120"/>
                    <w:jc w:val="center"/>
                  </w:pPr>
                  <w:r>
                    <w:rPr>
                      <w:rFonts w:hint="eastAsia" w:cs="宋体"/>
                    </w:rPr>
                    <w:t>辅助工程</w:t>
                  </w:r>
                </w:p>
              </w:tc>
              <w:tc>
                <w:tcPr>
                  <w:tcW w:w="1350" w:type="dxa"/>
                  <w:gridSpan w:val="4"/>
                  <w:tcBorders>
                    <w:top w:val="single" w:color="auto" w:sz="4" w:space="0"/>
                    <w:left w:val="single" w:color="auto" w:sz="4" w:space="0"/>
                    <w:bottom w:val="single" w:color="auto" w:sz="4" w:space="0"/>
                    <w:right w:val="single" w:color="auto" w:sz="4" w:space="0"/>
                  </w:tcBorders>
                  <w:vAlign w:val="center"/>
                </w:tcPr>
                <w:p>
                  <w:pPr>
                    <w:jc w:val="center"/>
                  </w:pPr>
                  <w:r>
                    <w:rPr>
                      <w:rFonts w:hint="eastAsia"/>
                    </w:rPr>
                    <w:t>食堂</w:t>
                  </w:r>
                </w:p>
              </w:tc>
              <w:tc>
                <w:tcPr>
                  <w:tcW w:w="4225" w:type="dxa"/>
                  <w:gridSpan w:val="2"/>
                  <w:tcBorders>
                    <w:top w:val="single" w:color="auto" w:sz="4" w:space="0"/>
                    <w:left w:val="single" w:color="auto" w:sz="4" w:space="0"/>
                    <w:bottom w:val="single" w:color="auto" w:sz="4" w:space="0"/>
                    <w:right w:val="single" w:color="auto" w:sz="4" w:space="0"/>
                  </w:tcBorders>
                  <w:vAlign w:val="center"/>
                </w:tcPr>
                <w:p>
                  <w:pPr>
                    <w:jc w:val="center"/>
                  </w:pPr>
                  <w:r>
                    <w:rPr>
                      <w:rFonts w:hint="eastAsia"/>
                    </w:rPr>
                    <w:t>位于综合楼一楼，建筑面积约为500m</w:t>
                  </w:r>
                  <w:r>
                    <w:rPr>
                      <w:rFonts w:hint="eastAsia"/>
                      <w:vertAlign w:val="superscript"/>
                    </w:rPr>
                    <w:t>2</w:t>
                  </w:r>
                  <w:r>
                    <w:rPr>
                      <w:rFonts w:hint="eastAsia"/>
                    </w:rPr>
                    <w:t>，用于满足员工用餐需求</w:t>
                  </w:r>
                </w:p>
              </w:tc>
              <w:tc>
                <w:tcPr>
                  <w:tcW w:w="128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83" w:type="dxa"/>
                  <w:vMerge w:val="continue"/>
                  <w:tcBorders>
                    <w:left w:val="single" w:color="auto" w:sz="4" w:space="0"/>
                    <w:right w:val="single" w:color="auto" w:sz="4" w:space="0"/>
                  </w:tcBorders>
                  <w:vAlign w:val="center"/>
                </w:tcPr>
                <w:p>
                  <w:pPr>
                    <w:spacing w:before="120"/>
                    <w:jc w:val="center"/>
                    <w:rPr>
                      <w:rFonts w:cs="宋体"/>
                    </w:rPr>
                  </w:pPr>
                </w:p>
              </w:tc>
              <w:tc>
                <w:tcPr>
                  <w:tcW w:w="1350" w:type="dxa"/>
                  <w:gridSpan w:val="4"/>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宿舍</w:t>
                  </w:r>
                </w:p>
              </w:tc>
              <w:tc>
                <w:tcPr>
                  <w:tcW w:w="4225" w:type="dxa"/>
                  <w:gridSpan w:val="2"/>
                  <w:tcBorders>
                    <w:top w:val="single" w:color="auto" w:sz="4" w:space="0"/>
                    <w:left w:val="single" w:color="auto" w:sz="4" w:space="0"/>
                    <w:bottom w:val="single" w:color="auto" w:sz="4" w:space="0"/>
                    <w:right w:val="single" w:color="auto" w:sz="4" w:space="0"/>
                  </w:tcBorders>
                  <w:vAlign w:val="center"/>
                </w:tcPr>
                <w:p>
                  <w:pPr>
                    <w:jc w:val="center"/>
                  </w:pPr>
                  <w:r>
                    <w:rPr>
                      <w:rFonts w:hint="eastAsia"/>
                    </w:rPr>
                    <w:t>位于综合楼二楼和三楼，建筑面积约1200m</w:t>
                  </w:r>
                  <w:r>
                    <w:rPr>
                      <w:rFonts w:hint="eastAsia"/>
                      <w:vertAlign w:val="superscript"/>
                    </w:rPr>
                    <w:t>2</w:t>
                  </w:r>
                  <w:r>
                    <w:rPr>
                      <w:rFonts w:hint="eastAsia"/>
                    </w:rPr>
                    <w:t>，用于满足员工住宿需求</w:t>
                  </w:r>
                </w:p>
              </w:tc>
              <w:tc>
                <w:tcPr>
                  <w:tcW w:w="1280" w:type="dxa"/>
                  <w:tcBorders>
                    <w:top w:val="single" w:color="auto" w:sz="4" w:space="0"/>
                    <w:left w:val="single" w:color="auto" w:sz="4" w:space="0"/>
                    <w:bottom w:val="single" w:color="auto" w:sz="4" w:space="0"/>
                    <w:right w:val="single" w:color="auto" w:sz="4" w:space="0"/>
                  </w:tcBorders>
                  <w:vAlign w:val="center"/>
                </w:tcPr>
                <w:p>
                  <w:pPr>
                    <w:jc w:val="center"/>
                    <w:rPr>
                      <w:rFonts w:cs="宋体"/>
                    </w:rPr>
                  </w:pPr>
                  <w:r>
                    <w:rPr>
                      <w:rFonts w:hint="eastAsia"/>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 w:hRule="atLeast"/>
              </w:trPr>
              <w:tc>
                <w:tcPr>
                  <w:tcW w:w="1083" w:type="dxa"/>
                  <w:vMerge w:val="continue"/>
                  <w:tcBorders>
                    <w:left w:val="single" w:color="auto" w:sz="4" w:space="0"/>
                    <w:right w:val="single" w:color="auto" w:sz="4" w:space="0"/>
                  </w:tcBorders>
                  <w:vAlign w:val="center"/>
                </w:tcPr>
                <w:p>
                  <w:pPr>
                    <w:spacing w:before="120"/>
                    <w:jc w:val="center"/>
                    <w:rPr>
                      <w:rFonts w:cs="宋体"/>
                    </w:rPr>
                  </w:pPr>
                </w:p>
              </w:tc>
              <w:tc>
                <w:tcPr>
                  <w:tcW w:w="1350" w:type="dxa"/>
                  <w:gridSpan w:val="4"/>
                  <w:tcBorders>
                    <w:top w:val="single" w:color="auto" w:sz="4" w:space="0"/>
                    <w:left w:val="single" w:color="auto" w:sz="4" w:space="0"/>
                    <w:bottom w:val="single" w:color="auto" w:sz="4" w:space="0"/>
                    <w:right w:val="single" w:color="auto" w:sz="4" w:space="0"/>
                  </w:tcBorders>
                  <w:vAlign w:val="center"/>
                </w:tcPr>
                <w:p>
                  <w:pPr>
                    <w:jc w:val="center"/>
                    <w:rPr>
                      <w:rFonts w:cs="宋体"/>
                    </w:rPr>
                  </w:pPr>
                  <w:r>
                    <w:rPr>
                      <w:rFonts w:hint="eastAsia" w:cs="宋体"/>
                    </w:rPr>
                    <w:t>办公室</w:t>
                  </w:r>
                </w:p>
              </w:tc>
              <w:tc>
                <w:tcPr>
                  <w:tcW w:w="4225" w:type="dxa"/>
                  <w:gridSpan w:val="2"/>
                  <w:tcBorders>
                    <w:top w:val="single" w:color="auto" w:sz="4" w:space="0"/>
                    <w:left w:val="single" w:color="auto" w:sz="4" w:space="0"/>
                    <w:bottom w:val="single" w:color="auto" w:sz="4" w:space="0"/>
                    <w:right w:val="single" w:color="auto" w:sz="4" w:space="0"/>
                  </w:tcBorders>
                  <w:vAlign w:val="center"/>
                </w:tcPr>
                <w:p>
                  <w:pPr>
                    <w:jc w:val="center"/>
                  </w:pPr>
                  <w:r>
                    <w:rPr>
                      <w:rFonts w:hint="eastAsia"/>
                    </w:rPr>
                    <w:t>位于综合楼一楼，建筑面积约为100m</w:t>
                  </w:r>
                  <w:r>
                    <w:rPr>
                      <w:rFonts w:hint="eastAsia"/>
                      <w:vertAlign w:val="superscript"/>
                    </w:rPr>
                    <w:t>2</w:t>
                  </w:r>
                  <w:r>
                    <w:rPr>
                      <w:rFonts w:hint="eastAsia"/>
                    </w:rPr>
                    <w:t>，用于满足厂房办公需求</w:t>
                  </w:r>
                </w:p>
              </w:tc>
              <w:tc>
                <w:tcPr>
                  <w:tcW w:w="1280" w:type="dxa"/>
                  <w:tcBorders>
                    <w:top w:val="single" w:color="auto" w:sz="4" w:space="0"/>
                    <w:left w:val="single" w:color="auto" w:sz="4" w:space="0"/>
                    <w:bottom w:val="single" w:color="auto" w:sz="4" w:space="0"/>
                    <w:right w:val="single" w:color="auto" w:sz="4" w:space="0"/>
                  </w:tcBorders>
                  <w:vAlign w:val="center"/>
                </w:tcPr>
                <w:p>
                  <w:pPr>
                    <w:jc w:val="center"/>
                    <w:rPr>
                      <w:rFonts w:cs="宋体"/>
                    </w:rPr>
                  </w:pPr>
                  <w:r>
                    <w:rPr>
                      <w:rFonts w:hint="eastAsia"/>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 w:hRule="atLeast"/>
              </w:trPr>
              <w:tc>
                <w:tcPr>
                  <w:tcW w:w="1083" w:type="dxa"/>
                  <w:vMerge w:val="continue"/>
                  <w:tcBorders>
                    <w:left w:val="single" w:color="auto" w:sz="4" w:space="0"/>
                    <w:bottom w:val="single" w:color="auto" w:sz="4" w:space="0"/>
                    <w:right w:val="single" w:color="auto" w:sz="4" w:space="0"/>
                  </w:tcBorders>
                  <w:vAlign w:val="center"/>
                </w:tcPr>
                <w:p>
                  <w:pPr>
                    <w:spacing w:before="120"/>
                    <w:jc w:val="center"/>
                    <w:rPr>
                      <w:rFonts w:cs="宋体"/>
                    </w:rPr>
                  </w:pPr>
                </w:p>
              </w:tc>
              <w:tc>
                <w:tcPr>
                  <w:tcW w:w="1350" w:type="dxa"/>
                  <w:gridSpan w:val="4"/>
                  <w:tcBorders>
                    <w:top w:val="single" w:color="auto" w:sz="4" w:space="0"/>
                    <w:left w:val="single" w:color="auto" w:sz="4" w:space="0"/>
                    <w:bottom w:val="single" w:color="auto" w:sz="4" w:space="0"/>
                    <w:right w:val="single" w:color="auto" w:sz="4" w:space="0"/>
                  </w:tcBorders>
                  <w:vAlign w:val="center"/>
                </w:tcPr>
                <w:p>
                  <w:pPr>
                    <w:jc w:val="center"/>
                    <w:rPr>
                      <w:rFonts w:cs="宋体"/>
                    </w:rPr>
                  </w:pPr>
                  <w:r>
                    <w:rPr>
                      <w:rFonts w:hint="eastAsia" w:cs="宋体"/>
                    </w:rPr>
                    <w:t>锅炉房</w:t>
                  </w:r>
                </w:p>
              </w:tc>
              <w:tc>
                <w:tcPr>
                  <w:tcW w:w="4225" w:type="dxa"/>
                  <w:gridSpan w:val="2"/>
                  <w:tcBorders>
                    <w:top w:val="single" w:color="auto" w:sz="4" w:space="0"/>
                    <w:left w:val="single" w:color="auto" w:sz="4" w:space="0"/>
                    <w:bottom w:val="single" w:color="auto" w:sz="4" w:space="0"/>
                    <w:right w:val="single" w:color="auto" w:sz="4" w:space="0"/>
                  </w:tcBorders>
                  <w:vAlign w:val="center"/>
                </w:tcPr>
                <w:p>
                  <w:pPr>
                    <w:jc w:val="center"/>
                  </w:pPr>
                  <w:r>
                    <w:rPr>
                      <w:rFonts w:hint="eastAsia"/>
                      <w:color w:val="auto"/>
                    </w:rPr>
                    <w:t>位于厂区内北侧，1F，布设1台2t/h的燃气锅炉，建筑面积约120m</w:t>
                  </w:r>
                  <w:r>
                    <w:rPr>
                      <w:rFonts w:hint="eastAsia"/>
                      <w:color w:val="auto"/>
                      <w:vertAlign w:val="superscript"/>
                    </w:rPr>
                    <w:t>2</w:t>
                  </w:r>
                </w:p>
              </w:tc>
              <w:tc>
                <w:tcPr>
                  <w:tcW w:w="128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83" w:type="dxa"/>
                  <w:vMerge w:val="restart"/>
                  <w:tcBorders>
                    <w:left w:val="single" w:color="auto" w:sz="4" w:space="0"/>
                    <w:right w:val="single" w:color="auto" w:sz="4" w:space="0"/>
                  </w:tcBorders>
                  <w:vAlign w:val="center"/>
                </w:tcPr>
                <w:p>
                  <w:pPr>
                    <w:spacing w:before="120"/>
                    <w:jc w:val="center"/>
                    <w:rPr>
                      <w:rFonts w:cs="宋体"/>
                    </w:rPr>
                  </w:pPr>
                  <w:r>
                    <w:rPr>
                      <w:rFonts w:hint="eastAsia" w:cs="宋体"/>
                    </w:rPr>
                    <w:t>储运工程</w:t>
                  </w:r>
                </w:p>
              </w:tc>
              <w:tc>
                <w:tcPr>
                  <w:tcW w:w="1350" w:type="dxa"/>
                  <w:gridSpan w:val="4"/>
                  <w:tcBorders>
                    <w:top w:val="single" w:color="auto" w:sz="4" w:space="0"/>
                    <w:left w:val="single" w:color="auto" w:sz="4" w:space="0"/>
                    <w:bottom w:val="single" w:color="auto" w:sz="4" w:space="0"/>
                    <w:right w:val="single" w:color="auto" w:sz="4" w:space="0"/>
                  </w:tcBorders>
                  <w:vAlign w:val="center"/>
                </w:tcPr>
                <w:p>
                  <w:pPr>
                    <w:jc w:val="center"/>
                  </w:pPr>
                  <w:r>
                    <w:t>原料</w:t>
                  </w:r>
                  <w:r>
                    <w:rPr>
                      <w:rFonts w:hint="eastAsia"/>
                    </w:rPr>
                    <w:t>库</w:t>
                  </w:r>
                </w:p>
              </w:tc>
              <w:tc>
                <w:tcPr>
                  <w:tcW w:w="422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pPr>
                  <w:r>
                    <w:rPr>
                      <w:rFonts w:hint="eastAsia"/>
                    </w:rPr>
                    <w:t>位于厂区内西侧，建筑面积约为4320m</w:t>
                  </w:r>
                  <w:r>
                    <w:rPr>
                      <w:rFonts w:hint="eastAsia"/>
                      <w:vertAlign w:val="superscript"/>
                    </w:rPr>
                    <w:t>2</w:t>
                  </w:r>
                  <w:r>
                    <w:rPr>
                      <w:rFonts w:hint="eastAsia"/>
                    </w:rPr>
                    <w:t>，用于储存原料</w:t>
                  </w:r>
                </w:p>
              </w:tc>
              <w:tc>
                <w:tcPr>
                  <w:tcW w:w="1280" w:type="dxa"/>
                  <w:tcBorders>
                    <w:top w:val="single" w:color="auto" w:sz="4" w:space="0"/>
                    <w:left w:val="single" w:color="auto" w:sz="4" w:space="0"/>
                    <w:bottom w:val="single" w:color="auto" w:sz="4" w:space="0"/>
                    <w:right w:val="single" w:color="auto" w:sz="4" w:space="0"/>
                  </w:tcBorders>
                  <w:vAlign w:val="center"/>
                </w:tcPr>
                <w:p>
                  <w:pPr>
                    <w:jc w:val="center"/>
                    <w:rPr>
                      <w:rFonts w:cs="宋体"/>
                    </w:rPr>
                  </w:pPr>
                  <w:r>
                    <w:rPr>
                      <w:rFonts w:hint="eastAsia"/>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 w:hRule="atLeast"/>
              </w:trPr>
              <w:tc>
                <w:tcPr>
                  <w:tcW w:w="1083" w:type="dxa"/>
                  <w:vMerge w:val="continue"/>
                  <w:tcBorders>
                    <w:left w:val="single" w:color="auto" w:sz="4" w:space="0"/>
                    <w:bottom w:val="single" w:color="auto" w:sz="4" w:space="0"/>
                    <w:right w:val="single" w:color="auto" w:sz="4" w:space="0"/>
                  </w:tcBorders>
                  <w:vAlign w:val="center"/>
                </w:tcPr>
                <w:p>
                  <w:pPr>
                    <w:spacing w:before="120"/>
                    <w:jc w:val="center"/>
                    <w:rPr>
                      <w:rFonts w:cs="宋体"/>
                    </w:rPr>
                  </w:pPr>
                </w:p>
              </w:tc>
              <w:tc>
                <w:tcPr>
                  <w:tcW w:w="1350" w:type="dxa"/>
                  <w:gridSpan w:val="4"/>
                  <w:tcBorders>
                    <w:top w:val="single" w:color="auto" w:sz="4" w:space="0"/>
                    <w:left w:val="single" w:color="auto" w:sz="4" w:space="0"/>
                    <w:bottom w:val="single" w:color="auto" w:sz="4" w:space="0"/>
                    <w:right w:val="single" w:color="auto" w:sz="4" w:space="0"/>
                  </w:tcBorders>
                  <w:vAlign w:val="center"/>
                </w:tcPr>
                <w:p>
                  <w:pPr>
                    <w:jc w:val="center"/>
                  </w:pPr>
                  <w:r>
                    <w:t>成品</w:t>
                  </w:r>
                  <w:r>
                    <w:rPr>
                      <w:rFonts w:hint="eastAsia"/>
                    </w:rPr>
                    <w:t>库</w:t>
                  </w:r>
                </w:p>
              </w:tc>
              <w:tc>
                <w:tcPr>
                  <w:tcW w:w="422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pPr>
                  <w:r>
                    <w:rPr>
                      <w:rFonts w:hint="eastAsia"/>
                    </w:rPr>
                    <w:t>位于厂区内东侧，建筑面积约为2526m</w:t>
                  </w:r>
                  <w:r>
                    <w:rPr>
                      <w:rFonts w:hint="eastAsia"/>
                      <w:vertAlign w:val="superscript"/>
                    </w:rPr>
                    <w:t>2</w:t>
                  </w:r>
                  <w:r>
                    <w:rPr>
                      <w:rFonts w:hint="eastAsia"/>
                    </w:rPr>
                    <w:t>，用于储存成品饲料</w:t>
                  </w:r>
                </w:p>
              </w:tc>
              <w:tc>
                <w:tcPr>
                  <w:tcW w:w="1280" w:type="dxa"/>
                  <w:tcBorders>
                    <w:top w:val="single" w:color="auto" w:sz="4" w:space="0"/>
                    <w:left w:val="single" w:color="auto" w:sz="4" w:space="0"/>
                    <w:bottom w:val="single" w:color="auto" w:sz="4" w:space="0"/>
                    <w:right w:val="single" w:color="auto" w:sz="4" w:space="0"/>
                  </w:tcBorders>
                  <w:vAlign w:val="center"/>
                </w:tcPr>
                <w:p>
                  <w:pPr>
                    <w:jc w:val="center"/>
                    <w:rPr>
                      <w:rFonts w:cs="宋体"/>
                    </w:rPr>
                  </w:pPr>
                  <w:r>
                    <w:rPr>
                      <w:rFonts w:hint="eastAsia"/>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1083"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pPr>
                  <w:r>
                    <w:rPr>
                      <w:rFonts w:hint="eastAsia" w:cs="宋体"/>
                    </w:rPr>
                    <w:t>公用工程</w:t>
                  </w:r>
                </w:p>
              </w:tc>
              <w:tc>
                <w:tcPr>
                  <w:tcW w:w="1350"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pPr>
                  <w:r>
                    <w:rPr>
                      <w:rFonts w:hint="eastAsia" w:cs="宋体"/>
                    </w:rPr>
                    <w:t>供电</w:t>
                  </w:r>
                </w:p>
              </w:tc>
              <w:tc>
                <w:tcPr>
                  <w:tcW w:w="422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pPr>
                  <w:r>
                    <w:rPr>
                      <w:rFonts w:hint="eastAsia" w:cs="宋体"/>
                    </w:rPr>
                    <w:t>依托区域供电系统</w:t>
                  </w:r>
                </w:p>
              </w:tc>
              <w:tc>
                <w:tcPr>
                  <w:tcW w:w="128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1083"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pPr>
                </w:p>
              </w:tc>
              <w:tc>
                <w:tcPr>
                  <w:tcW w:w="1350"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pPr>
                  <w:r>
                    <w:t>给水</w:t>
                  </w:r>
                </w:p>
              </w:tc>
              <w:tc>
                <w:tcPr>
                  <w:tcW w:w="422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pPr>
                  <w:r>
                    <w:rPr>
                      <w:rFonts w:hint="eastAsia" w:cs="宋体"/>
                    </w:rPr>
                    <w:t>由区域给水管网提供，项目用水量约为8562</w:t>
                  </w:r>
                  <w:r>
                    <w:t>t/a</w:t>
                  </w:r>
                </w:p>
              </w:tc>
              <w:tc>
                <w:tcPr>
                  <w:tcW w:w="128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1" w:hRule="atLeast"/>
              </w:trPr>
              <w:tc>
                <w:tcPr>
                  <w:tcW w:w="1083"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pPr>
                </w:p>
              </w:tc>
              <w:tc>
                <w:tcPr>
                  <w:tcW w:w="1350"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pPr>
                  <w:r>
                    <w:rPr>
                      <w:rFonts w:hint="eastAsia" w:cs="宋体"/>
                    </w:rPr>
                    <w:t>排水</w:t>
                  </w:r>
                </w:p>
              </w:tc>
              <w:tc>
                <w:tcPr>
                  <w:tcW w:w="422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pPr>
                  <w:r>
                    <w:rPr>
                      <w:rFonts w:ascii="宋体" w:hAnsi="宋体" w:cs="宋体"/>
                    </w:rPr>
                    <w:t>项目区实行雨污分流，雨水进入区域雨水管网；食堂废水经隔油池处理后，与生活污水一同经化粪池处理后纳管，</w:t>
                  </w:r>
                  <w:r>
                    <w:rPr>
                      <w:rStyle w:val="28"/>
                      <w:rFonts w:hint="eastAsia"/>
                      <w:color w:val="auto"/>
                      <w:kern w:val="0"/>
                      <w:lang w:eastAsia="zh-CN"/>
                    </w:rPr>
                    <w:t>纯水制备</w:t>
                  </w:r>
                  <w:r>
                    <w:rPr>
                      <w:rFonts w:hint="eastAsia" w:ascii="宋体" w:hAnsi="宋体" w:cs="宋体"/>
                      <w:color w:val="auto"/>
                      <w:lang w:eastAsia="zh-CN"/>
                    </w:rPr>
                    <w:t>废水</w:t>
                  </w:r>
                  <w:r>
                    <w:rPr>
                      <w:rFonts w:ascii="宋体" w:hAnsi="宋体" w:cs="宋体"/>
                      <w:color w:val="auto"/>
                    </w:rPr>
                    <w:t>浓度满足宿州市经济技术开发区</w:t>
                  </w:r>
                  <w:r>
                    <w:rPr>
                      <w:rFonts w:ascii="宋体" w:hAnsi="宋体" w:cs="宋体"/>
                    </w:rPr>
                    <w:t>污水处理厂接管标准，可直接纳管排入区域管网，所有废水均进入宿州市经济技术开发区污水处理厂集中处理，达标后排入运粮河</w:t>
                  </w:r>
                </w:p>
              </w:tc>
              <w:tc>
                <w:tcPr>
                  <w:tcW w:w="128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82" w:hRule="atLeast"/>
              </w:trPr>
              <w:tc>
                <w:tcPr>
                  <w:tcW w:w="1083" w:type="dxa"/>
                  <w:vMerge w:val="restart"/>
                  <w:tcBorders>
                    <w:top w:val="single" w:color="auto" w:sz="4" w:space="0"/>
                    <w:left w:val="single" w:color="auto" w:sz="4" w:space="0"/>
                    <w:right w:val="single" w:color="auto" w:sz="4" w:space="0"/>
                  </w:tcBorders>
                  <w:vAlign w:val="center"/>
                </w:tcPr>
                <w:p>
                  <w:pPr>
                    <w:adjustRightInd w:val="0"/>
                    <w:snapToGrid w:val="0"/>
                    <w:jc w:val="center"/>
                  </w:pPr>
                  <w:r>
                    <w:rPr>
                      <w:rFonts w:hint="eastAsia" w:cs="宋体"/>
                    </w:rPr>
                    <w:t>环保工程</w:t>
                  </w:r>
                </w:p>
              </w:tc>
              <w:tc>
                <w:tcPr>
                  <w:tcW w:w="433" w:type="dxa"/>
                  <w:vMerge w:val="restart"/>
                  <w:tcBorders>
                    <w:top w:val="single" w:color="auto" w:sz="4" w:space="0"/>
                    <w:left w:val="single" w:color="auto" w:sz="4" w:space="0"/>
                    <w:right w:val="single" w:color="auto" w:sz="4" w:space="0"/>
                  </w:tcBorders>
                  <w:vAlign w:val="center"/>
                </w:tcPr>
                <w:p>
                  <w:pPr>
                    <w:adjustRightInd w:val="0"/>
                    <w:snapToGrid w:val="0"/>
                    <w:jc w:val="center"/>
                  </w:pPr>
                  <w:r>
                    <w:t>废气治理</w:t>
                  </w:r>
                </w:p>
              </w:tc>
              <w:tc>
                <w:tcPr>
                  <w:tcW w:w="290" w:type="dxa"/>
                  <w:gridSpan w:val="2"/>
                  <w:tcBorders>
                    <w:top w:val="single" w:color="auto" w:sz="4" w:space="0"/>
                    <w:left w:val="single" w:color="auto" w:sz="4" w:space="0"/>
                    <w:right w:val="single" w:color="auto" w:sz="4" w:space="0"/>
                  </w:tcBorders>
                  <w:vAlign w:val="center"/>
                </w:tcPr>
                <w:p>
                  <w:pPr>
                    <w:tabs>
                      <w:tab w:val="left" w:pos="2700"/>
                    </w:tabs>
                    <w:ind w:left="-105" w:leftChars="-50" w:right="-105" w:rightChars="-50"/>
                    <w:jc w:val="center"/>
                  </w:pPr>
                  <w:r>
                    <w:rPr>
                      <w:rFonts w:hint="eastAsia"/>
                      <w:lang w:eastAsia="zh-CN"/>
                    </w:rPr>
                    <w:t>猪饲料</w:t>
                  </w:r>
                  <w:r>
                    <w:rPr>
                      <w:rFonts w:hint="eastAsia"/>
                    </w:rPr>
                    <w:t>生产过程</w:t>
                  </w:r>
                </w:p>
              </w:tc>
              <w:tc>
                <w:tcPr>
                  <w:tcW w:w="627" w:type="dxa"/>
                  <w:tcBorders>
                    <w:top w:val="single" w:color="auto" w:sz="4" w:space="0"/>
                    <w:left w:val="single" w:color="auto" w:sz="4" w:space="0"/>
                    <w:right w:val="single" w:color="auto" w:sz="4" w:space="0"/>
                  </w:tcBorders>
                  <w:vAlign w:val="center"/>
                </w:tcPr>
                <w:p>
                  <w:pPr>
                    <w:tabs>
                      <w:tab w:val="left" w:pos="2700"/>
                    </w:tabs>
                    <w:ind w:left="-105" w:leftChars="-50" w:right="-105" w:rightChars="-50"/>
                    <w:jc w:val="center"/>
                  </w:pPr>
                  <w:r>
                    <w:rPr>
                      <w:rFonts w:hint="eastAsia"/>
                    </w:rPr>
                    <w:t>投料粉尘、生产工艺粉尘</w:t>
                  </w:r>
                </w:p>
              </w:tc>
              <w:tc>
                <w:tcPr>
                  <w:tcW w:w="3072" w:type="dxa"/>
                  <w:tcBorders>
                    <w:top w:val="single" w:color="auto" w:sz="4" w:space="0"/>
                    <w:left w:val="single" w:color="auto" w:sz="4" w:space="0"/>
                    <w:right w:val="single" w:color="auto" w:sz="4" w:space="0"/>
                  </w:tcBorders>
                  <w:vAlign w:val="center"/>
                </w:tcPr>
                <w:p>
                  <w:pPr>
                    <w:widowControl/>
                    <w:jc w:val="center"/>
                    <w:rPr>
                      <w:color w:val="auto"/>
                      <w:kern w:val="0"/>
                    </w:rPr>
                  </w:pPr>
                  <w:r>
                    <w:rPr>
                      <w:rFonts w:hint="eastAsia"/>
                      <w:color w:val="auto"/>
                      <w:kern w:val="0"/>
                    </w:rPr>
                    <w:t>投料粉尘经2台脉冲布筒除尘器（TA001、TA002）进行处理；初清筛粉尘经1台脉冲布筒除尘器（TA003）进行处理；粉碎粉尘经2台脉冲布筒除尘器（TA004、TA005）进行处理；配料粉尘经3台单筒无动力除尘器（TA006、TA007、TA008）进行处理；打包粉尘经1台脉冲布筒除尘器（TA009）进行处理</w:t>
                  </w:r>
                </w:p>
                <w:p>
                  <w:pPr>
                    <w:widowControl/>
                    <w:jc w:val="center"/>
                    <w:rPr>
                      <w:kern w:val="0"/>
                    </w:rPr>
                  </w:pPr>
                  <w:r>
                    <w:rPr>
                      <w:rFonts w:hint="eastAsia"/>
                      <w:color w:val="auto"/>
                      <w:kern w:val="0"/>
                    </w:rPr>
                    <w:t>各工段产生的粉尘经各工段配置的除尘器进行处理后，通过同一根35m高的DA001排气筒高空排放</w:t>
                  </w:r>
                </w:p>
              </w:tc>
              <w:tc>
                <w:tcPr>
                  <w:tcW w:w="1153" w:type="dxa"/>
                  <w:tcBorders>
                    <w:top w:val="single" w:color="auto" w:sz="4" w:space="0"/>
                    <w:left w:val="single" w:color="auto" w:sz="4" w:space="0"/>
                    <w:right w:val="single" w:color="auto" w:sz="4" w:space="0"/>
                  </w:tcBorders>
                  <w:vAlign w:val="center"/>
                </w:tcPr>
                <w:p>
                  <w:pPr>
                    <w:widowControl/>
                    <w:jc w:val="center"/>
                    <w:rPr>
                      <w:kern w:val="0"/>
                    </w:rPr>
                  </w:pPr>
                  <w:r>
                    <w:rPr>
                      <w:rFonts w:hint="eastAsia"/>
                      <w:kern w:val="0"/>
                    </w:rPr>
                    <w:t>除尘器处理效率为99%</w:t>
                  </w:r>
                </w:p>
              </w:tc>
              <w:tc>
                <w:tcPr>
                  <w:tcW w:w="1280" w:type="dxa"/>
                  <w:vMerge w:val="restart"/>
                  <w:tcBorders>
                    <w:top w:val="single" w:color="auto" w:sz="4" w:space="0"/>
                    <w:left w:val="single" w:color="auto" w:sz="4" w:space="0"/>
                    <w:right w:val="single" w:color="auto" w:sz="4" w:space="0"/>
                  </w:tcBorders>
                  <w:vAlign w:val="center"/>
                </w:tcPr>
                <w:p>
                  <w:pPr>
                    <w:snapToGrid w:val="0"/>
                    <w:jc w:val="center"/>
                  </w:pPr>
                  <w:r>
                    <w:rPr>
                      <w:rFonts w:hint="eastAsia"/>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59" w:hRule="atLeast"/>
              </w:trPr>
              <w:tc>
                <w:tcPr>
                  <w:tcW w:w="1083" w:type="dxa"/>
                  <w:vMerge w:val="continue"/>
                  <w:tcBorders>
                    <w:left w:val="single" w:color="auto" w:sz="4" w:space="0"/>
                    <w:right w:val="single" w:color="auto" w:sz="4" w:space="0"/>
                  </w:tcBorders>
                  <w:vAlign w:val="center"/>
                </w:tcPr>
                <w:p>
                  <w:pPr>
                    <w:pStyle w:val="67"/>
                    <w:ind w:firstLine="0"/>
                    <w:jc w:val="center"/>
                  </w:pPr>
                </w:p>
              </w:tc>
              <w:tc>
                <w:tcPr>
                  <w:tcW w:w="433" w:type="dxa"/>
                  <w:vMerge w:val="continue"/>
                  <w:tcBorders>
                    <w:left w:val="single" w:color="auto" w:sz="4" w:space="0"/>
                    <w:right w:val="single" w:color="auto" w:sz="4" w:space="0"/>
                  </w:tcBorders>
                  <w:vAlign w:val="center"/>
                </w:tcPr>
                <w:p>
                  <w:pPr>
                    <w:pStyle w:val="67"/>
                    <w:ind w:firstLine="0"/>
                    <w:jc w:val="center"/>
                  </w:pPr>
                </w:p>
              </w:tc>
              <w:tc>
                <w:tcPr>
                  <w:tcW w:w="290" w:type="dxa"/>
                  <w:gridSpan w:val="2"/>
                  <w:tcBorders>
                    <w:top w:val="single" w:color="auto" w:sz="4" w:space="0"/>
                    <w:left w:val="single" w:color="auto" w:sz="4" w:space="0"/>
                    <w:right w:val="single" w:color="auto" w:sz="4" w:space="0"/>
                  </w:tcBorders>
                  <w:vAlign w:val="center"/>
                </w:tcPr>
                <w:p>
                  <w:pPr>
                    <w:tabs>
                      <w:tab w:val="left" w:pos="2700"/>
                    </w:tabs>
                    <w:ind w:left="-105" w:leftChars="-50" w:right="-105" w:rightChars="-50"/>
                    <w:jc w:val="center"/>
                  </w:pPr>
                  <w:r>
                    <w:rPr>
                      <w:rFonts w:hint="eastAsia"/>
                      <w:lang w:eastAsia="zh-CN"/>
                    </w:rPr>
                    <w:t>反刍饲料</w:t>
                  </w:r>
                  <w:r>
                    <w:rPr>
                      <w:rFonts w:hint="eastAsia"/>
                    </w:rPr>
                    <w:t>生产过程</w:t>
                  </w:r>
                </w:p>
              </w:tc>
              <w:tc>
                <w:tcPr>
                  <w:tcW w:w="627" w:type="dxa"/>
                  <w:tcBorders>
                    <w:top w:val="single" w:color="auto" w:sz="4" w:space="0"/>
                    <w:left w:val="single" w:color="auto" w:sz="4" w:space="0"/>
                    <w:right w:val="single" w:color="auto" w:sz="4" w:space="0"/>
                  </w:tcBorders>
                  <w:vAlign w:val="center"/>
                </w:tcPr>
                <w:p>
                  <w:pPr>
                    <w:tabs>
                      <w:tab w:val="left" w:pos="2700"/>
                    </w:tabs>
                    <w:ind w:left="-105" w:leftChars="-50" w:right="-105" w:rightChars="-50"/>
                    <w:jc w:val="center"/>
                  </w:pPr>
                  <w:r>
                    <w:rPr>
                      <w:rFonts w:hint="eastAsia"/>
                    </w:rPr>
                    <w:t>投料粉尘、生产工艺粉尘</w:t>
                  </w:r>
                </w:p>
              </w:tc>
              <w:tc>
                <w:tcPr>
                  <w:tcW w:w="3072" w:type="dxa"/>
                  <w:tcBorders>
                    <w:top w:val="single" w:color="auto" w:sz="4" w:space="0"/>
                    <w:left w:val="single" w:color="auto" w:sz="4" w:space="0"/>
                    <w:bottom w:val="single" w:color="auto" w:sz="4" w:space="0"/>
                    <w:right w:val="single" w:color="auto" w:sz="4" w:space="0"/>
                  </w:tcBorders>
                  <w:vAlign w:val="center"/>
                </w:tcPr>
                <w:p>
                  <w:pPr>
                    <w:widowControl/>
                    <w:jc w:val="center"/>
                    <w:rPr>
                      <w:color w:val="auto"/>
                      <w:kern w:val="0"/>
                    </w:rPr>
                  </w:pPr>
                  <w:r>
                    <w:rPr>
                      <w:rFonts w:hint="eastAsia"/>
                      <w:color w:val="auto"/>
                      <w:kern w:val="0"/>
                    </w:rPr>
                    <w:t>投料粉尘经2台脉冲布筒除尘器（TA0010、TA0011）进行处理；初清筛粉尘经1台脉冲布筒除尘器（TA0012）进行处理；粉碎粉尘经1台脉冲布筒除尘器（TA0013）进行处理；配料粉尘经3台单筒无动力除尘器（TA0014、TA0015、TA0016）进行处理；打包粉尘经1台脉冲布筒除尘器（TA0017）进行处理</w:t>
                  </w:r>
                </w:p>
                <w:p>
                  <w:pPr>
                    <w:adjustRightInd w:val="0"/>
                    <w:snapToGrid w:val="0"/>
                    <w:jc w:val="center"/>
                    <w:rPr>
                      <w:color w:val="FF0000"/>
                    </w:rPr>
                  </w:pPr>
                  <w:r>
                    <w:rPr>
                      <w:rFonts w:hint="eastAsia"/>
                      <w:color w:val="auto"/>
                      <w:kern w:val="0"/>
                    </w:rPr>
                    <w:t>各工段产生的粉尘经各工段配置的除尘器进行处理后，通过同一根35m高的DA002排气筒高空排放</w:t>
                  </w:r>
                </w:p>
              </w:tc>
              <w:tc>
                <w:tcPr>
                  <w:tcW w:w="115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FF0000"/>
                    </w:rPr>
                  </w:pPr>
                  <w:r>
                    <w:rPr>
                      <w:rFonts w:hint="eastAsia"/>
                      <w:kern w:val="0"/>
                    </w:rPr>
                    <w:t>除尘器处理效率为99%</w:t>
                  </w:r>
                </w:p>
              </w:tc>
              <w:tc>
                <w:tcPr>
                  <w:tcW w:w="1280" w:type="dxa"/>
                  <w:vMerge w:val="continue"/>
                  <w:tcBorders>
                    <w:left w:val="single" w:color="auto" w:sz="4" w:space="0"/>
                    <w:right w:val="single" w:color="auto" w:sz="4" w:space="0"/>
                  </w:tcBorders>
                  <w:vAlign w:val="center"/>
                </w:tcPr>
                <w:p>
                  <w:pPr>
                    <w:pStyle w:val="67"/>
                    <w:ind w:firstLine="0"/>
                    <w:jc w:val="center"/>
                    <w:rPr>
                      <w:rFonts w:asci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1083" w:type="dxa"/>
                  <w:vMerge w:val="continue"/>
                  <w:tcBorders>
                    <w:left w:val="single" w:color="auto" w:sz="4" w:space="0"/>
                    <w:right w:val="single" w:color="auto" w:sz="4" w:space="0"/>
                  </w:tcBorders>
                  <w:vAlign w:val="center"/>
                </w:tcPr>
                <w:p>
                  <w:pPr>
                    <w:adjustRightInd w:val="0"/>
                    <w:snapToGrid w:val="0"/>
                    <w:jc w:val="center"/>
                  </w:pPr>
                </w:p>
              </w:tc>
              <w:tc>
                <w:tcPr>
                  <w:tcW w:w="433" w:type="dxa"/>
                  <w:vMerge w:val="continue"/>
                  <w:tcBorders>
                    <w:left w:val="single" w:color="auto" w:sz="4" w:space="0"/>
                    <w:right w:val="single" w:color="auto" w:sz="4" w:space="0"/>
                  </w:tcBorders>
                  <w:vAlign w:val="center"/>
                </w:tcPr>
                <w:p>
                  <w:pPr>
                    <w:adjustRightInd w:val="0"/>
                    <w:snapToGrid w:val="0"/>
                    <w:jc w:val="center"/>
                  </w:pPr>
                </w:p>
              </w:tc>
              <w:tc>
                <w:tcPr>
                  <w:tcW w:w="917" w:type="dxa"/>
                  <w:gridSpan w:val="3"/>
                  <w:tcBorders>
                    <w:top w:val="single" w:color="auto" w:sz="4" w:space="0"/>
                    <w:left w:val="single" w:color="auto" w:sz="4" w:space="0"/>
                    <w:right w:val="single" w:color="auto" w:sz="4" w:space="0"/>
                  </w:tcBorders>
                  <w:vAlign w:val="center"/>
                </w:tcPr>
                <w:p>
                  <w:pPr>
                    <w:adjustRightInd w:val="0"/>
                    <w:snapToGrid w:val="0"/>
                    <w:jc w:val="center"/>
                  </w:pPr>
                  <w:r>
                    <w:rPr>
                      <w:rFonts w:hint="eastAsia"/>
                    </w:rPr>
                    <w:t>锅炉烟气</w:t>
                  </w:r>
                </w:p>
              </w:tc>
              <w:tc>
                <w:tcPr>
                  <w:tcW w:w="422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pPr>
                  <w:r>
                    <w:rPr>
                      <w:rFonts w:hint="eastAsia"/>
                      <w:color w:val="auto"/>
                    </w:rPr>
                    <w:t>本</w:t>
                  </w:r>
                  <w:r>
                    <w:rPr>
                      <w:color w:val="auto"/>
                    </w:rPr>
                    <w:t>项目</w:t>
                  </w:r>
                  <w:r>
                    <w:rPr>
                      <w:rFonts w:hint="eastAsia"/>
                      <w:color w:val="auto"/>
                    </w:rPr>
                    <w:t>在锅炉房布设了1台2t/h蒸汽</w:t>
                  </w:r>
                  <w:r>
                    <w:rPr>
                      <w:color w:val="auto"/>
                    </w:rPr>
                    <w:t>锅炉</w:t>
                  </w:r>
                  <w:r>
                    <w:rPr>
                      <w:rFonts w:hint="eastAsia"/>
                      <w:color w:val="auto"/>
                    </w:rPr>
                    <w:t>，蒸汽锅炉设置了</w:t>
                  </w:r>
                  <w:r>
                    <w:rPr>
                      <w:color w:val="auto"/>
                    </w:rPr>
                    <w:t>低氮燃烧器，</w:t>
                  </w:r>
                  <w:r>
                    <w:rPr>
                      <w:rFonts w:hint="eastAsia"/>
                      <w:color w:val="auto"/>
                    </w:rPr>
                    <w:t>产生的燃烧废气通过一根8m高的</w:t>
                  </w:r>
                  <w:r>
                    <w:rPr>
                      <w:color w:val="auto"/>
                    </w:rPr>
                    <w:t>排气筒</w:t>
                  </w:r>
                  <w:r>
                    <w:rPr>
                      <w:rFonts w:hint="eastAsia" w:cs="宋体"/>
                      <w:color w:val="auto"/>
                    </w:rPr>
                    <w:t>DA002</w:t>
                  </w:r>
                  <w:r>
                    <w:rPr>
                      <w:color w:val="auto"/>
                    </w:rPr>
                    <w:t>排放</w:t>
                  </w:r>
                </w:p>
              </w:tc>
              <w:tc>
                <w:tcPr>
                  <w:tcW w:w="1280" w:type="dxa"/>
                  <w:vMerge w:val="continue"/>
                  <w:tcBorders>
                    <w:left w:val="single" w:color="auto" w:sz="4" w:space="0"/>
                    <w:right w:val="single" w:color="auto" w:sz="4" w:space="0"/>
                  </w:tcBorders>
                  <w:vAlign w:val="center"/>
                </w:tcPr>
                <w:p>
                  <w:pPr>
                    <w:adjustRightInd w:val="0"/>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9" w:hRule="atLeast"/>
              </w:trPr>
              <w:tc>
                <w:tcPr>
                  <w:tcW w:w="1083" w:type="dxa"/>
                  <w:vMerge w:val="continue"/>
                  <w:tcBorders>
                    <w:left w:val="single" w:color="auto" w:sz="4" w:space="0"/>
                    <w:right w:val="single" w:color="auto" w:sz="4" w:space="0"/>
                  </w:tcBorders>
                  <w:vAlign w:val="center"/>
                </w:tcPr>
                <w:p>
                  <w:pPr>
                    <w:adjustRightInd w:val="0"/>
                    <w:snapToGrid w:val="0"/>
                    <w:jc w:val="center"/>
                  </w:pPr>
                </w:p>
              </w:tc>
              <w:tc>
                <w:tcPr>
                  <w:tcW w:w="433" w:type="dxa"/>
                  <w:vMerge w:val="continue"/>
                  <w:tcBorders>
                    <w:left w:val="single" w:color="auto" w:sz="4" w:space="0"/>
                    <w:bottom w:val="single" w:color="auto" w:sz="4" w:space="0"/>
                    <w:right w:val="single" w:color="auto" w:sz="4" w:space="0"/>
                  </w:tcBorders>
                  <w:vAlign w:val="center"/>
                </w:tcPr>
                <w:p>
                  <w:pPr>
                    <w:adjustRightInd w:val="0"/>
                    <w:snapToGrid w:val="0"/>
                    <w:jc w:val="center"/>
                  </w:pPr>
                </w:p>
              </w:tc>
              <w:tc>
                <w:tcPr>
                  <w:tcW w:w="917" w:type="dxa"/>
                  <w:gridSpan w:val="3"/>
                  <w:tcBorders>
                    <w:top w:val="single" w:color="auto" w:sz="4" w:space="0"/>
                    <w:left w:val="single" w:color="auto" w:sz="4" w:space="0"/>
                    <w:right w:val="single" w:color="auto" w:sz="4" w:space="0"/>
                  </w:tcBorders>
                  <w:vAlign w:val="center"/>
                </w:tcPr>
                <w:p>
                  <w:pPr>
                    <w:adjustRightInd w:val="0"/>
                    <w:snapToGrid w:val="0"/>
                    <w:jc w:val="center"/>
                  </w:pPr>
                  <w:r>
                    <w:rPr>
                      <w:rFonts w:hint="eastAsia"/>
                    </w:rPr>
                    <w:t>食堂烟气</w:t>
                  </w:r>
                </w:p>
              </w:tc>
              <w:tc>
                <w:tcPr>
                  <w:tcW w:w="422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pPr>
                  <w:r>
                    <w:t>经油烟净化器处理后</w:t>
                  </w:r>
                  <w:r>
                    <w:rPr>
                      <w:kern w:val="0"/>
                    </w:rPr>
                    <w:t>引至室外屋顶排放，净化效率</w:t>
                  </w:r>
                  <w:r>
                    <w:rPr>
                      <w:rFonts w:hint="eastAsia"/>
                      <w:kern w:val="0"/>
                    </w:rPr>
                    <w:t>60</w:t>
                  </w:r>
                  <w:r>
                    <w:rPr>
                      <w:kern w:val="0"/>
                    </w:rPr>
                    <w:t>%</w:t>
                  </w:r>
                </w:p>
              </w:tc>
              <w:tc>
                <w:tcPr>
                  <w:tcW w:w="1280" w:type="dxa"/>
                  <w:vMerge w:val="continue"/>
                  <w:tcBorders>
                    <w:left w:val="single" w:color="auto" w:sz="4" w:space="0"/>
                    <w:bottom w:val="single" w:color="auto" w:sz="4" w:space="0"/>
                    <w:right w:val="single" w:color="auto" w:sz="4" w:space="0"/>
                  </w:tcBorders>
                  <w:vAlign w:val="center"/>
                </w:tcPr>
                <w:p>
                  <w:pPr>
                    <w:adjustRightInd w:val="0"/>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83" w:type="dxa"/>
                  <w:vMerge w:val="continue"/>
                  <w:tcBorders>
                    <w:left w:val="single" w:color="auto" w:sz="4" w:space="0"/>
                    <w:right w:val="single" w:color="auto" w:sz="4" w:space="0"/>
                  </w:tcBorders>
                  <w:vAlign w:val="center"/>
                </w:tcPr>
                <w:p>
                  <w:pPr>
                    <w:adjustRightInd w:val="0"/>
                    <w:snapToGrid w:val="0"/>
                    <w:jc w:val="center"/>
                  </w:pPr>
                </w:p>
              </w:tc>
              <w:tc>
                <w:tcPr>
                  <w:tcW w:w="1350"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pPr>
                  <w:r>
                    <w:rPr>
                      <w:rFonts w:hint="eastAsia" w:cs="宋体"/>
                    </w:rPr>
                    <w:t>废水治理</w:t>
                  </w:r>
                </w:p>
              </w:tc>
              <w:tc>
                <w:tcPr>
                  <w:tcW w:w="422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pPr>
                  <w:r>
                    <w:rPr>
                      <w:rFonts w:ascii="宋体" w:hAnsi="宋体" w:cs="宋体"/>
                    </w:rPr>
                    <w:t>项目区实行雨污分流，雨水进入区域雨水管网；食堂废水经隔油池处理后，与生活污水一同经化粪池处理后纳管，</w:t>
                  </w:r>
                  <w:r>
                    <w:rPr>
                      <w:rFonts w:hint="eastAsia" w:ascii="宋体" w:hAnsi="宋体" w:cs="宋体"/>
                      <w:lang w:eastAsia="zh-CN"/>
                    </w:rPr>
                    <w:t>纯水制备废水</w:t>
                  </w:r>
                  <w:r>
                    <w:rPr>
                      <w:rFonts w:ascii="宋体" w:hAnsi="宋体" w:cs="宋体"/>
                    </w:rPr>
                    <w:t>浓度满足宿州市经济技术开发区污水处理厂接管标准，可直接纳管排入区域管网，所有废水均进入宿州市经济技术开发区污水处理厂集中处理，达标后排入运粮河</w:t>
                  </w:r>
                </w:p>
              </w:tc>
              <w:tc>
                <w:tcPr>
                  <w:tcW w:w="1280" w:type="dxa"/>
                  <w:tcBorders>
                    <w:top w:val="single" w:color="auto" w:sz="4" w:space="0"/>
                    <w:left w:val="single" w:color="auto" w:sz="4" w:space="0"/>
                    <w:bottom w:val="single" w:color="auto" w:sz="4" w:space="0"/>
                    <w:right w:val="single" w:color="auto" w:sz="4" w:space="0"/>
                  </w:tcBorders>
                  <w:vAlign w:val="center"/>
                </w:tcPr>
                <w:p>
                  <w:pPr>
                    <w:widowControl/>
                    <w:jc w:val="center"/>
                  </w:pPr>
                  <w:r>
                    <w:rPr>
                      <w:rFonts w:hint="eastAsia"/>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trPr>
              <w:tc>
                <w:tcPr>
                  <w:tcW w:w="1083" w:type="dxa"/>
                  <w:vMerge w:val="continue"/>
                  <w:tcBorders>
                    <w:left w:val="single" w:color="auto" w:sz="4" w:space="0"/>
                    <w:right w:val="single" w:color="auto" w:sz="4" w:space="0"/>
                  </w:tcBorders>
                  <w:vAlign w:val="center"/>
                </w:tcPr>
                <w:p>
                  <w:pPr>
                    <w:adjustRightInd w:val="0"/>
                    <w:snapToGrid w:val="0"/>
                    <w:jc w:val="center"/>
                  </w:pPr>
                </w:p>
              </w:tc>
              <w:tc>
                <w:tcPr>
                  <w:tcW w:w="1350"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pPr>
                  <w:r>
                    <w:rPr>
                      <w:rFonts w:hint="eastAsia" w:cs="宋体"/>
                    </w:rPr>
                    <w:t>噪声治理</w:t>
                  </w:r>
                </w:p>
              </w:tc>
              <w:tc>
                <w:tcPr>
                  <w:tcW w:w="422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lang w:val="zh-CN"/>
                    </w:rPr>
                  </w:pPr>
                  <w:r>
                    <w:rPr>
                      <w:rFonts w:hint="eastAsia" w:cs="宋体"/>
                      <w:lang w:val="zh-CN"/>
                    </w:rPr>
                    <w:t>经选用低噪设备，采取消声、减震、隔声、加强管理等措施，加强绿化使噪声达标</w:t>
                  </w:r>
                </w:p>
              </w:tc>
              <w:tc>
                <w:tcPr>
                  <w:tcW w:w="128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pPr>
                  <w:r>
                    <w:rPr>
                      <w:rFonts w:hint="eastAsia" w:cs="宋体"/>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3" w:hRule="atLeast"/>
              </w:trPr>
              <w:tc>
                <w:tcPr>
                  <w:tcW w:w="1083" w:type="dxa"/>
                  <w:vMerge w:val="continue"/>
                  <w:tcBorders>
                    <w:left w:val="single" w:color="auto" w:sz="4" w:space="0"/>
                    <w:right w:val="single" w:color="auto" w:sz="4" w:space="0"/>
                  </w:tcBorders>
                  <w:vAlign w:val="center"/>
                </w:tcPr>
                <w:p>
                  <w:pPr>
                    <w:adjustRightInd w:val="0"/>
                    <w:snapToGrid w:val="0"/>
                    <w:jc w:val="center"/>
                  </w:pPr>
                </w:p>
              </w:tc>
              <w:tc>
                <w:tcPr>
                  <w:tcW w:w="1350"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pPr>
                  <w:r>
                    <w:rPr>
                      <w:rFonts w:hint="eastAsia" w:cs="宋体"/>
                    </w:rPr>
                    <w:t>固废治理</w:t>
                  </w:r>
                </w:p>
              </w:tc>
              <w:tc>
                <w:tcPr>
                  <w:tcW w:w="422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lang w:val="zh-CN"/>
                    </w:rPr>
                  </w:pPr>
                  <w:r>
                    <w:rPr>
                      <w:rFonts w:hint="eastAsia" w:cs="宋体"/>
                      <w:color w:val="auto"/>
                      <w:lang w:val="zh-CN"/>
                    </w:rPr>
                    <w:t>在</w:t>
                  </w:r>
                  <w:r>
                    <w:rPr>
                      <w:rFonts w:hint="eastAsia" w:cs="宋体"/>
                      <w:color w:val="auto"/>
                    </w:rPr>
                    <w:t>厂区内北侧布设一个面积约为20</w:t>
                  </w:r>
                  <w:r>
                    <w:rPr>
                      <w:color w:val="auto"/>
                    </w:rPr>
                    <w:t>m</w:t>
                  </w:r>
                  <w:r>
                    <w:rPr>
                      <w:color w:val="auto"/>
                      <w:vertAlign w:val="superscript"/>
                    </w:rPr>
                    <w:t>2</w:t>
                  </w:r>
                  <w:r>
                    <w:rPr>
                      <w:rFonts w:hint="eastAsia" w:cs="宋体"/>
                      <w:color w:val="auto"/>
                      <w:lang w:val="zh-CN"/>
                    </w:rPr>
                    <w:t>的</w:t>
                  </w:r>
                  <w:r>
                    <w:rPr>
                      <w:rFonts w:hint="eastAsia" w:cs="宋体"/>
                      <w:color w:val="auto"/>
                    </w:rPr>
                    <w:t>危废暂存间；在厂房成品库内布设一个面积约为50</w:t>
                  </w:r>
                  <w:r>
                    <w:rPr>
                      <w:color w:val="auto"/>
                    </w:rPr>
                    <w:t>m</w:t>
                  </w:r>
                  <w:r>
                    <w:rPr>
                      <w:color w:val="auto"/>
                      <w:vertAlign w:val="superscript"/>
                    </w:rPr>
                    <w:t>2</w:t>
                  </w:r>
                  <w:r>
                    <w:rPr>
                      <w:rFonts w:hint="eastAsia" w:cs="宋体"/>
                      <w:color w:val="auto"/>
                      <w:lang w:val="zh-CN"/>
                    </w:rPr>
                    <w:t>的</w:t>
                  </w:r>
                  <w:r>
                    <w:rPr>
                      <w:rFonts w:hint="eastAsia" w:cs="宋体"/>
                      <w:color w:val="auto"/>
                    </w:rPr>
                    <w:t>一般固废暂存间；</w:t>
                  </w:r>
                  <w:r>
                    <w:rPr>
                      <w:color w:val="auto"/>
                    </w:rPr>
                    <w:t>生活垃圾经袋装或桶装分类收集后，委托环卫部门统一处理；</w:t>
                  </w:r>
                  <w:r>
                    <w:rPr>
                      <w:rFonts w:hint="eastAsia"/>
                      <w:color w:val="auto"/>
                    </w:rPr>
                    <w:t>初清筛杂质经收集后，</w:t>
                  </w:r>
                  <w:r>
                    <w:rPr>
                      <w:color w:val="auto"/>
                    </w:rPr>
                    <w:t>委托环卫部门统一处理</w:t>
                  </w:r>
                  <w:r>
                    <w:rPr>
                      <w:rFonts w:hint="eastAsia"/>
                      <w:color w:val="auto"/>
                    </w:rPr>
                    <w:t>；废包装袋、磁选杂质经分类收集后外售综合利用；除尘器收集的粉尘回用于生产；</w:t>
                  </w:r>
                  <w:r>
                    <w:rPr>
                      <w:rFonts w:hint="eastAsia"/>
                      <w:color w:val="auto"/>
                      <w:lang w:eastAsia="zh-CN"/>
                    </w:rPr>
                    <w:t>纯</w:t>
                  </w:r>
                  <w:r>
                    <w:rPr>
                      <w:rFonts w:hint="eastAsia"/>
                      <w:color w:val="auto"/>
                    </w:rPr>
                    <w:t>水制备废离子交换树脂由厂家回收处置；</w:t>
                  </w:r>
                  <w:r>
                    <w:rPr>
                      <w:color w:val="auto"/>
                    </w:rPr>
                    <w:t>危险废物</w:t>
                  </w:r>
                  <w:r>
                    <w:rPr>
                      <w:rFonts w:hint="eastAsia"/>
                      <w:color w:val="auto"/>
                    </w:rPr>
                    <w:t>废机油、废机油桶和废弃的含油抹布、劳保用品经分类</w:t>
                  </w:r>
                  <w:r>
                    <w:rPr>
                      <w:color w:val="auto"/>
                    </w:rPr>
                    <w:t>收集后暂存于危废暂存间内，委托有危废处理资质</w:t>
                  </w:r>
                  <w:r>
                    <w:t>的单位妥善处理</w:t>
                  </w:r>
                </w:p>
              </w:tc>
              <w:tc>
                <w:tcPr>
                  <w:tcW w:w="1280" w:type="dxa"/>
                  <w:tcBorders>
                    <w:top w:val="single" w:color="auto" w:sz="4" w:space="0"/>
                    <w:left w:val="single" w:color="auto" w:sz="4" w:space="0"/>
                    <w:bottom w:val="single" w:color="auto" w:sz="4" w:space="0"/>
                    <w:right w:val="single" w:color="auto" w:sz="4" w:space="0"/>
                  </w:tcBorders>
                  <w:vAlign w:val="center"/>
                </w:tcPr>
                <w:p>
                  <w:pPr>
                    <w:jc w:val="center"/>
                    <w:rPr>
                      <w:rStyle w:val="28"/>
                      <w:kern w:val="0"/>
                    </w:rPr>
                  </w:pPr>
                  <w:r>
                    <w:rPr>
                      <w:rStyle w:val="28"/>
                      <w:rFonts w:hint="eastAsia"/>
                      <w:kern w:val="0"/>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1083" w:type="dxa"/>
                  <w:vMerge w:val="continue"/>
                  <w:tcBorders>
                    <w:left w:val="single" w:color="auto" w:sz="4" w:space="0"/>
                    <w:right w:val="single" w:color="auto" w:sz="4" w:space="0"/>
                  </w:tcBorders>
                  <w:vAlign w:val="center"/>
                </w:tcPr>
                <w:p>
                  <w:pPr>
                    <w:adjustRightInd w:val="0"/>
                    <w:snapToGrid w:val="0"/>
                    <w:jc w:val="center"/>
                  </w:pPr>
                </w:p>
              </w:tc>
              <w:tc>
                <w:tcPr>
                  <w:tcW w:w="543" w:type="dxa"/>
                  <w:gridSpan w:val="2"/>
                  <w:vMerge w:val="restart"/>
                  <w:tcBorders>
                    <w:top w:val="single" w:color="auto" w:sz="4" w:space="0"/>
                    <w:left w:val="single" w:color="auto" w:sz="4" w:space="0"/>
                    <w:right w:val="single" w:color="auto" w:sz="4" w:space="0"/>
                  </w:tcBorders>
                  <w:vAlign w:val="center"/>
                </w:tcPr>
                <w:p>
                  <w:pPr>
                    <w:adjustRightInd w:val="0"/>
                    <w:snapToGrid w:val="0"/>
                    <w:jc w:val="center"/>
                  </w:pPr>
                  <w:r>
                    <w:rPr>
                      <w:rFonts w:hint="eastAsia" w:cs="宋体"/>
                    </w:rPr>
                    <w:t>地下水防治措施</w:t>
                  </w:r>
                </w:p>
              </w:tc>
              <w:tc>
                <w:tcPr>
                  <w:tcW w:w="807" w:type="dxa"/>
                  <w:gridSpan w:val="2"/>
                  <w:tcBorders>
                    <w:top w:val="single" w:color="auto" w:sz="4" w:space="0"/>
                    <w:left w:val="single" w:color="auto" w:sz="4" w:space="0"/>
                    <w:right w:val="single" w:color="auto" w:sz="4" w:space="0"/>
                  </w:tcBorders>
                  <w:vAlign w:val="center"/>
                </w:tcPr>
                <w:p>
                  <w:pPr>
                    <w:adjustRightInd w:val="0"/>
                    <w:snapToGrid w:val="0"/>
                    <w:jc w:val="center"/>
                    <w:rPr>
                      <w:rFonts w:cs="宋体"/>
                    </w:rPr>
                  </w:pPr>
                  <w:r>
                    <w:rPr>
                      <w:rFonts w:hint="eastAsia" w:cs="宋体"/>
                    </w:rPr>
                    <w:t>重点防渗</w:t>
                  </w:r>
                </w:p>
              </w:tc>
              <w:tc>
                <w:tcPr>
                  <w:tcW w:w="4225" w:type="dxa"/>
                  <w:gridSpan w:val="2"/>
                  <w:tcBorders>
                    <w:top w:val="single" w:color="auto" w:sz="4" w:space="0"/>
                    <w:left w:val="single" w:color="auto" w:sz="4" w:space="0"/>
                    <w:right w:val="single" w:color="auto" w:sz="4" w:space="0"/>
                  </w:tcBorders>
                  <w:vAlign w:val="center"/>
                </w:tcPr>
                <w:p>
                  <w:pPr>
                    <w:jc w:val="center"/>
                    <w:rPr>
                      <w:kern w:val="0"/>
                    </w:rPr>
                  </w:pPr>
                  <w:r>
                    <w:rPr>
                      <w:rFonts w:hint="eastAsia" w:cs="宋体"/>
                      <w:lang w:val="zh-CN"/>
                    </w:rPr>
                    <w:t>重点防渗区包括</w:t>
                  </w:r>
                  <w:r>
                    <w:rPr>
                      <w:rFonts w:hint="eastAsia" w:cs="宋体"/>
                    </w:rPr>
                    <w:t>危废暂存间等</w:t>
                  </w:r>
                  <w:r>
                    <w:rPr>
                      <w:rFonts w:hint="eastAsia" w:cs="宋体"/>
                      <w:lang w:val="zh-CN"/>
                    </w:rPr>
                    <w:t>；重点防渗要求：</w:t>
                  </w:r>
                  <w:r>
                    <w:rPr>
                      <w:rFonts w:hint="eastAsia" w:cs="宋体"/>
                    </w:rPr>
                    <w:t>防渗层为至少</w:t>
                  </w:r>
                  <w:r>
                    <w:t>1m</w:t>
                  </w:r>
                  <w:r>
                    <w:rPr>
                      <w:rFonts w:hint="eastAsia" w:cs="宋体"/>
                    </w:rPr>
                    <w:t>厚黏土层（渗透系数≤</w:t>
                  </w:r>
                  <w:r>
                    <w:t>1.0×10</w:t>
                  </w:r>
                  <w:r>
                    <w:rPr>
                      <w:vertAlign w:val="superscript"/>
                    </w:rPr>
                    <w:t>-7</w:t>
                  </w:r>
                  <w:r>
                    <w:t>cm/s</w:t>
                  </w:r>
                  <w:r>
                    <w:rPr>
                      <w:rFonts w:hint="eastAsia" w:cs="宋体"/>
                    </w:rPr>
                    <w:t>），或者</w:t>
                  </w:r>
                  <w:r>
                    <w:t>2mm</w:t>
                  </w:r>
                  <w:r>
                    <w:rPr>
                      <w:rFonts w:hint="eastAsia" w:cs="宋体"/>
                    </w:rPr>
                    <w:t>厚高密度聚乙烯，或者至少</w:t>
                  </w:r>
                  <w:r>
                    <w:t>2mm</w:t>
                  </w:r>
                  <w:r>
                    <w:rPr>
                      <w:rFonts w:hint="eastAsia" w:cs="宋体"/>
                    </w:rPr>
                    <w:t>厚的其他人工材料，渗透系数≤</w:t>
                  </w:r>
                  <w:r>
                    <w:t>1.0×10</w:t>
                  </w:r>
                  <w:r>
                    <w:rPr>
                      <w:vertAlign w:val="superscript"/>
                    </w:rPr>
                    <w:t>-10</w:t>
                  </w:r>
                  <w:r>
                    <w:t>cm/s</w:t>
                  </w:r>
                </w:p>
              </w:tc>
              <w:tc>
                <w:tcPr>
                  <w:tcW w:w="1280" w:type="dxa"/>
                  <w:tcBorders>
                    <w:top w:val="single" w:color="auto" w:sz="4" w:space="0"/>
                    <w:left w:val="single" w:color="auto" w:sz="4" w:space="0"/>
                    <w:right w:val="single" w:color="auto" w:sz="4" w:space="0"/>
                  </w:tcBorders>
                  <w:vAlign w:val="center"/>
                </w:tcPr>
                <w:p>
                  <w:pPr>
                    <w:jc w:val="center"/>
                    <w:rPr>
                      <w:kern w:val="0"/>
                    </w:rPr>
                  </w:pPr>
                  <w:r>
                    <w:rPr>
                      <w:rFonts w:hint="eastAsia"/>
                      <w:kern w:val="0"/>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6" w:hRule="atLeast"/>
              </w:trPr>
              <w:tc>
                <w:tcPr>
                  <w:tcW w:w="1083" w:type="dxa"/>
                  <w:vMerge w:val="continue"/>
                  <w:tcBorders>
                    <w:left w:val="single" w:color="auto" w:sz="4" w:space="0"/>
                    <w:right w:val="single" w:color="auto" w:sz="4" w:space="0"/>
                  </w:tcBorders>
                  <w:vAlign w:val="center"/>
                </w:tcPr>
                <w:p>
                  <w:pPr>
                    <w:jc w:val="center"/>
                  </w:pPr>
                </w:p>
              </w:tc>
              <w:tc>
                <w:tcPr>
                  <w:tcW w:w="543" w:type="dxa"/>
                  <w:gridSpan w:val="2"/>
                  <w:vMerge w:val="continue"/>
                  <w:tcBorders>
                    <w:left w:val="single" w:color="auto" w:sz="4" w:space="0"/>
                    <w:bottom w:val="single" w:color="auto" w:sz="4" w:space="0"/>
                    <w:right w:val="single" w:color="auto" w:sz="4" w:space="0"/>
                  </w:tcBorders>
                  <w:vAlign w:val="center"/>
                </w:tcPr>
                <w:p>
                  <w:pPr>
                    <w:jc w:val="center"/>
                  </w:pPr>
                </w:p>
              </w:tc>
              <w:tc>
                <w:tcPr>
                  <w:tcW w:w="807" w:type="dxa"/>
                  <w:gridSpan w:val="2"/>
                  <w:tcBorders>
                    <w:left w:val="single" w:color="auto" w:sz="4" w:space="0"/>
                    <w:bottom w:val="single" w:color="auto" w:sz="4" w:space="0"/>
                    <w:right w:val="single" w:color="auto" w:sz="4" w:space="0"/>
                  </w:tcBorders>
                  <w:vAlign w:val="center"/>
                </w:tcPr>
                <w:p>
                  <w:pPr>
                    <w:jc w:val="center"/>
                  </w:pPr>
                  <w:r>
                    <w:rPr>
                      <w:rFonts w:hint="eastAsia"/>
                    </w:rPr>
                    <w:t>一般防渗</w:t>
                  </w:r>
                </w:p>
              </w:tc>
              <w:tc>
                <w:tcPr>
                  <w:tcW w:w="4225" w:type="dxa"/>
                  <w:gridSpan w:val="2"/>
                  <w:tcBorders>
                    <w:left w:val="single" w:color="auto" w:sz="4" w:space="0"/>
                    <w:right w:val="single" w:color="auto" w:sz="4" w:space="0"/>
                  </w:tcBorders>
                  <w:vAlign w:val="center"/>
                </w:tcPr>
                <w:p>
                  <w:pPr>
                    <w:adjustRightInd w:val="0"/>
                    <w:snapToGrid w:val="0"/>
                    <w:jc w:val="center"/>
                    <w:rPr>
                      <w:rStyle w:val="28"/>
                      <w:kern w:val="0"/>
                    </w:rPr>
                  </w:pPr>
                  <w:r>
                    <w:rPr>
                      <w:rFonts w:hint="eastAsia" w:cs="宋体"/>
                    </w:rPr>
                    <w:t>一般防渗区包括综合楼、主车间、原料库、成品库等；一般防渗区防渗要求：可采用改性压实粘土类衬层或具有同等以上隔水效力的其他材料防渗衬层，其防渗性能应至少相当于渗透系数为</w:t>
                  </w:r>
                  <w:r>
                    <w:t>1.0×10</w:t>
                  </w:r>
                  <w:r>
                    <w:rPr>
                      <w:vertAlign w:val="superscript"/>
                    </w:rPr>
                    <w:t>-5</w:t>
                  </w:r>
                  <w:r>
                    <w:t>cm/s</w:t>
                  </w:r>
                  <w:r>
                    <w:rPr>
                      <w:rFonts w:hint="eastAsia" w:cs="宋体"/>
                    </w:rPr>
                    <w:t>且厚度为</w:t>
                  </w:r>
                  <w:r>
                    <w:t>0.75m</w:t>
                  </w:r>
                  <w:r>
                    <w:rPr>
                      <w:rFonts w:hint="eastAsia" w:cs="宋体"/>
                    </w:rPr>
                    <w:t>的天然基础层</w:t>
                  </w:r>
                </w:p>
              </w:tc>
              <w:tc>
                <w:tcPr>
                  <w:tcW w:w="1280" w:type="dxa"/>
                  <w:tcBorders>
                    <w:left w:val="single" w:color="auto" w:sz="4" w:space="0"/>
                    <w:bottom w:val="single" w:color="auto" w:sz="4" w:space="0"/>
                    <w:right w:val="single" w:color="auto" w:sz="4" w:space="0"/>
                  </w:tcBorders>
                  <w:vAlign w:val="center"/>
                </w:tcPr>
                <w:p>
                  <w:pPr>
                    <w:adjustRightInd w:val="0"/>
                    <w:snapToGrid w:val="0"/>
                    <w:jc w:val="center"/>
                    <w:rPr>
                      <w:rStyle w:val="28"/>
                      <w:kern w:val="0"/>
                    </w:rPr>
                  </w:pPr>
                  <w:r>
                    <w:rPr>
                      <w:rStyle w:val="28"/>
                      <w:rFonts w:hint="eastAsia"/>
                      <w:kern w:val="0"/>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1083" w:type="dxa"/>
                  <w:vMerge w:val="continue"/>
                  <w:tcBorders>
                    <w:left w:val="single" w:color="auto" w:sz="4" w:space="0"/>
                    <w:right w:val="single" w:color="auto" w:sz="4" w:space="0"/>
                  </w:tcBorders>
                  <w:vAlign w:val="center"/>
                </w:tcPr>
                <w:p>
                  <w:pPr>
                    <w:adjustRightInd w:val="0"/>
                    <w:snapToGrid w:val="0"/>
                    <w:jc w:val="center"/>
                  </w:pPr>
                </w:p>
              </w:tc>
              <w:tc>
                <w:tcPr>
                  <w:tcW w:w="543" w:type="dxa"/>
                  <w:gridSpan w:val="2"/>
                  <w:vMerge w:val="continue"/>
                  <w:tcBorders>
                    <w:left w:val="single" w:color="auto" w:sz="4" w:space="0"/>
                    <w:right w:val="single" w:color="auto" w:sz="4" w:space="0"/>
                  </w:tcBorders>
                  <w:vAlign w:val="center"/>
                </w:tcPr>
                <w:p>
                  <w:pPr>
                    <w:adjustRightInd w:val="0"/>
                    <w:snapToGrid w:val="0"/>
                    <w:jc w:val="center"/>
                  </w:pPr>
                </w:p>
              </w:tc>
              <w:tc>
                <w:tcPr>
                  <w:tcW w:w="807" w:type="dxa"/>
                  <w:gridSpan w:val="2"/>
                  <w:tcBorders>
                    <w:left w:val="single" w:color="auto" w:sz="4" w:space="0"/>
                    <w:right w:val="single" w:color="auto" w:sz="4" w:space="0"/>
                  </w:tcBorders>
                  <w:vAlign w:val="center"/>
                </w:tcPr>
                <w:p>
                  <w:pPr>
                    <w:adjustRightInd w:val="0"/>
                    <w:snapToGrid w:val="0"/>
                    <w:jc w:val="center"/>
                  </w:pPr>
                  <w:r>
                    <w:rPr>
                      <w:rFonts w:hint="eastAsia"/>
                    </w:rPr>
                    <w:t>简单防渗</w:t>
                  </w:r>
                </w:p>
              </w:tc>
              <w:tc>
                <w:tcPr>
                  <w:tcW w:w="4225" w:type="dxa"/>
                  <w:gridSpan w:val="2"/>
                  <w:tcBorders>
                    <w:left w:val="single" w:color="auto" w:sz="4" w:space="0"/>
                    <w:right w:val="single" w:color="auto" w:sz="4" w:space="0"/>
                  </w:tcBorders>
                  <w:vAlign w:val="center"/>
                </w:tcPr>
                <w:p>
                  <w:pPr>
                    <w:adjustRightInd w:val="0"/>
                    <w:snapToGrid w:val="0"/>
                    <w:jc w:val="center"/>
                  </w:pPr>
                  <w:r>
                    <w:rPr>
                      <w:rFonts w:hint="eastAsia"/>
                    </w:rPr>
                    <w:t>简单防渗区包括厂区路面和绿化面积等；</w:t>
                  </w:r>
                  <w:r>
                    <w:t>简单防渗区要求：混凝土硬化处理</w:t>
                  </w:r>
                </w:p>
              </w:tc>
              <w:tc>
                <w:tcPr>
                  <w:tcW w:w="1280" w:type="dxa"/>
                  <w:tcBorders>
                    <w:left w:val="single" w:color="auto" w:sz="4" w:space="0"/>
                    <w:right w:val="single" w:color="auto" w:sz="4" w:space="0"/>
                  </w:tcBorders>
                  <w:vAlign w:val="center"/>
                </w:tcPr>
                <w:p>
                  <w:pPr>
                    <w:adjustRightInd w:val="0"/>
                    <w:snapToGrid w:val="0"/>
                    <w:jc w:val="center"/>
                  </w:pPr>
                  <w:r>
                    <w:rPr>
                      <w:rFonts w:hint="eastAsia"/>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4" w:hRule="atLeast"/>
              </w:trPr>
              <w:tc>
                <w:tcPr>
                  <w:tcW w:w="1083" w:type="dxa"/>
                  <w:vMerge w:val="continue"/>
                  <w:tcBorders>
                    <w:left w:val="single" w:color="auto" w:sz="4" w:space="0"/>
                    <w:right w:val="single" w:color="auto" w:sz="4" w:space="0"/>
                  </w:tcBorders>
                  <w:vAlign w:val="center"/>
                </w:tcPr>
                <w:p>
                  <w:pPr>
                    <w:adjustRightInd w:val="0"/>
                    <w:snapToGrid w:val="0"/>
                    <w:jc w:val="center"/>
                  </w:pPr>
                </w:p>
              </w:tc>
              <w:tc>
                <w:tcPr>
                  <w:tcW w:w="1350" w:type="dxa"/>
                  <w:gridSpan w:val="4"/>
                  <w:tcBorders>
                    <w:left w:val="single" w:color="auto" w:sz="4" w:space="0"/>
                    <w:right w:val="single" w:color="auto" w:sz="4" w:space="0"/>
                  </w:tcBorders>
                  <w:vAlign w:val="center"/>
                </w:tcPr>
                <w:p>
                  <w:pPr>
                    <w:adjustRightInd w:val="0"/>
                    <w:snapToGrid w:val="0"/>
                    <w:jc w:val="center"/>
                    <w:rPr>
                      <w:color w:val="auto"/>
                    </w:rPr>
                  </w:pPr>
                  <w:r>
                    <w:rPr>
                      <w:bCs/>
                      <w:color w:val="auto"/>
                      <w:kern w:val="1"/>
                    </w:rPr>
                    <w:t>环境风险防范</w:t>
                  </w:r>
                </w:p>
              </w:tc>
              <w:tc>
                <w:tcPr>
                  <w:tcW w:w="4225" w:type="dxa"/>
                  <w:gridSpan w:val="2"/>
                  <w:tcBorders>
                    <w:left w:val="single" w:color="auto" w:sz="4" w:space="0"/>
                    <w:right w:val="single" w:color="auto" w:sz="4" w:space="0"/>
                  </w:tcBorders>
                  <w:vAlign w:val="center"/>
                </w:tcPr>
                <w:p>
                  <w:pPr>
                    <w:adjustRightInd w:val="0"/>
                    <w:snapToGrid w:val="0"/>
                    <w:jc w:val="center"/>
                    <w:rPr>
                      <w:color w:val="auto"/>
                    </w:rPr>
                  </w:pPr>
                  <w:r>
                    <w:rPr>
                      <w:color w:val="auto"/>
                    </w:rPr>
                    <w:t>①原料贮存过程风险防范；②消防、火灾报警系统；③火灾和爆炸等防范措施；④固体废物事故风险防范措施；⑤总图布置防范措施；⑥废气事故应急措施；⑦应急预案</w:t>
                  </w:r>
                </w:p>
              </w:tc>
              <w:tc>
                <w:tcPr>
                  <w:tcW w:w="1280" w:type="dxa"/>
                  <w:tcBorders>
                    <w:left w:val="single" w:color="auto" w:sz="4" w:space="0"/>
                    <w:bottom w:val="single" w:color="auto" w:sz="4" w:space="0"/>
                    <w:right w:val="single" w:color="auto" w:sz="4" w:space="0"/>
                  </w:tcBorders>
                  <w:vAlign w:val="center"/>
                </w:tcPr>
                <w:p>
                  <w:pPr>
                    <w:adjustRightInd w:val="0"/>
                    <w:snapToGrid w:val="0"/>
                    <w:jc w:val="center"/>
                    <w:rPr>
                      <w:color w:val="auto"/>
                    </w:rPr>
                  </w:pPr>
                  <w:r>
                    <w:rPr>
                      <w:rFonts w:hint="eastAsia"/>
                      <w:color w:val="auto"/>
                    </w:rPr>
                    <w:t>新建</w:t>
                  </w:r>
                </w:p>
              </w:tc>
            </w:tr>
          </w:tbl>
          <w:p>
            <w:pPr>
              <w:spacing w:line="360" w:lineRule="auto"/>
              <w:ind w:firstLine="482" w:firstLineChars="200"/>
              <w:rPr>
                <w:b/>
                <w:bCs/>
                <w:sz w:val="24"/>
                <w:szCs w:val="24"/>
              </w:rPr>
            </w:pPr>
            <w:r>
              <w:rPr>
                <w:rFonts w:hint="eastAsia" w:cs="宋体"/>
                <w:b/>
                <w:bCs/>
                <w:sz w:val="24"/>
                <w:szCs w:val="24"/>
              </w:rPr>
              <w:t>3、产品方案</w:t>
            </w:r>
          </w:p>
          <w:p>
            <w:pPr>
              <w:spacing w:line="360" w:lineRule="auto"/>
              <w:ind w:firstLine="480" w:firstLineChars="200"/>
              <w:rPr>
                <w:b/>
                <w:bCs/>
                <w:sz w:val="24"/>
                <w:szCs w:val="24"/>
              </w:rPr>
            </w:pPr>
            <w:r>
              <w:rPr>
                <w:rFonts w:hint="eastAsia" w:cs="宋体"/>
                <w:sz w:val="24"/>
                <w:szCs w:val="24"/>
              </w:rPr>
              <w:t>本项目</w:t>
            </w:r>
            <w:r>
              <w:rPr>
                <w:rFonts w:hint="eastAsia" w:cs="宋体"/>
                <w:sz w:val="24"/>
                <w:szCs w:val="24"/>
                <w:lang w:val="zh-CN"/>
              </w:rPr>
              <w:t>产品方案见表</w:t>
            </w:r>
            <w:r>
              <w:rPr>
                <w:sz w:val="24"/>
                <w:szCs w:val="24"/>
              </w:rPr>
              <w:t>2-</w:t>
            </w:r>
            <w:r>
              <w:rPr>
                <w:rFonts w:hint="eastAsia"/>
                <w:sz w:val="24"/>
                <w:szCs w:val="24"/>
              </w:rPr>
              <w:t>2</w:t>
            </w:r>
            <w:r>
              <w:rPr>
                <w:rFonts w:hint="eastAsia" w:cs="宋体"/>
                <w:sz w:val="24"/>
                <w:szCs w:val="24"/>
                <w:lang w:val="zh-CN"/>
              </w:rPr>
              <w:t>所示。</w:t>
            </w:r>
          </w:p>
          <w:p>
            <w:pPr>
              <w:spacing w:line="360" w:lineRule="auto"/>
              <w:ind w:firstLine="482" w:firstLineChars="200"/>
              <w:jc w:val="center"/>
              <w:rPr>
                <w:sz w:val="24"/>
                <w:szCs w:val="24"/>
              </w:rPr>
            </w:pPr>
            <w:r>
              <w:rPr>
                <w:rFonts w:hint="eastAsia" w:cs="宋体"/>
                <w:b/>
                <w:bCs/>
                <w:sz w:val="24"/>
                <w:szCs w:val="24"/>
              </w:rPr>
              <w:t>表</w:t>
            </w:r>
            <w:r>
              <w:rPr>
                <w:b/>
                <w:bCs/>
                <w:sz w:val="24"/>
                <w:szCs w:val="24"/>
              </w:rPr>
              <w:t>2-</w:t>
            </w:r>
            <w:r>
              <w:rPr>
                <w:rFonts w:hint="eastAsia"/>
                <w:b/>
                <w:bCs/>
                <w:sz w:val="24"/>
                <w:szCs w:val="24"/>
              </w:rPr>
              <w:t>2</w:t>
            </w:r>
            <w:r>
              <w:rPr>
                <w:rFonts w:hint="eastAsia"/>
                <w:b/>
                <w:bCs/>
                <w:sz w:val="24"/>
                <w:szCs w:val="24"/>
                <w:lang w:val="en-US" w:eastAsia="zh-CN"/>
              </w:rPr>
              <w:t xml:space="preserve">  </w:t>
            </w:r>
            <w:r>
              <w:rPr>
                <w:rFonts w:hint="eastAsia"/>
                <w:b/>
                <w:bCs/>
                <w:sz w:val="24"/>
                <w:szCs w:val="24"/>
              </w:rPr>
              <w:t>项目</w:t>
            </w:r>
            <w:r>
              <w:rPr>
                <w:rFonts w:hint="eastAsia" w:cs="宋体"/>
                <w:b/>
                <w:bCs/>
                <w:sz w:val="24"/>
                <w:szCs w:val="24"/>
              </w:rPr>
              <w:t>产品方案一览表</w:t>
            </w:r>
          </w:p>
          <w:tbl>
            <w:tblPr>
              <w:tblStyle w:val="23"/>
              <w:tblW w:w="7977" w:type="dxa"/>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9"/>
              <w:gridCol w:w="1470"/>
              <w:gridCol w:w="2871"/>
              <w:gridCol w:w="1374"/>
              <w:gridCol w:w="13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909"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序号</w:t>
                  </w:r>
                </w:p>
              </w:tc>
              <w:tc>
                <w:tcPr>
                  <w:tcW w:w="147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产品名称</w:t>
                  </w:r>
                </w:p>
              </w:tc>
              <w:tc>
                <w:tcPr>
                  <w:tcW w:w="2871"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产品组成</w:t>
                  </w:r>
                </w:p>
              </w:tc>
              <w:tc>
                <w:tcPr>
                  <w:tcW w:w="1374"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年产量</w:t>
                  </w:r>
                </w:p>
              </w:tc>
              <w:tc>
                <w:tcPr>
                  <w:tcW w:w="1353"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909" w:type="dxa"/>
                  <w:tcBorders>
                    <w:top w:val="single" w:color="auto" w:sz="4" w:space="0"/>
                    <w:left w:val="single" w:color="auto" w:sz="4" w:space="0"/>
                    <w:right w:val="single" w:color="auto" w:sz="4" w:space="0"/>
                  </w:tcBorders>
                  <w:vAlign w:val="center"/>
                </w:tcPr>
                <w:p>
                  <w:pPr>
                    <w:jc w:val="center"/>
                  </w:pPr>
                  <w:r>
                    <w:t>1</w:t>
                  </w:r>
                </w:p>
              </w:tc>
              <w:tc>
                <w:tcPr>
                  <w:tcW w:w="1470" w:type="dxa"/>
                  <w:tcBorders>
                    <w:top w:val="single" w:color="auto" w:sz="4" w:space="0"/>
                    <w:left w:val="single" w:color="auto" w:sz="4" w:space="0"/>
                    <w:right w:val="single" w:color="auto" w:sz="4" w:space="0"/>
                  </w:tcBorders>
                  <w:vAlign w:val="center"/>
                </w:tcPr>
                <w:p>
                  <w:pPr>
                    <w:jc w:val="center"/>
                    <w:rPr>
                      <w:color w:val="auto"/>
                    </w:rPr>
                  </w:pPr>
                  <w:r>
                    <w:rPr>
                      <w:rFonts w:hint="eastAsia"/>
                      <w:color w:val="auto"/>
                    </w:rPr>
                    <w:t>猪</w:t>
                  </w:r>
                  <w:r>
                    <w:rPr>
                      <w:rFonts w:hint="eastAsia"/>
                      <w:color w:val="auto"/>
                      <w:lang w:eastAsia="zh-CN"/>
                    </w:rPr>
                    <w:t>饲料</w:t>
                  </w:r>
                </w:p>
              </w:tc>
              <w:tc>
                <w:tcPr>
                  <w:tcW w:w="2871"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以中大猪</w:t>
                  </w:r>
                  <w:r>
                    <w:rPr>
                      <w:rFonts w:hint="eastAsia"/>
                      <w:lang w:eastAsia="zh-CN"/>
                    </w:rPr>
                    <w:t>饲料</w:t>
                  </w:r>
                  <w:r>
                    <w:rPr>
                      <w:rFonts w:hint="eastAsia"/>
                    </w:rPr>
                    <w:t>为主，兼顾浓缩料、教保料</w:t>
                  </w:r>
                </w:p>
              </w:tc>
              <w:tc>
                <w:tcPr>
                  <w:tcW w:w="1374"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lang w:val="en-US" w:eastAsia="zh-CN"/>
                    </w:rPr>
                    <w:t>12</w:t>
                  </w:r>
                  <w:r>
                    <w:rPr>
                      <w:rFonts w:hint="eastAsia"/>
                    </w:rPr>
                    <w:t>万</w:t>
                  </w:r>
                </w:p>
              </w:tc>
              <w:tc>
                <w:tcPr>
                  <w:tcW w:w="1353"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909" w:type="dxa"/>
                  <w:tcBorders>
                    <w:left w:val="single" w:color="auto" w:sz="4" w:space="0"/>
                    <w:bottom w:val="single" w:color="auto" w:sz="4" w:space="0"/>
                    <w:right w:val="single" w:color="auto" w:sz="4" w:space="0"/>
                  </w:tcBorders>
                  <w:vAlign w:val="center"/>
                </w:tcPr>
                <w:p>
                  <w:pPr>
                    <w:jc w:val="center"/>
                  </w:pPr>
                  <w:r>
                    <w:rPr>
                      <w:rFonts w:hint="eastAsia"/>
                    </w:rPr>
                    <w:t>2</w:t>
                  </w:r>
                </w:p>
              </w:tc>
              <w:tc>
                <w:tcPr>
                  <w:tcW w:w="1470" w:type="dxa"/>
                  <w:tcBorders>
                    <w:left w:val="single" w:color="auto" w:sz="4" w:space="0"/>
                    <w:bottom w:val="single" w:color="auto" w:sz="4" w:space="0"/>
                    <w:right w:val="single" w:color="auto" w:sz="4" w:space="0"/>
                  </w:tcBorders>
                  <w:vAlign w:val="center"/>
                </w:tcPr>
                <w:p>
                  <w:pPr>
                    <w:jc w:val="center"/>
                    <w:rPr>
                      <w:rFonts w:hint="eastAsia" w:eastAsia="宋体"/>
                      <w:color w:val="auto"/>
                      <w:lang w:eastAsia="zh-CN"/>
                    </w:rPr>
                  </w:pPr>
                  <w:r>
                    <w:rPr>
                      <w:rFonts w:hint="eastAsia"/>
                      <w:color w:val="auto"/>
                    </w:rPr>
                    <w:t>反刍</w:t>
                  </w:r>
                  <w:r>
                    <w:rPr>
                      <w:rFonts w:hint="eastAsia"/>
                      <w:color w:val="auto"/>
                      <w:lang w:eastAsia="zh-CN"/>
                    </w:rPr>
                    <w:t>饲料</w:t>
                  </w:r>
                </w:p>
              </w:tc>
              <w:tc>
                <w:tcPr>
                  <w:tcW w:w="2871"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牛羊精补料、全价料、浓缩料</w:t>
                  </w:r>
                </w:p>
              </w:tc>
              <w:tc>
                <w:tcPr>
                  <w:tcW w:w="1374"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lang w:val="en-US" w:eastAsia="zh-CN"/>
                    </w:rPr>
                    <w:t>6</w:t>
                  </w:r>
                  <w:r>
                    <w:rPr>
                      <w:rFonts w:hint="eastAsia"/>
                    </w:rPr>
                    <w:t>万</w:t>
                  </w:r>
                </w:p>
              </w:tc>
              <w:tc>
                <w:tcPr>
                  <w:tcW w:w="1353"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吨</w:t>
                  </w:r>
                </w:p>
              </w:tc>
            </w:tr>
          </w:tbl>
          <w:p>
            <w:pPr>
              <w:spacing w:line="360" w:lineRule="auto"/>
              <w:ind w:firstLine="482" w:firstLineChars="200"/>
              <w:rPr>
                <w:sz w:val="24"/>
                <w:szCs w:val="24"/>
              </w:rPr>
            </w:pPr>
            <w:r>
              <w:rPr>
                <w:rFonts w:hint="eastAsia" w:cs="宋体"/>
                <w:b/>
                <w:bCs/>
                <w:sz w:val="24"/>
                <w:szCs w:val="24"/>
              </w:rPr>
              <w:t>4、原辅材料及能源消耗</w:t>
            </w:r>
          </w:p>
          <w:p>
            <w:pPr>
              <w:adjustRightInd w:val="0"/>
              <w:snapToGrid w:val="0"/>
              <w:spacing w:line="360" w:lineRule="auto"/>
              <w:ind w:firstLine="480" w:firstLineChars="200"/>
              <w:rPr>
                <w:sz w:val="24"/>
                <w:szCs w:val="24"/>
              </w:rPr>
            </w:pPr>
            <w:r>
              <w:rPr>
                <w:rFonts w:hint="eastAsia" w:cs="宋体"/>
                <w:sz w:val="24"/>
                <w:szCs w:val="24"/>
              </w:rPr>
              <w:t>根据建设单位提供的资料，本项目主要原辅材料及能源消耗情况见下表：</w:t>
            </w:r>
          </w:p>
          <w:p>
            <w:pPr>
              <w:tabs>
                <w:tab w:val="left" w:pos="2802"/>
                <w:tab w:val="center" w:pos="4728"/>
              </w:tabs>
              <w:spacing w:line="360" w:lineRule="auto"/>
              <w:ind w:firstLine="482" w:firstLineChars="200"/>
              <w:jc w:val="center"/>
              <w:rPr>
                <w:b/>
                <w:bCs/>
                <w:sz w:val="24"/>
                <w:szCs w:val="24"/>
              </w:rPr>
            </w:pPr>
            <w:r>
              <w:rPr>
                <w:rFonts w:hint="eastAsia" w:cs="宋体"/>
                <w:b/>
                <w:bCs/>
                <w:sz w:val="24"/>
                <w:szCs w:val="24"/>
              </w:rPr>
              <w:t>表</w:t>
            </w:r>
            <w:r>
              <w:rPr>
                <w:b/>
                <w:bCs/>
                <w:sz w:val="24"/>
                <w:szCs w:val="24"/>
              </w:rPr>
              <w:t>2-</w:t>
            </w:r>
            <w:r>
              <w:rPr>
                <w:rFonts w:hint="eastAsia"/>
                <w:b/>
                <w:bCs/>
                <w:sz w:val="24"/>
                <w:szCs w:val="24"/>
              </w:rPr>
              <w:t>3本项目</w:t>
            </w:r>
            <w:r>
              <w:rPr>
                <w:rFonts w:hint="eastAsia" w:cs="宋体"/>
                <w:b/>
                <w:bCs/>
                <w:sz w:val="24"/>
                <w:szCs w:val="24"/>
              </w:rPr>
              <w:t>各种产品原辅材料消耗情况</w:t>
            </w:r>
          </w:p>
          <w:tbl>
            <w:tblPr>
              <w:tblStyle w:val="23"/>
              <w:tblW w:w="7878" w:type="dxa"/>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3"/>
              <w:gridCol w:w="1421"/>
              <w:gridCol w:w="1465"/>
              <w:gridCol w:w="1320"/>
              <w:gridCol w:w="1233"/>
              <w:gridCol w:w="1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 w:hRule="atLeast"/>
              </w:trPr>
              <w:tc>
                <w:tcPr>
                  <w:tcW w:w="783" w:type="dxa"/>
                  <w:tcBorders>
                    <w:top w:val="single" w:color="auto" w:sz="4" w:space="0"/>
                    <w:left w:val="single" w:color="auto" w:sz="4" w:space="0"/>
                    <w:bottom w:val="single" w:color="auto" w:sz="4" w:space="0"/>
                    <w:right w:val="single" w:color="auto" w:sz="4" w:space="0"/>
                  </w:tcBorders>
                  <w:vAlign w:val="center"/>
                </w:tcPr>
                <w:p>
                  <w:pPr>
                    <w:jc w:val="center"/>
                  </w:pPr>
                  <w:r>
                    <w:t>序号</w:t>
                  </w:r>
                </w:p>
              </w:tc>
              <w:tc>
                <w:tcPr>
                  <w:tcW w:w="1421" w:type="dxa"/>
                  <w:tcBorders>
                    <w:top w:val="single" w:color="auto" w:sz="4" w:space="0"/>
                    <w:left w:val="single" w:color="auto" w:sz="4" w:space="0"/>
                    <w:bottom w:val="single" w:color="auto" w:sz="4" w:space="0"/>
                    <w:right w:val="single" w:color="auto" w:sz="4" w:space="0"/>
                  </w:tcBorders>
                  <w:vAlign w:val="center"/>
                </w:tcPr>
                <w:p>
                  <w:pPr>
                    <w:widowControl/>
                    <w:snapToGrid w:val="0"/>
                    <w:jc w:val="center"/>
                  </w:pPr>
                  <w:r>
                    <w:t>原辅材料名称</w:t>
                  </w:r>
                </w:p>
              </w:tc>
              <w:tc>
                <w:tcPr>
                  <w:tcW w:w="1465" w:type="dxa"/>
                  <w:tcBorders>
                    <w:top w:val="single" w:color="auto" w:sz="4" w:space="0"/>
                    <w:left w:val="single" w:color="auto" w:sz="4" w:space="0"/>
                    <w:bottom w:val="single" w:color="auto" w:sz="4" w:space="0"/>
                    <w:right w:val="single" w:color="auto" w:sz="4" w:space="0"/>
                  </w:tcBorders>
                  <w:vAlign w:val="center"/>
                </w:tcPr>
                <w:p>
                  <w:pPr>
                    <w:snapToGrid w:val="0"/>
                    <w:jc w:val="center"/>
                  </w:pPr>
                  <w:r>
                    <w:rPr>
                      <w:rFonts w:hint="eastAsia"/>
                    </w:rPr>
                    <w:t>年用量</w:t>
                  </w:r>
                </w:p>
              </w:tc>
              <w:tc>
                <w:tcPr>
                  <w:tcW w:w="1320" w:type="dxa"/>
                  <w:tcBorders>
                    <w:top w:val="single" w:color="auto" w:sz="4" w:space="0"/>
                    <w:left w:val="single" w:color="auto" w:sz="4" w:space="0"/>
                    <w:bottom w:val="single" w:color="auto" w:sz="4" w:space="0"/>
                    <w:right w:val="single" w:color="auto" w:sz="4" w:space="0"/>
                  </w:tcBorders>
                  <w:vAlign w:val="center"/>
                </w:tcPr>
                <w:p>
                  <w:pPr>
                    <w:snapToGrid w:val="0"/>
                    <w:jc w:val="center"/>
                  </w:pPr>
                  <w:r>
                    <w:t>最大暂存量</w:t>
                  </w:r>
                </w:p>
              </w:tc>
              <w:tc>
                <w:tcPr>
                  <w:tcW w:w="1233" w:type="dxa"/>
                  <w:tcBorders>
                    <w:top w:val="single" w:color="auto" w:sz="4" w:space="0"/>
                    <w:left w:val="single" w:color="auto" w:sz="4" w:space="0"/>
                    <w:bottom w:val="single" w:color="auto" w:sz="4" w:space="0"/>
                    <w:right w:val="single" w:color="auto" w:sz="4" w:space="0"/>
                  </w:tcBorders>
                  <w:vAlign w:val="center"/>
                </w:tcPr>
                <w:p>
                  <w:pPr>
                    <w:widowControl/>
                    <w:snapToGrid w:val="0"/>
                    <w:jc w:val="center"/>
                  </w:pPr>
                  <w:r>
                    <w:t>单位</w:t>
                  </w:r>
                </w:p>
              </w:tc>
              <w:tc>
                <w:tcPr>
                  <w:tcW w:w="1656" w:type="dxa"/>
                  <w:tcBorders>
                    <w:top w:val="single" w:color="auto" w:sz="4" w:space="0"/>
                    <w:left w:val="single" w:color="auto" w:sz="4" w:space="0"/>
                    <w:bottom w:val="single" w:color="auto" w:sz="4" w:space="0"/>
                    <w:right w:val="single" w:color="auto" w:sz="4" w:space="0"/>
                  </w:tcBorders>
                  <w:vAlign w:val="center"/>
                </w:tcPr>
                <w:p>
                  <w:pPr>
                    <w:snapToGrid w:val="0"/>
                    <w:jc w:val="center"/>
                    <w:rPr>
                      <w:color w:val="FF0000"/>
                    </w:rPr>
                  </w:pPr>
                  <w: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783" w:type="dxa"/>
                  <w:tcBorders>
                    <w:top w:val="single" w:color="auto" w:sz="4" w:space="0"/>
                    <w:left w:val="single" w:color="auto" w:sz="4" w:space="0"/>
                    <w:bottom w:val="single" w:color="auto" w:sz="4" w:space="0"/>
                    <w:right w:val="single" w:color="auto" w:sz="4" w:space="0"/>
                  </w:tcBorders>
                  <w:vAlign w:val="center"/>
                </w:tcPr>
                <w:p>
                  <w:pPr>
                    <w:jc w:val="center"/>
                  </w:pPr>
                  <w:r>
                    <w:t>1</w:t>
                  </w:r>
                </w:p>
              </w:tc>
              <w:tc>
                <w:tcPr>
                  <w:tcW w:w="1421"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玉米</w:t>
                  </w:r>
                </w:p>
              </w:tc>
              <w:tc>
                <w:tcPr>
                  <w:tcW w:w="1465"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9.9万</w:t>
                  </w:r>
                </w:p>
              </w:tc>
              <w:tc>
                <w:tcPr>
                  <w:tcW w:w="1320"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rFonts w:hint="eastAsia"/>
                      <w:color w:val="auto"/>
                    </w:rPr>
                    <w:t>1000</w:t>
                  </w:r>
                </w:p>
              </w:tc>
              <w:tc>
                <w:tcPr>
                  <w:tcW w:w="1233" w:type="dxa"/>
                  <w:tcBorders>
                    <w:top w:val="single" w:color="auto" w:sz="4" w:space="0"/>
                    <w:left w:val="single" w:color="auto" w:sz="4" w:space="0"/>
                    <w:bottom w:val="single" w:color="auto" w:sz="4" w:space="0"/>
                    <w:right w:val="single" w:color="auto" w:sz="4" w:space="0"/>
                  </w:tcBorders>
                  <w:vAlign w:val="center"/>
                </w:tcPr>
                <w:p>
                  <w:pPr>
                    <w:jc w:val="center"/>
                  </w:pPr>
                  <w:r>
                    <w:t>t/a</w:t>
                  </w:r>
                </w:p>
              </w:tc>
              <w:tc>
                <w:tcPr>
                  <w:tcW w:w="1656" w:type="dxa"/>
                  <w:tcBorders>
                    <w:top w:val="single" w:color="auto" w:sz="4" w:space="0"/>
                    <w:left w:val="single" w:color="auto" w:sz="4" w:space="0"/>
                    <w:bottom w:val="single" w:color="auto" w:sz="4" w:space="0"/>
                    <w:right w:val="single" w:color="auto" w:sz="4" w:space="0"/>
                  </w:tcBorders>
                  <w:vAlign w:val="center"/>
                </w:tcPr>
                <w:p>
                  <w:pPr>
                    <w:jc w:val="center"/>
                  </w:pPr>
                  <w:r>
                    <w:t>外购</w:t>
                  </w:r>
                  <w:r>
                    <w:rPr>
                      <w:rFonts w:hint="eastAsia"/>
                    </w:rPr>
                    <w:t>袋装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783" w:type="dxa"/>
                  <w:tcBorders>
                    <w:top w:val="single" w:color="auto" w:sz="4" w:space="0"/>
                    <w:left w:val="single" w:color="auto" w:sz="4" w:space="0"/>
                    <w:bottom w:val="single" w:color="auto" w:sz="4" w:space="0"/>
                    <w:right w:val="single" w:color="auto" w:sz="4" w:space="0"/>
                  </w:tcBorders>
                  <w:vAlign w:val="center"/>
                </w:tcPr>
                <w:p>
                  <w:pPr>
                    <w:jc w:val="center"/>
                  </w:pPr>
                  <w:r>
                    <w:t>2</w:t>
                  </w:r>
                </w:p>
              </w:tc>
              <w:tc>
                <w:tcPr>
                  <w:tcW w:w="1421"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小麦</w:t>
                  </w:r>
                </w:p>
              </w:tc>
              <w:tc>
                <w:tcPr>
                  <w:tcW w:w="1465"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1.8万</w:t>
                  </w:r>
                </w:p>
              </w:tc>
              <w:tc>
                <w:tcPr>
                  <w:tcW w:w="1320"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rFonts w:hint="eastAsia"/>
                      <w:color w:val="auto"/>
                    </w:rPr>
                    <w:t>500</w:t>
                  </w:r>
                </w:p>
              </w:tc>
              <w:tc>
                <w:tcPr>
                  <w:tcW w:w="1233" w:type="dxa"/>
                  <w:tcBorders>
                    <w:top w:val="single" w:color="auto" w:sz="4" w:space="0"/>
                    <w:left w:val="single" w:color="auto" w:sz="4" w:space="0"/>
                    <w:bottom w:val="single" w:color="auto" w:sz="4" w:space="0"/>
                    <w:right w:val="single" w:color="auto" w:sz="4" w:space="0"/>
                  </w:tcBorders>
                  <w:vAlign w:val="center"/>
                </w:tcPr>
                <w:p>
                  <w:pPr>
                    <w:jc w:val="center"/>
                  </w:pPr>
                  <w:r>
                    <w:t>t/a</w:t>
                  </w:r>
                </w:p>
              </w:tc>
              <w:tc>
                <w:tcPr>
                  <w:tcW w:w="1656" w:type="dxa"/>
                  <w:tcBorders>
                    <w:top w:val="single" w:color="auto" w:sz="4" w:space="0"/>
                    <w:left w:val="single" w:color="auto" w:sz="4" w:space="0"/>
                    <w:bottom w:val="single" w:color="auto" w:sz="4" w:space="0"/>
                    <w:right w:val="single" w:color="auto" w:sz="4" w:space="0"/>
                  </w:tcBorders>
                  <w:vAlign w:val="center"/>
                </w:tcPr>
                <w:p>
                  <w:pPr>
                    <w:jc w:val="center"/>
                  </w:pPr>
                  <w:r>
                    <w:t>外购</w:t>
                  </w:r>
                  <w:r>
                    <w:rPr>
                      <w:rFonts w:hint="eastAsia"/>
                    </w:rPr>
                    <w:t>袋装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783" w:type="dxa"/>
                  <w:tcBorders>
                    <w:top w:val="single" w:color="auto" w:sz="4" w:space="0"/>
                    <w:left w:val="single" w:color="auto" w:sz="4" w:space="0"/>
                    <w:bottom w:val="single" w:color="auto" w:sz="4" w:space="0"/>
                    <w:right w:val="single" w:color="auto" w:sz="4" w:space="0"/>
                  </w:tcBorders>
                  <w:vAlign w:val="center"/>
                </w:tcPr>
                <w:p>
                  <w:pPr>
                    <w:jc w:val="center"/>
                  </w:pPr>
                  <w:r>
                    <w:t>3</w:t>
                  </w:r>
                </w:p>
              </w:tc>
              <w:tc>
                <w:tcPr>
                  <w:tcW w:w="1421"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麸皮</w:t>
                  </w:r>
                </w:p>
              </w:tc>
              <w:tc>
                <w:tcPr>
                  <w:tcW w:w="1465"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1.8万</w:t>
                  </w:r>
                </w:p>
              </w:tc>
              <w:tc>
                <w:tcPr>
                  <w:tcW w:w="1320"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rFonts w:hint="eastAsia"/>
                      <w:color w:val="auto"/>
                    </w:rPr>
                    <w:t>500</w:t>
                  </w:r>
                </w:p>
              </w:tc>
              <w:tc>
                <w:tcPr>
                  <w:tcW w:w="1233" w:type="dxa"/>
                  <w:tcBorders>
                    <w:top w:val="single" w:color="auto" w:sz="4" w:space="0"/>
                    <w:left w:val="single" w:color="auto" w:sz="4" w:space="0"/>
                    <w:bottom w:val="single" w:color="auto" w:sz="4" w:space="0"/>
                    <w:right w:val="single" w:color="auto" w:sz="4" w:space="0"/>
                  </w:tcBorders>
                  <w:vAlign w:val="center"/>
                </w:tcPr>
                <w:p>
                  <w:pPr>
                    <w:jc w:val="center"/>
                  </w:pPr>
                  <w:r>
                    <w:t>t/a</w:t>
                  </w:r>
                </w:p>
              </w:tc>
              <w:tc>
                <w:tcPr>
                  <w:tcW w:w="1656" w:type="dxa"/>
                  <w:tcBorders>
                    <w:top w:val="single" w:color="auto" w:sz="4" w:space="0"/>
                    <w:left w:val="single" w:color="auto" w:sz="4" w:space="0"/>
                    <w:bottom w:val="single" w:color="auto" w:sz="4" w:space="0"/>
                    <w:right w:val="single" w:color="auto" w:sz="4" w:space="0"/>
                  </w:tcBorders>
                  <w:vAlign w:val="center"/>
                </w:tcPr>
                <w:p>
                  <w:pPr>
                    <w:jc w:val="center"/>
                  </w:pPr>
                  <w:r>
                    <w:t>外购</w:t>
                  </w:r>
                  <w:r>
                    <w:rPr>
                      <w:rFonts w:hint="eastAsia"/>
                    </w:rPr>
                    <w:t>袋装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783" w:type="dxa"/>
                  <w:tcBorders>
                    <w:top w:val="single" w:color="auto" w:sz="4" w:space="0"/>
                    <w:left w:val="single" w:color="auto" w:sz="4" w:space="0"/>
                    <w:bottom w:val="single" w:color="auto" w:sz="4" w:space="0"/>
                    <w:right w:val="single" w:color="auto" w:sz="4" w:space="0"/>
                  </w:tcBorders>
                  <w:vAlign w:val="center"/>
                </w:tcPr>
                <w:p>
                  <w:pPr>
                    <w:jc w:val="center"/>
                  </w:pPr>
                  <w:r>
                    <w:t>4</w:t>
                  </w:r>
                </w:p>
              </w:tc>
              <w:tc>
                <w:tcPr>
                  <w:tcW w:w="1421"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面粉</w:t>
                  </w:r>
                </w:p>
              </w:tc>
              <w:tc>
                <w:tcPr>
                  <w:tcW w:w="1465"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0.9万</w:t>
                  </w:r>
                </w:p>
              </w:tc>
              <w:tc>
                <w:tcPr>
                  <w:tcW w:w="1320"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rFonts w:hint="eastAsia"/>
                      <w:color w:val="auto"/>
                    </w:rPr>
                    <w:t>300</w:t>
                  </w:r>
                </w:p>
              </w:tc>
              <w:tc>
                <w:tcPr>
                  <w:tcW w:w="1233" w:type="dxa"/>
                  <w:tcBorders>
                    <w:top w:val="single" w:color="auto" w:sz="4" w:space="0"/>
                    <w:left w:val="single" w:color="auto" w:sz="4" w:space="0"/>
                    <w:bottom w:val="single" w:color="auto" w:sz="4" w:space="0"/>
                    <w:right w:val="single" w:color="auto" w:sz="4" w:space="0"/>
                  </w:tcBorders>
                  <w:vAlign w:val="center"/>
                </w:tcPr>
                <w:p>
                  <w:pPr>
                    <w:jc w:val="center"/>
                  </w:pPr>
                  <w:r>
                    <w:t>t/a</w:t>
                  </w:r>
                </w:p>
              </w:tc>
              <w:tc>
                <w:tcPr>
                  <w:tcW w:w="1656" w:type="dxa"/>
                  <w:tcBorders>
                    <w:top w:val="single" w:color="auto" w:sz="4" w:space="0"/>
                    <w:left w:val="single" w:color="auto" w:sz="4" w:space="0"/>
                    <w:bottom w:val="single" w:color="auto" w:sz="4" w:space="0"/>
                    <w:right w:val="single" w:color="auto" w:sz="4" w:space="0"/>
                  </w:tcBorders>
                  <w:vAlign w:val="center"/>
                </w:tcPr>
                <w:p>
                  <w:pPr>
                    <w:jc w:val="center"/>
                  </w:pPr>
                  <w:r>
                    <w:t>外购</w:t>
                  </w:r>
                  <w:r>
                    <w:rPr>
                      <w:rFonts w:hint="eastAsia"/>
                    </w:rPr>
                    <w:t>袋装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783" w:type="dxa"/>
                  <w:tcBorders>
                    <w:top w:val="single" w:color="auto" w:sz="4" w:space="0"/>
                    <w:left w:val="single" w:color="auto" w:sz="4" w:space="0"/>
                    <w:bottom w:val="single" w:color="auto" w:sz="4" w:space="0"/>
                    <w:right w:val="single" w:color="auto" w:sz="4" w:space="0"/>
                  </w:tcBorders>
                  <w:vAlign w:val="center"/>
                </w:tcPr>
                <w:p>
                  <w:pPr>
                    <w:jc w:val="center"/>
                  </w:pPr>
                  <w:r>
                    <w:t>5</w:t>
                  </w:r>
                </w:p>
              </w:tc>
              <w:tc>
                <w:tcPr>
                  <w:tcW w:w="1421"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豆粕</w:t>
                  </w:r>
                </w:p>
              </w:tc>
              <w:tc>
                <w:tcPr>
                  <w:tcW w:w="1465"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3.24万</w:t>
                  </w:r>
                </w:p>
              </w:tc>
              <w:tc>
                <w:tcPr>
                  <w:tcW w:w="1320"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rFonts w:hint="eastAsia"/>
                      <w:color w:val="auto"/>
                    </w:rPr>
                    <w:t>100</w:t>
                  </w:r>
                </w:p>
              </w:tc>
              <w:tc>
                <w:tcPr>
                  <w:tcW w:w="1233"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t</w:t>
                  </w:r>
                  <w:r>
                    <w:t>/a</w:t>
                  </w:r>
                </w:p>
              </w:tc>
              <w:tc>
                <w:tcPr>
                  <w:tcW w:w="1656" w:type="dxa"/>
                  <w:tcBorders>
                    <w:top w:val="single" w:color="auto" w:sz="4" w:space="0"/>
                    <w:left w:val="single" w:color="auto" w:sz="4" w:space="0"/>
                    <w:bottom w:val="single" w:color="auto" w:sz="4" w:space="0"/>
                    <w:right w:val="single" w:color="auto" w:sz="4" w:space="0"/>
                  </w:tcBorders>
                  <w:vAlign w:val="center"/>
                </w:tcPr>
                <w:p>
                  <w:pPr>
                    <w:jc w:val="center"/>
                  </w:pPr>
                  <w:r>
                    <w:t>外购</w:t>
                  </w:r>
                  <w:r>
                    <w:rPr>
                      <w:rFonts w:hint="eastAsia"/>
                    </w:rPr>
                    <w:t>袋装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783" w:type="dxa"/>
                  <w:tcBorders>
                    <w:top w:val="single" w:color="auto" w:sz="4" w:space="0"/>
                    <w:left w:val="single" w:color="auto" w:sz="4" w:space="0"/>
                    <w:bottom w:val="single" w:color="auto" w:sz="4" w:space="0"/>
                    <w:right w:val="single" w:color="auto" w:sz="4" w:space="0"/>
                  </w:tcBorders>
                  <w:vAlign w:val="center"/>
                </w:tcPr>
                <w:p>
                  <w:pPr>
                    <w:jc w:val="center"/>
                  </w:pPr>
                  <w:r>
                    <w:t>6</w:t>
                  </w:r>
                </w:p>
              </w:tc>
              <w:tc>
                <w:tcPr>
                  <w:tcW w:w="1421"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添加剂（石粉、食盐、氢钙、油脂等）</w:t>
                  </w:r>
                </w:p>
              </w:tc>
              <w:tc>
                <w:tcPr>
                  <w:tcW w:w="1465"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3600</w:t>
                  </w:r>
                </w:p>
              </w:tc>
              <w:tc>
                <w:tcPr>
                  <w:tcW w:w="1320"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rFonts w:hint="eastAsia"/>
                      <w:color w:val="auto"/>
                    </w:rPr>
                    <w:t>50</w:t>
                  </w:r>
                </w:p>
              </w:tc>
              <w:tc>
                <w:tcPr>
                  <w:tcW w:w="1233"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t</w:t>
                  </w:r>
                  <w:r>
                    <w:t>/a</w:t>
                  </w:r>
                </w:p>
              </w:tc>
              <w:tc>
                <w:tcPr>
                  <w:tcW w:w="1656" w:type="dxa"/>
                  <w:tcBorders>
                    <w:top w:val="single" w:color="auto" w:sz="4" w:space="0"/>
                    <w:left w:val="single" w:color="auto" w:sz="4" w:space="0"/>
                    <w:bottom w:val="single" w:color="auto" w:sz="4" w:space="0"/>
                    <w:right w:val="single" w:color="auto" w:sz="4" w:space="0"/>
                  </w:tcBorders>
                  <w:vAlign w:val="center"/>
                </w:tcPr>
                <w:p>
                  <w:pPr>
                    <w:jc w:val="center"/>
                  </w:pPr>
                  <w:r>
                    <w:t>外购</w:t>
                  </w:r>
                  <w:r>
                    <w:rPr>
                      <w:rFonts w:hint="eastAsia"/>
                    </w:rPr>
                    <w:t>成品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783" w:type="dxa"/>
                  <w:tcBorders>
                    <w:top w:val="single" w:color="auto" w:sz="4" w:space="0"/>
                    <w:left w:val="single" w:color="auto" w:sz="4" w:space="0"/>
                    <w:bottom w:val="single" w:color="auto" w:sz="4" w:space="0"/>
                    <w:right w:val="single" w:color="auto" w:sz="4" w:space="0"/>
                  </w:tcBorders>
                  <w:vAlign w:val="center"/>
                </w:tcPr>
                <w:p>
                  <w:pPr>
                    <w:jc w:val="center"/>
                  </w:pPr>
                  <w:r>
                    <w:t>7</w:t>
                  </w:r>
                </w:p>
              </w:tc>
              <w:tc>
                <w:tcPr>
                  <w:tcW w:w="1421"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包装袋</w:t>
                  </w:r>
                </w:p>
              </w:tc>
              <w:tc>
                <w:tcPr>
                  <w:tcW w:w="1465"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300</w:t>
                  </w:r>
                </w:p>
              </w:tc>
              <w:tc>
                <w:tcPr>
                  <w:tcW w:w="1320"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rFonts w:hint="eastAsia"/>
                      <w:color w:val="auto"/>
                    </w:rPr>
                    <w:t>3</w:t>
                  </w:r>
                  <w:r>
                    <w:rPr>
                      <w:color w:val="auto"/>
                    </w:rPr>
                    <w:t>万</w:t>
                  </w:r>
                </w:p>
              </w:tc>
              <w:tc>
                <w:tcPr>
                  <w:tcW w:w="1233"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万条</w:t>
                  </w:r>
                  <w:r>
                    <w:t>/a</w:t>
                  </w:r>
                </w:p>
              </w:tc>
              <w:tc>
                <w:tcPr>
                  <w:tcW w:w="1656" w:type="dxa"/>
                  <w:tcBorders>
                    <w:top w:val="single" w:color="auto" w:sz="4" w:space="0"/>
                    <w:left w:val="single" w:color="auto" w:sz="4" w:space="0"/>
                    <w:bottom w:val="single" w:color="auto" w:sz="4" w:space="0"/>
                    <w:right w:val="single" w:color="auto" w:sz="4" w:space="0"/>
                  </w:tcBorders>
                  <w:vAlign w:val="center"/>
                </w:tcPr>
                <w:p>
                  <w:pPr>
                    <w:jc w:val="center"/>
                  </w:pPr>
                  <w:r>
                    <w:t>外购成品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783" w:type="dxa"/>
                  <w:tcBorders>
                    <w:top w:val="single" w:color="auto" w:sz="4" w:space="0"/>
                    <w:left w:val="single" w:color="auto" w:sz="4" w:space="0"/>
                    <w:bottom w:val="single" w:color="auto" w:sz="4" w:space="0"/>
                    <w:right w:val="single" w:color="auto" w:sz="4" w:space="0"/>
                  </w:tcBorders>
                  <w:vAlign w:val="center"/>
                </w:tcPr>
                <w:p>
                  <w:pPr>
                    <w:jc w:val="center"/>
                  </w:pPr>
                  <w:r>
                    <w:t>8</w:t>
                  </w:r>
                </w:p>
              </w:tc>
              <w:tc>
                <w:tcPr>
                  <w:tcW w:w="1421"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水</w:t>
                  </w:r>
                </w:p>
              </w:tc>
              <w:tc>
                <w:tcPr>
                  <w:tcW w:w="1465"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8562</w:t>
                  </w:r>
                </w:p>
              </w:tc>
              <w:tc>
                <w:tcPr>
                  <w:tcW w:w="1320"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rFonts w:hint="eastAsia"/>
                      <w:color w:val="auto"/>
                    </w:rPr>
                    <w:t>/</w:t>
                  </w:r>
                </w:p>
              </w:tc>
              <w:tc>
                <w:tcPr>
                  <w:tcW w:w="1233"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t</w:t>
                  </w:r>
                  <w:r>
                    <w:t>/a</w:t>
                  </w:r>
                </w:p>
              </w:tc>
              <w:tc>
                <w:tcPr>
                  <w:tcW w:w="1656"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由</w:t>
                  </w:r>
                  <w:r>
                    <w:t>区域自来水管网提供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783" w:type="dxa"/>
                  <w:tcBorders>
                    <w:top w:val="single" w:color="auto" w:sz="4" w:space="0"/>
                    <w:left w:val="single" w:color="auto" w:sz="4" w:space="0"/>
                    <w:bottom w:val="single" w:color="auto" w:sz="4" w:space="0"/>
                    <w:right w:val="single" w:color="auto" w:sz="4" w:space="0"/>
                  </w:tcBorders>
                  <w:vAlign w:val="center"/>
                </w:tcPr>
                <w:p>
                  <w:pPr>
                    <w:jc w:val="center"/>
                  </w:pPr>
                  <w:r>
                    <w:t>9</w:t>
                  </w:r>
                </w:p>
              </w:tc>
              <w:tc>
                <w:tcPr>
                  <w:tcW w:w="1421"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电</w:t>
                  </w:r>
                </w:p>
              </w:tc>
              <w:tc>
                <w:tcPr>
                  <w:tcW w:w="1465"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65</w:t>
                  </w:r>
                </w:p>
              </w:tc>
              <w:tc>
                <w:tcPr>
                  <w:tcW w:w="1320"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rFonts w:hint="eastAsia"/>
                      <w:color w:val="auto"/>
                    </w:rPr>
                    <w:t>/</w:t>
                  </w:r>
                </w:p>
              </w:tc>
              <w:tc>
                <w:tcPr>
                  <w:tcW w:w="1233"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万kwh</w:t>
                  </w:r>
                  <w:r>
                    <w:t>/a</w:t>
                  </w:r>
                </w:p>
              </w:tc>
              <w:tc>
                <w:tcPr>
                  <w:tcW w:w="1656" w:type="dxa"/>
                  <w:tcBorders>
                    <w:top w:val="single" w:color="auto" w:sz="4" w:space="0"/>
                    <w:left w:val="single" w:color="auto" w:sz="4" w:space="0"/>
                    <w:bottom w:val="single" w:color="auto" w:sz="4" w:space="0"/>
                    <w:right w:val="single" w:color="auto" w:sz="4" w:space="0"/>
                  </w:tcBorders>
                  <w:vAlign w:val="center"/>
                </w:tcPr>
                <w:p>
                  <w:pPr>
                    <w:jc w:val="center"/>
                  </w:pPr>
                  <w:r>
                    <w:t>由区域供电系统提供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783" w:type="dxa"/>
                  <w:tcBorders>
                    <w:top w:val="single" w:color="auto" w:sz="4" w:space="0"/>
                    <w:left w:val="single" w:color="auto" w:sz="4" w:space="0"/>
                    <w:bottom w:val="single" w:color="auto" w:sz="4" w:space="0"/>
                    <w:right w:val="single" w:color="auto" w:sz="4" w:space="0"/>
                  </w:tcBorders>
                  <w:vAlign w:val="center"/>
                </w:tcPr>
                <w:p>
                  <w:pPr>
                    <w:jc w:val="center"/>
                  </w:pPr>
                  <w:r>
                    <w:t>10</w:t>
                  </w:r>
                </w:p>
              </w:tc>
              <w:tc>
                <w:tcPr>
                  <w:tcW w:w="1421"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天然气</w:t>
                  </w:r>
                </w:p>
              </w:tc>
              <w:tc>
                <w:tcPr>
                  <w:tcW w:w="1465"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33.6</w:t>
                  </w:r>
                </w:p>
              </w:tc>
              <w:tc>
                <w:tcPr>
                  <w:tcW w:w="1320"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rFonts w:hint="eastAsia"/>
                      <w:color w:val="auto"/>
                    </w:rPr>
                    <w:t>/</w:t>
                  </w:r>
                </w:p>
              </w:tc>
              <w:tc>
                <w:tcPr>
                  <w:tcW w:w="1233"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万立方米</w:t>
                  </w:r>
                  <w:r>
                    <w:t>/a</w:t>
                  </w:r>
                </w:p>
              </w:tc>
              <w:tc>
                <w:tcPr>
                  <w:tcW w:w="1656"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由</w:t>
                  </w:r>
                  <w:r>
                    <w:t>区域</w:t>
                  </w:r>
                  <w:r>
                    <w:rPr>
                      <w:rFonts w:hint="eastAsia"/>
                    </w:rPr>
                    <w:t>管道</w:t>
                  </w:r>
                  <w:r>
                    <w:t>提供</w:t>
                  </w:r>
                </w:p>
              </w:tc>
            </w:tr>
          </w:tbl>
          <w:p>
            <w:pPr>
              <w:pStyle w:val="8"/>
              <w:spacing w:line="360" w:lineRule="auto"/>
              <w:ind w:left="0" w:firstLine="482" w:firstLineChars="200"/>
              <w:rPr>
                <w:rFonts w:cs="Times New Roman"/>
                <w:lang w:val="en-US"/>
              </w:rPr>
            </w:pPr>
            <w:r>
              <w:rPr>
                <w:rFonts w:hint="eastAsia"/>
              </w:rPr>
              <w:t>主要原辅料理化性质</w:t>
            </w:r>
            <w:r>
              <w:rPr>
                <w:rFonts w:hint="eastAsia"/>
                <w:lang w:val="en-US"/>
              </w:rPr>
              <w:t>：</w:t>
            </w:r>
          </w:p>
          <w:p>
            <w:pPr>
              <w:spacing w:line="360" w:lineRule="auto"/>
              <w:ind w:firstLine="480" w:firstLineChars="200"/>
              <w:rPr>
                <w:rFonts w:cs="宋体"/>
                <w:b/>
                <w:bCs/>
                <w:sz w:val="24"/>
                <w:szCs w:val="24"/>
              </w:rPr>
            </w:pPr>
            <w:r>
              <w:rPr>
                <w:sz w:val="24"/>
                <w:szCs w:val="24"/>
              </w:rPr>
              <w:t>玉米</w:t>
            </w:r>
            <w:r>
              <w:rPr>
                <w:rFonts w:hint="eastAsia"/>
                <w:sz w:val="24"/>
                <w:szCs w:val="24"/>
              </w:rPr>
              <w:t>：</w:t>
            </w:r>
            <w:r>
              <w:rPr>
                <w:sz w:val="24"/>
                <w:szCs w:val="24"/>
              </w:rPr>
              <w:t>玉米营养丰富</w:t>
            </w:r>
            <w:r>
              <w:rPr>
                <w:rFonts w:hint="eastAsia"/>
                <w:sz w:val="24"/>
                <w:szCs w:val="24"/>
              </w:rPr>
              <w:t>：</w:t>
            </w:r>
            <w:r>
              <w:rPr>
                <w:sz w:val="24"/>
                <w:szCs w:val="24"/>
              </w:rPr>
              <w:t>含有碳水化合物</w:t>
            </w:r>
            <w:r>
              <w:rPr>
                <w:rFonts w:hint="eastAsia"/>
                <w:sz w:val="24"/>
                <w:szCs w:val="24"/>
              </w:rPr>
              <w:t>：</w:t>
            </w:r>
            <w:r>
              <w:rPr>
                <w:sz w:val="24"/>
                <w:szCs w:val="24"/>
              </w:rPr>
              <w:t>74.8克，蛋白质</w:t>
            </w:r>
            <w:r>
              <w:rPr>
                <w:rFonts w:hint="eastAsia"/>
                <w:sz w:val="24"/>
                <w:szCs w:val="24"/>
              </w:rPr>
              <w:t>：</w:t>
            </w:r>
            <w:r>
              <w:rPr>
                <w:sz w:val="24"/>
                <w:szCs w:val="24"/>
              </w:rPr>
              <w:t>29克，脂肪</w:t>
            </w:r>
            <w:r>
              <w:rPr>
                <w:rFonts w:hint="eastAsia"/>
                <w:sz w:val="24"/>
                <w:szCs w:val="24"/>
              </w:rPr>
              <w:t>：</w:t>
            </w:r>
            <w:r>
              <w:rPr>
                <w:sz w:val="24"/>
                <w:szCs w:val="24"/>
              </w:rPr>
              <w:t>16.6克</w:t>
            </w:r>
            <w:r>
              <w:rPr>
                <w:rFonts w:hint="eastAsia"/>
                <w:sz w:val="24"/>
                <w:szCs w:val="24"/>
              </w:rPr>
              <w:t>，</w:t>
            </w:r>
            <w:r>
              <w:rPr>
                <w:sz w:val="24"/>
                <w:szCs w:val="24"/>
              </w:rPr>
              <w:t>膳食纤维6.9克。作为饲料它的营养价值特点如下</w:t>
            </w:r>
            <w:r>
              <w:rPr>
                <w:rFonts w:hint="eastAsia"/>
                <w:sz w:val="24"/>
                <w:szCs w:val="24"/>
              </w:rPr>
              <w:t>：</w:t>
            </w:r>
            <w:r>
              <w:rPr>
                <w:sz w:val="24"/>
                <w:szCs w:val="24"/>
              </w:rPr>
              <w:t>可利用能值高</w:t>
            </w:r>
            <w:r>
              <w:rPr>
                <w:rFonts w:hint="eastAsia"/>
                <w:sz w:val="24"/>
                <w:szCs w:val="24"/>
              </w:rPr>
              <w:t>；</w:t>
            </w:r>
            <w:r>
              <w:rPr>
                <w:sz w:val="24"/>
                <w:szCs w:val="24"/>
              </w:rPr>
              <w:t>亚油酸含量较高</w:t>
            </w:r>
            <w:r>
              <w:rPr>
                <w:rFonts w:hint="eastAsia"/>
                <w:sz w:val="24"/>
                <w:szCs w:val="24"/>
              </w:rPr>
              <w:t>；</w:t>
            </w:r>
            <w:r>
              <w:rPr>
                <w:sz w:val="24"/>
                <w:szCs w:val="24"/>
              </w:rPr>
              <w:t>蛋白品质稍差，赖氨酸和色氨酸等几种必需氨基酸含量较低</w:t>
            </w:r>
            <w:r>
              <w:rPr>
                <w:rFonts w:hint="eastAsia"/>
                <w:sz w:val="24"/>
                <w:szCs w:val="24"/>
              </w:rPr>
              <w:t>；</w:t>
            </w:r>
            <w:r>
              <w:rPr>
                <w:sz w:val="24"/>
                <w:szCs w:val="24"/>
              </w:rPr>
              <w:t>矿物质丰富</w:t>
            </w:r>
            <w:r>
              <w:rPr>
                <w:rFonts w:hint="eastAsia"/>
                <w:sz w:val="24"/>
                <w:szCs w:val="24"/>
              </w:rPr>
              <w:t>；</w:t>
            </w:r>
            <w:r>
              <w:rPr>
                <w:sz w:val="24"/>
                <w:szCs w:val="24"/>
              </w:rPr>
              <w:t>维生素含量较多</w:t>
            </w:r>
            <w:r>
              <w:rPr>
                <w:rFonts w:hint="eastAsia"/>
                <w:sz w:val="24"/>
                <w:szCs w:val="24"/>
              </w:rPr>
              <w:t>；</w:t>
            </w:r>
            <w:r>
              <w:rPr>
                <w:sz w:val="24"/>
                <w:szCs w:val="24"/>
              </w:rPr>
              <w:t>黄玉米含色素较多</w:t>
            </w:r>
            <w:r>
              <w:rPr>
                <w:rFonts w:hint="eastAsia"/>
                <w:sz w:val="24"/>
                <w:szCs w:val="24"/>
              </w:rPr>
              <w:t>。</w:t>
            </w:r>
          </w:p>
          <w:p>
            <w:pPr>
              <w:spacing w:line="360" w:lineRule="auto"/>
              <w:ind w:firstLine="480" w:firstLineChars="200"/>
              <w:rPr>
                <w:b/>
                <w:bCs/>
                <w:sz w:val="24"/>
                <w:szCs w:val="24"/>
              </w:rPr>
            </w:pPr>
            <w:r>
              <w:rPr>
                <w:sz w:val="24"/>
                <w:szCs w:val="24"/>
              </w:rPr>
              <w:t>小麦</w:t>
            </w:r>
            <w:r>
              <w:rPr>
                <w:rFonts w:hint="eastAsia"/>
                <w:sz w:val="24"/>
                <w:szCs w:val="24"/>
              </w:rPr>
              <w:t>：</w:t>
            </w:r>
            <w:r>
              <w:rPr>
                <w:sz w:val="24"/>
                <w:szCs w:val="24"/>
              </w:rPr>
              <w:t>粗蛋白质含量居谷实类之首位，</w:t>
            </w:r>
            <w:r>
              <w:rPr>
                <w:rFonts w:hint="eastAsia"/>
                <w:sz w:val="24"/>
                <w:szCs w:val="24"/>
              </w:rPr>
              <w:t>一</w:t>
            </w:r>
            <w:r>
              <w:rPr>
                <w:sz w:val="24"/>
                <w:szCs w:val="24"/>
              </w:rPr>
              <w:t>般达12%以上，但必需氨基酸尤其是赖氨酸不足，因而小麦蛋质品质较差。无氮浸出物多，在其干物质中可达75%以上。粗脂肪含量低(约1.7%)，这是小麦低于玉米的主要原因。矿物质含量</w:t>
            </w:r>
            <w:r>
              <w:rPr>
                <w:rFonts w:hint="eastAsia"/>
                <w:sz w:val="24"/>
                <w:szCs w:val="24"/>
              </w:rPr>
              <w:t>一</w:t>
            </w:r>
            <w:r>
              <w:rPr>
                <w:sz w:val="24"/>
                <w:szCs w:val="24"/>
              </w:rPr>
              <w:t>般都高于其他谷实，磷、钾等含量较多，但半数以上的磷为无效态的植酸磷。小麦中非淀粉多糖</w:t>
            </w:r>
            <w:r>
              <w:rPr>
                <w:rFonts w:hint="eastAsia"/>
                <w:sz w:val="24"/>
                <w:szCs w:val="24"/>
              </w:rPr>
              <w:t>含量较多，可达小麦干重6%以上。</w:t>
            </w:r>
          </w:p>
          <w:p>
            <w:pPr>
              <w:spacing w:line="360" w:lineRule="auto"/>
              <w:ind w:firstLine="482" w:firstLineChars="200"/>
              <w:rPr>
                <w:b/>
                <w:bCs/>
                <w:sz w:val="24"/>
                <w:szCs w:val="24"/>
              </w:rPr>
            </w:pPr>
            <w:r>
              <w:rPr>
                <w:rFonts w:hint="eastAsia" w:cs="宋体"/>
                <w:b/>
                <w:bCs/>
                <w:sz w:val="24"/>
                <w:szCs w:val="24"/>
              </w:rPr>
              <w:t>5、主要生产设备</w:t>
            </w:r>
          </w:p>
          <w:p>
            <w:pPr>
              <w:spacing w:line="360" w:lineRule="auto"/>
              <w:ind w:firstLine="480" w:firstLineChars="200"/>
              <w:textAlignment w:val="baseline"/>
              <w:rPr>
                <w:rFonts w:cs="宋体"/>
                <w:b/>
                <w:bCs/>
                <w:sz w:val="24"/>
                <w:szCs w:val="24"/>
              </w:rPr>
            </w:pPr>
            <w:r>
              <w:rPr>
                <w:rFonts w:hint="eastAsia" w:cs="宋体"/>
                <w:sz w:val="24"/>
                <w:szCs w:val="24"/>
              </w:rPr>
              <w:t>本项目主要生产设备详见表</w:t>
            </w:r>
            <w:r>
              <w:rPr>
                <w:sz w:val="24"/>
                <w:szCs w:val="24"/>
              </w:rPr>
              <w:t>2-</w:t>
            </w:r>
            <w:r>
              <w:rPr>
                <w:rFonts w:hint="eastAsia"/>
                <w:sz w:val="24"/>
                <w:szCs w:val="24"/>
              </w:rPr>
              <w:t>4</w:t>
            </w:r>
            <w:r>
              <w:rPr>
                <w:rFonts w:hint="eastAsia" w:cs="宋体"/>
                <w:sz w:val="24"/>
                <w:szCs w:val="24"/>
              </w:rPr>
              <w:t>所示。</w:t>
            </w:r>
          </w:p>
          <w:p>
            <w:pPr>
              <w:spacing w:line="360" w:lineRule="auto"/>
              <w:jc w:val="center"/>
              <w:rPr>
                <w:b/>
                <w:bCs/>
                <w:sz w:val="24"/>
                <w:szCs w:val="24"/>
              </w:rPr>
            </w:pPr>
            <w:r>
              <w:rPr>
                <w:rFonts w:hint="eastAsia" w:cs="宋体"/>
                <w:b/>
                <w:bCs/>
                <w:sz w:val="24"/>
                <w:szCs w:val="24"/>
              </w:rPr>
              <w:t>表</w:t>
            </w:r>
            <w:r>
              <w:rPr>
                <w:b/>
                <w:bCs/>
                <w:sz w:val="24"/>
                <w:szCs w:val="24"/>
              </w:rPr>
              <w:t>2-</w:t>
            </w:r>
            <w:r>
              <w:rPr>
                <w:rFonts w:hint="eastAsia"/>
                <w:b/>
                <w:bCs/>
                <w:sz w:val="24"/>
                <w:szCs w:val="24"/>
              </w:rPr>
              <w:t>4</w:t>
            </w:r>
            <w:r>
              <w:rPr>
                <w:rFonts w:hint="eastAsia"/>
                <w:b/>
                <w:bCs/>
                <w:sz w:val="24"/>
                <w:szCs w:val="24"/>
                <w:lang w:val="en-US" w:eastAsia="zh-CN"/>
              </w:rPr>
              <w:t xml:space="preserve">  </w:t>
            </w:r>
            <w:r>
              <w:rPr>
                <w:rFonts w:hint="eastAsia"/>
                <w:b/>
                <w:bCs/>
                <w:sz w:val="24"/>
                <w:szCs w:val="24"/>
              </w:rPr>
              <w:t>本项目</w:t>
            </w:r>
            <w:r>
              <w:rPr>
                <w:rFonts w:hint="eastAsia" w:cs="宋体"/>
                <w:b/>
                <w:bCs/>
                <w:sz w:val="24"/>
                <w:szCs w:val="24"/>
              </w:rPr>
              <w:t>主要设备情况一览表</w:t>
            </w:r>
          </w:p>
          <w:tbl>
            <w:tblPr>
              <w:tblStyle w:val="23"/>
              <w:tblW w:w="7798" w:type="dxa"/>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5"/>
              <w:gridCol w:w="2246"/>
              <w:gridCol w:w="2291"/>
              <w:gridCol w:w="1190"/>
              <w:gridCol w:w="1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 w:hRule="atLeast"/>
              </w:trPr>
              <w:tc>
                <w:tcPr>
                  <w:tcW w:w="975" w:type="dxa"/>
                  <w:tcBorders>
                    <w:top w:val="single" w:color="auto" w:sz="4" w:space="0"/>
                    <w:left w:val="single" w:color="auto" w:sz="4" w:space="0"/>
                    <w:bottom w:val="single" w:color="auto" w:sz="4" w:space="0"/>
                    <w:right w:val="single" w:color="auto" w:sz="4" w:space="0"/>
                  </w:tcBorders>
                  <w:vAlign w:val="center"/>
                </w:tcPr>
                <w:p>
                  <w:pPr>
                    <w:pStyle w:val="8"/>
                    <w:ind w:left="0"/>
                    <w:jc w:val="center"/>
                    <w:rPr>
                      <w:rFonts w:ascii="Times New Roman" w:hAnsi="Times New Roman" w:cs="Times New Roman"/>
                      <w:b w:val="0"/>
                      <w:bCs w:val="0"/>
                      <w:color w:val="FF0000"/>
                      <w:sz w:val="21"/>
                      <w:szCs w:val="21"/>
                      <w:lang w:val="en-US"/>
                    </w:rPr>
                  </w:pPr>
                  <w:r>
                    <w:rPr>
                      <w:rFonts w:hint="eastAsia"/>
                      <w:b w:val="0"/>
                      <w:bCs w:val="0"/>
                      <w:sz w:val="21"/>
                      <w:szCs w:val="21"/>
                    </w:rPr>
                    <w:t>序号</w:t>
                  </w:r>
                </w:p>
              </w:tc>
              <w:tc>
                <w:tcPr>
                  <w:tcW w:w="2246" w:type="dxa"/>
                  <w:tcBorders>
                    <w:top w:val="single" w:color="auto" w:sz="4" w:space="0"/>
                    <w:left w:val="single" w:color="auto" w:sz="4" w:space="0"/>
                    <w:bottom w:val="single" w:color="auto" w:sz="4" w:space="0"/>
                    <w:right w:val="single" w:color="auto" w:sz="4" w:space="0"/>
                  </w:tcBorders>
                  <w:vAlign w:val="center"/>
                </w:tcPr>
                <w:p>
                  <w:pPr>
                    <w:pStyle w:val="8"/>
                    <w:ind w:left="0"/>
                    <w:jc w:val="center"/>
                    <w:rPr>
                      <w:rFonts w:cs="Times New Roman"/>
                      <w:b w:val="0"/>
                      <w:bCs w:val="0"/>
                      <w:color w:val="FF0000"/>
                      <w:sz w:val="21"/>
                      <w:szCs w:val="21"/>
                    </w:rPr>
                  </w:pPr>
                  <w:r>
                    <w:rPr>
                      <w:rFonts w:hint="eastAsia"/>
                      <w:b w:val="0"/>
                      <w:bCs w:val="0"/>
                      <w:sz w:val="21"/>
                      <w:szCs w:val="21"/>
                    </w:rPr>
                    <w:t>名称</w:t>
                  </w:r>
                </w:p>
              </w:tc>
              <w:tc>
                <w:tcPr>
                  <w:tcW w:w="2291" w:type="dxa"/>
                  <w:tcBorders>
                    <w:top w:val="single" w:color="auto" w:sz="4" w:space="0"/>
                    <w:left w:val="single" w:color="auto" w:sz="4" w:space="0"/>
                    <w:bottom w:val="single" w:color="auto" w:sz="4" w:space="0"/>
                    <w:right w:val="single" w:color="auto" w:sz="4" w:space="0"/>
                  </w:tcBorders>
                  <w:vAlign w:val="center"/>
                </w:tcPr>
                <w:p>
                  <w:pPr>
                    <w:pStyle w:val="8"/>
                    <w:ind w:left="0"/>
                    <w:jc w:val="center"/>
                    <w:rPr>
                      <w:rFonts w:ascii="Times New Roman" w:hAnsi="Times New Roman" w:cs="Times New Roman"/>
                      <w:b w:val="0"/>
                      <w:bCs w:val="0"/>
                      <w:color w:val="FF0000"/>
                      <w:sz w:val="21"/>
                      <w:szCs w:val="21"/>
                      <w:lang w:val="en-US"/>
                    </w:rPr>
                  </w:pPr>
                  <w:r>
                    <w:rPr>
                      <w:rFonts w:hint="eastAsia"/>
                      <w:b w:val="0"/>
                      <w:bCs w:val="0"/>
                      <w:sz w:val="21"/>
                      <w:szCs w:val="21"/>
                    </w:rPr>
                    <w:t>型号</w:t>
                  </w:r>
                </w:p>
              </w:tc>
              <w:tc>
                <w:tcPr>
                  <w:tcW w:w="1190" w:type="dxa"/>
                  <w:tcBorders>
                    <w:top w:val="single" w:color="auto" w:sz="4" w:space="0"/>
                    <w:left w:val="single" w:color="auto" w:sz="4" w:space="0"/>
                    <w:bottom w:val="single" w:color="auto" w:sz="4" w:space="0"/>
                    <w:right w:val="single" w:color="auto" w:sz="4" w:space="0"/>
                  </w:tcBorders>
                  <w:vAlign w:val="center"/>
                </w:tcPr>
                <w:p>
                  <w:pPr>
                    <w:widowControl/>
                    <w:jc w:val="center"/>
                    <w:rPr>
                      <w:color w:val="FF0000"/>
                    </w:rPr>
                  </w:pPr>
                  <w:r>
                    <w:t>数量</w:t>
                  </w:r>
                </w:p>
              </w:tc>
              <w:tc>
                <w:tcPr>
                  <w:tcW w:w="1096" w:type="dxa"/>
                  <w:tcBorders>
                    <w:top w:val="single" w:color="auto" w:sz="4" w:space="0"/>
                    <w:left w:val="single" w:color="auto" w:sz="4" w:space="0"/>
                    <w:bottom w:val="single" w:color="auto" w:sz="4" w:space="0"/>
                    <w:right w:val="single" w:color="auto" w:sz="4" w:space="0"/>
                  </w:tcBorders>
                  <w:vAlign w:val="center"/>
                </w:tcPr>
                <w:p>
                  <w:pPr>
                    <w:widowControl/>
                    <w:jc w:val="center"/>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75" w:type="dxa"/>
                  <w:tcBorders>
                    <w:top w:val="single" w:color="auto" w:sz="4" w:space="0"/>
                    <w:left w:val="single" w:color="auto" w:sz="4" w:space="0"/>
                    <w:bottom w:val="single" w:color="auto" w:sz="4" w:space="0"/>
                    <w:right w:val="single" w:color="auto" w:sz="4" w:space="0"/>
                  </w:tcBorders>
                  <w:vAlign w:val="center"/>
                </w:tcPr>
                <w:p>
                  <w:pPr>
                    <w:pStyle w:val="8"/>
                    <w:ind w:left="0"/>
                    <w:jc w:val="center"/>
                    <w:rPr>
                      <w:rFonts w:ascii="Times New Roman" w:hAnsi="Times New Roman" w:cs="Times New Roman"/>
                      <w:b w:val="0"/>
                      <w:bCs w:val="0"/>
                      <w:sz w:val="21"/>
                      <w:szCs w:val="21"/>
                      <w:lang w:val="en-US"/>
                    </w:rPr>
                  </w:pPr>
                  <w:r>
                    <w:rPr>
                      <w:rFonts w:hint="eastAsia" w:ascii="Times New Roman" w:hAnsi="Times New Roman" w:cs="Times New Roman"/>
                      <w:b w:val="0"/>
                      <w:bCs w:val="0"/>
                      <w:sz w:val="21"/>
                      <w:szCs w:val="21"/>
                      <w:lang w:val="en-US"/>
                    </w:rPr>
                    <w:t>1</w:t>
                  </w:r>
                </w:p>
              </w:tc>
              <w:tc>
                <w:tcPr>
                  <w:tcW w:w="224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pPr>
                  <w:r>
                    <w:rPr>
                      <w:kern w:val="0"/>
                    </w:rPr>
                    <w:t>脉冲布筒除尘器</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pPr>
                  <w:r>
                    <w:t>/</w:t>
                  </w:r>
                </w:p>
              </w:tc>
              <w:tc>
                <w:tcPr>
                  <w:tcW w:w="119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pPr>
                  <w:r>
                    <w:t>11</w:t>
                  </w:r>
                </w:p>
              </w:tc>
              <w:tc>
                <w:tcPr>
                  <w:tcW w:w="1096" w:type="dxa"/>
                  <w:tcBorders>
                    <w:top w:val="single" w:color="auto" w:sz="4" w:space="0"/>
                    <w:left w:val="single" w:color="auto" w:sz="4" w:space="0"/>
                    <w:bottom w:val="single" w:color="auto" w:sz="4" w:space="0"/>
                    <w:right w:val="single" w:color="auto" w:sz="4" w:space="0"/>
                  </w:tcBorders>
                  <w:vAlign w:val="center"/>
                </w:tcPr>
                <w:p>
                  <w:pPr>
                    <w:pStyle w:val="8"/>
                    <w:ind w:left="0"/>
                    <w:jc w:val="center"/>
                    <w:rPr>
                      <w:rFonts w:cs="Times New Roman"/>
                      <w:b w:val="0"/>
                      <w:bCs w:val="0"/>
                      <w:sz w:val="21"/>
                      <w:szCs w:val="21"/>
                      <w:lang w:val="en-US"/>
                    </w:rPr>
                  </w:pPr>
                  <w:r>
                    <w:rPr>
                      <w:rFonts w:hint="eastAsia" w:cs="Times New Roman"/>
                      <w:b w:val="0"/>
                      <w:bCs w:val="0"/>
                      <w:sz w:val="21"/>
                      <w:szCs w:val="21"/>
                      <w:lang w:val="en-US"/>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trPr>
              <w:tc>
                <w:tcPr>
                  <w:tcW w:w="975" w:type="dxa"/>
                  <w:tcBorders>
                    <w:top w:val="single" w:color="auto" w:sz="4" w:space="0"/>
                    <w:left w:val="single" w:color="auto" w:sz="4" w:space="0"/>
                    <w:bottom w:val="single" w:color="auto" w:sz="4" w:space="0"/>
                    <w:right w:val="single" w:color="auto" w:sz="4" w:space="0"/>
                  </w:tcBorders>
                  <w:vAlign w:val="center"/>
                </w:tcPr>
                <w:p>
                  <w:pPr>
                    <w:pStyle w:val="8"/>
                    <w:ind w:left="0"/>
                    <w:jc w:val="center"/>
                    <w:rPr>
                      <w:rFonts w:ascii="Times New Roman" w:hAnsi="Times New Roman" w:cs="Times New Roman"/>
                      <w:b w:val="0"/>
                      <w:bCs w:val="0"/>
                      <w:sz w:val="21"/>
                      <w:szCs w:val="21"/>
                      <w:lang w:val="en-US"/>
                    </w:rPr>
                  </w:pPr>
                  <w:r>
                    <w:rPr>
                      <w:rFonts w:hint="eastAsia" w:ascii="Times New Roman" w:hAnsi="Times New Roman" w:cs="Times New Roman"/>
                      <w:b w:val="0"/>
                      <w:bCs w:val="0"/>
                      <w:sz w:val="21"/>
                      <w:szCs w:val="21"/>
                      <w:lang w:val="en-US"/>
                    </w:rPr>
                    <w:t>2</w:t>
                  </w:r>
                </w:p>
              </w:tc>
              <w:tc>
                <w:tcPr>
                  <w:tcW w:w="224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kern w:val="0"/>
                    </w:rPr>
                  </w:pPr>
                  <w:r>
                    <w:rPr>
                      <w:kern w:val="0"/>
                    </w:rPr>
                    <w:t>单筒无动力除尘器</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pPr>
                  <w:r>
                    <w:rPr>
                      <w:kern w:val="0"/>
                    </w:rPr>
                    <w:t>BLMY1</w:t>
                  </w:r>
                </w:p>
              </w:tc>
              <w:tc>
                <w:tcPr>
                  <w:tcW w:w="119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pPr>
                  <w:r>
                    <w:t>6</w:t>
                  </w:r>
                </w:p>
              </w:tc>
              <w:tc>
                <w:tcPr>
                  <w:tcW w:w="1096" w:type="dxa"/>
                  <w:tcBorders>
                    <w:top w:val="single" w:color="auto" w:sz="4" w:space="0"/>
                    <w:left w:val="single" w:color="auto" w:sz="4" w:space="0"/>
                    <w:bottom w:val="single" w:color="auto" w:sz="4" w:space="0"/>
                    <w:right w:val="single" w:color="auto" w:sz="4" w:space="0"/>
                  </w:tcBorders>
                  <w:vAlign w:val="center"/>
                </w:tcPr>
                <w:p>
                  <w:pPr>
                    <w:pStyle w:val="8"/>
                    <w:ind w:left="0"/>
                    <w:jc w:val="center"/>
                    <w:rPr>
                      <w:rFonts w:cs="Times New Roman"/>
                      <w:b w:val="0"/>
                      <w:bCs w:val="0"/>
                      <w:sz w:val="21"/>
                      <w:szCs w:val="21"/>
                      <w:lang w:val="en-US"/>
                    </w:rPr>
                  </w:pPr>
                  <w:r>
                    <w:rPr>
                      <w:rFonts w:hint="eastAsia" w:cs="Times New Roman"/>
                      <w:b w:val="0"/>
                      <w:bCs w:val="0"/>
                      <w:sz w:val="21"/>
                      <w:szCs w:val="21"/>
                      <w:lang w:val="en-US"/>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75" w:type="dxa"/>
                  <w:tcBorders>
                    <w:top w:val="single" w:color="auto" w:sz="4" w:space="0"/>
                    <w:left w:val="single" w:color="auto" w:sz="4" w:space="0"/>
                    <w:bottom w:val="single" w:color="auto" w:sz="4" w:space="0"/>
                    <w:right w:val="single" w:color="auto" w:sz="4" w:space="0"/>
                  </w:tcBorders>
                  <w:vAlign w:val="center"/>
                </w:tcPr>
                <w:p>
                  <w:pPr>
                    <w:pStyle w:val="8"/>
                    <w:ind w:left="0"/>
                    <w:jc w:val="center"/>
                    <w:rPr>
                      <w:rFonts w:ascii="Times New Roman" w:hAnsi="Times New Roman" w:cs="Times New Roman"/>
                      <w:b w:val="0"/>
                      <w:bCs w:val="0"/>
                      <w:sz w:val="21"/>
                      <w:szCs w:val="21"/>
                      <w:lang w:val="en-US"/>
                    </w:rPr>
                  </w:pPr>
                  <w:r>
                    <w:rPr>
                      <w:rFonts w:hint="eastAsia" w:ascii="Times New Roman" w:hAnsi="Times New Roman" w:cs="Times New Roman"/>
                      <w:b w:val="0"/>
                      <w:bCs w:val="0"/>
                      <w:sz w:val="21"/>
                      <w:szCs w:val="21"/>
                      <w:lang w:val="en-US"/>
                    </w:rPr>
                    <w:t>3</w:t>
                  </w:r>
                </w:p>
              </w:tc>
              <w:tc>
                <w:tcPr>
                  <w:tcW w:w="224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pPr>
                  <w:r>
                    <w:rPr>
                      <w:kern w:val="0"/>
                    </w:rPr>
                    <w:t>斗式提升机</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pPr>
                  <w:r>
                    <w:rPr>
                      <w:kern w:val="0"/>
                    </w:rPr>
                    <w:t>TDTG</w:t>
                  </w:r>
                </w:p>
              </w:tc>
              <w:tc>
                <w:tcPr>
                  <w:tcW w:w="119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pPr>
                  <w:r>
                    <w:rPr>
                      <w:kern w:val="0"/>
                    </w:rPr>
                    <w:t>11</w:t>
                  </w:r>
                </w:p>
              </w:tc>
              <w:tc>
                <w:tcPr>
                  <w:tcW w:w="1096" w:type="dxa"/>
                  <w:tcBorders>
                    <w:top w:val="single" w:color="auto" w:sz="4" w:space="0"/>
                    <w:left w:val="single" w:color="auto" w:sz="4" w:space="0"/>
                    <w:bottom w:val="single" w:color="auto" w:sz="4" w:space="0"/>
                    <w:right w:val="single" w:color="auto" w:sz="4" w:space="0"/>
                  </w:tcBorders>
                  <w:vAlign w:val="center"/>
                </w:tcPr>
                <w:p>
                  <w:pPr>
                    <w:pStyle w:val="8"/>
                    <w:ind w:left="0"/>
                    <w:jc w:val="center"/>
                    <w:rPr>
                      <w:rFonts w:cs="Times New Roman"/>
                      <w:b w:val="0"/>
                      <w:bCs w:val="0"/>
                      <w:color w:val="FF0000"/>
                      <w:sz w:val="21"/>
                      <w:szCs w:val="21"/>
                      <w:lang w:val="en-US"/>
                    </w:rPr>
                  </w:pPr>
                  <w:r>
                    <w:rPr>
                      <w:rFonts w:hint="eastAsia" w:cs="Times New Roman"/>
                      <w:b w:val="0"/>
                      <w:bCs w:val="0"/>
                      <w:sz w:val="21"/>
                      <w:szCs w:val="21"/>
                      <w:lang w:val="en-US"/>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75" w:type="dxa"/>
                  <w:tcBorders>
                    <w:top w:val="single" w:color="auto" w:sz="4" w:space="0"/>
                    <w:left w:val="single" w:color="auto" w:sz="4" w:space="0"/>
                    <w:bottom w:val="single" w:color="auto" w:sz="4" w:space="0"/>
                    <w:right w:val="single" w:color="auto" w:sz="4" w:space="0"/>
                  </w:tcBorders>
                  <w:vAlign w:val="center"/>
                </w:tcPr>
                <w:p>
                  <w:pPr>
                    <w:pStyle w:val="8"/>
                    <w:ind w:left="0"/>
                    <w:jc w:val="center"/>
                    <w:rPr>
                      <w:rFonts w:ascii="Times New Roman" w:hAnsi="Times New Roman" w:cs="Times New Roman"/>
                      <w:b w:val="0"/>
                      <w:bCs w:val="0"/>
                      <w:sz w:val="21"/>
                      <w:szCs w:val="21"/>
                      <w:lang w:val="en-US"/>
                    </w:rPr>
                  </w:pPr>
                  <w:r>
                    <w:rPr>
                      <w:rFonts w:hint="eastAsia" w:ascii="Times New Roman" w:hAnsi="Times New Roman" w:cs="Times New Roman"/>
                      <w:b w:val="0"/>
                      <w:bCs w:val="0"/>
                      <w:sz w:val="21"/>
                      <w:szCs w:val="21"/>
                      <w:lang w:val="en-US"/>
                    </w:rPr>
                    <w:t>4</w:t>
                  </w:r>
                </w:p>
              </w:tc>
              <w:tc>
                <w:tcPr>
                  <w:tcW w:w="224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pPr>
                  <w:r>
                    <w:rPr>
                      <w:kern w:val="0"/>
                    </w:rPr>
                    <w:t>永磁筒</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pPr>
                  <w:r>
                    <w:rPr>
                      <w:kern w:val="0"/>
                    </w:rPr>
                    <w:t>TCXT</w:t>
                  </w:r>
                </w:p>
              </w:tc>
              <w:tc>
                <w:tcPr>
                  <w:tcW w:w="119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pPr>
                  <w:r>
                    <w:rPr>
                      <w:kern w:val="0"/>
                    </w:rPr>
                    <w:t>6</w:t>
                  </w:r>
                </w:p>
              </w:tc>
              <w:tc>
                <w:tcPr>
                  <w:tcW w:w="1096" w:type="dxa"/>
                  <w:tcBorders>
                    <w:top w:val="single" w:color="auto" w:sz="4" w:space="0"/>
                    <w:left w:val="single" w:color="auto" w:sz="4" w:space="0"/>
                    <w:bottom w:val="single" w:color="auto" w:sz="4" w:space="0"/>
                    <w:right w:val="single" w:color="auto" w:sz="4" w:space="0"/>
                  </w:tcBorders>
                  <w:vAlign w:val="center"/>
                </w:tcPr>
                <w:p>
                  <w:pPr>
                    <w:pStyle w:val="8"/>
                    <w:ind w:left="0"/>
                    <w:jc w:val="center"/>
                    <w:rPr>
                      <w:rFonts w:cs="Times New Roman"/>
                      <w:b w:val="0"/>
                      <w:bCs w:val="0"/>
                      <w:color w:val="FF0000"/>
                      <w:sz w:val="21"/>
                      <w:szCs w:val="21"/>
                      <w:lang w:val="en-US"/>
                    </w:rPr>
                  </w:pPr>
                  <w:r>
                    <w:rPr>
                      <w:rFonts w:hint="eastAsia" w:cs="Times New Roman"/>
                      <w:b w:val="0"/>
                      <w:bCs w:val="0"/>
                      <w:sz w:val="21"/>
                      <w:szCs w:val="21"/>
                      <w:lang w:val="en-US"/>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75" w:type="dxa"/>
                  <w:tcBorders>
                    <w:top w:val="single" w:color="auto" w:sz="4" w:space="0"/>
                    <w:left w:val="single" w:color="auto" w:sz="4" w:space="0"/>
                    <w:bottom w:val="single" w:color="auto" w:sz="4" w:space="0"/>
                    <w:right w:val="single" w:color="auto" w:sz="4" w:space="0"/>
                  </w:tcBorders>
                  <w:vAlign w:val="center"/>
                </w:tcPr>
                <w:p>
                  <w:pPr>
                    <w:pStyle w:val="8"/>
                    <w:ind w:left="0"/>
                    <w:jc w:val="center"/>
                    <w:rPr>
                      <w:rFonts w:ascii="Times New Roman" w:hAnsi="Times New Roman" w:cs="Times New Roman"/>
                      <w:b w:val="0"/>
                      <w:bCs w:val="0"/>
                      <w:sz w:val="21"/>
                      <w:szCs w:val="21"/>
                      <w:lang w:val="en-US"/>
                    </w:rPr>
                  </w:pPr>
                  <w:r>
                    <w:rPr>
                      <w:rFonts w:hint="eastAsia" w:ascii="Times New Roman" w:hAnsi="Times New Roman" w:cs="Times New Roman"/>
                      <w:b w:val="0"/>
                      <w:bCs w:val="0"/>
                      <w:sz w:val="21"/>
                      <w:szCs w:val="21"/>
                      <w:lang w:val="en-US"/>
                    </w:rPr>
                    <w:t>5</w:t>
                  </w:r>
                </w:p>
              </w:tc>
              <w:tc>
                <w:tcPr>
                  <w:tcW w:w="224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pPr>
                  <w:r>
                    <w:rPr>
                      <w:kern w:val="0"/>
                    </w:rPr>
                    <w:t>国产通用离心通风机</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pPr>
                  <w:r>
                    <w:rPr>
                      <w:kern w:val="0"/>
                    </w:rPr>
                    <w:t>/</w:t>
                  </w:r>
                </w:p>
              </w:tc>
              <w:tc>
                <w:tcPr>
                  <w:tcW w:w="119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pPr>
                  <w:r>
                    <w:t>12</w:t>
                  </w:r>
                </w:p>
              </w:tc>
              <w:tc>
                <w:tcPr>
                  <w:tcW w:w="1096" w:type="dxa"/>
                  <w:tcBorders>
                    <w:top w:val="single" w:color="auto" w:sz="4" w:space="0"/>
                    <w:left w:val="single" w:color="auto" w:sz="4" w:space="0"/>
                    <w:bottom w:val="single" w:color="auto" w:sz="4" w:space="0"/>
                    <w:right w:val="single" w:color="auto" w:sz="4" w:space="0"/>
                  </w:tcBorders>
                  <w:vAlign w:val="center"/>
                </w:tcPr>
                <w:p>
                  <w:pPr>
                    <w:pStyle w:val="8"/>
                    <w:ind w:left="0"/>
                    <w:jc w:val="center"/>
                    <w:rPr>
                      <w:rFonts w:cs="Times New Roman"/>
                      <w:b w:val="0"/>
                      <w:bCs w:val="0"/>
                      <w:sz w:val="21"/>
                      <w:szCs w:val="21"/>
                      <w:lang w:val="en-US"/>
                    </w:rPr>
                  </w:pPr>
                  <w:r>
                    <w:rPr>
                      <w:rFonts w:hint="eastAsia" w:cs="Times New Roman"/>
                      <w:b w:val="0"/>
                      <w:bCs w:val="0"/>
                      <w:sz w:val="21"/>
                      <w:szCs w:val="21"/>
                      <w:lang w:val="en-US"/>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75" w:type="dxa"/>
                  <w:tcBorders>
                    <w:top w:val="single" w:color="auto" w:sz="4" w:space="0"/>
                    <w:left w:val="single" w:color="auto" w:sz="4" w:space="0"/>
                    <w:bottom w:val="single" w:color="auto" w:sz="4" w:space="0"/>
                    <w:right w:val="single" w:color="auto" w:sz="4" w:space="0"/>
                  </w:tcBorders>
                  <w:vAlign w:val="center"/>
                </w:tcPr>
                <w:p>
                  <w:pPr>
                    <w:pStyle w:val="8"/>
                    <w:ind w:left="0"/>
                    <w:jc w:val="center"/>
                    <w:rPr>
                      <w:rFonts w:ascii="Times New Roman" w:hAnsi="Times New Roman" w:cs="Times New Roman"/>
                      <w:b w:val="0"/>
                      <w:bCs w:val="0"/>
                      <w:sz w:val="21"/>
                      <w:szCs w:val="21"/>
                      <w:lang w:val="en-US"/>
                    </w:rPr>
                  </w:pPr>
                  <w:r>
                    <w:rPr>
                      <w:rFonts w:hint="eastAsia" w:ascii="Times New Roman" w:hAnsi="Times New Roman" w:cs="Times New Roman"/>
                      <w:b w:val="0"/>
                      <w:bCs w:val="0"/>
                      <w:sz w:val="21"/>
                      <w:szCs w:val="21"/>
                      <w:lang w:val="en-US"/>
                    </w:rPr>
                    <w:t>6</w:t>
                  </w:r>
                </w:p>
              </w:tc>
              <w:tc>
                <w:tcPr>
                  <w:tcW w:w="224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pPr>
                  <w:r>
                    <w:rPr>
                      <w:kern w:val="0"/>
                    </w:rPr>
                    <w:t>待粉碎仓</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pPr>
                  <w:r>
                    <w:rPr>
                      <w:kern w:val="0"/>
                    </w:rPr>
                    <w:t>/</w:t>
                  </w:r>
                </w:p>
              </w:tc>
              <w:tc>
                <w:tcPr>
                  <w:tcW w:w="119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pPr>
                  <w:r>
                    <w:rPr>
                      <w:kern w:val="0"/>
                    </w:rPr>
                    <w:t>5</w:t>
                  </w:r>
                </w:p>
              </w:tc>
              <w:tc>
                <w:tcPr>
                  <w:tcW w:w="1096" w:type="dxa"/>
                  <w:tcBorders>
                    <w:top w:val="single" w:color="auto" w:sz="4" w:space="0"/>
                    <w:left w:val="single" w:color="auto" w:sz="4" w:space="0"/>
                    <w:bottom w:val="single" w:color="auto" w:sz="4" w:space="0"/>
                    <w:right w:val="single" w:color="auto" w:sz="4" w:space="0"/>
                  </w:tcBorders>
                  <w:vAlign w:val="center"/>
                </w:tcPr>
                <w:p>
                  <w:pPr>
                    <w:pStyle w:val="8"/>
                    <w:ind w:left="0"/>
                    <w:jc w:val="center"/>
                    <w:rPr>
                      <w:rFonts w:cs="Times New Roman"/>
                      <w:b w:val="0"/>
                      <w:bCs w:val="0"/>
                      <w:color w:val="FF0000"/>
                      <w:sz w:val="21"/>
                      <w:szCs w:val="21"/>
                      <w:lang w:val="en-US"/>
                    </w:rPr>
                  </w:pPr>
                  <w:r>
                    <w:rPr>
                      <w:rFonts w:hint="eastAsia" w:cs="Times New Roman"/>
                      <w:b w:val="0"/>
                      <w:bCs w:val="0"/>
                      <w:sz w:val="21"/>
                      <w:szCs w:val="21"/>
                      <w:lang w:val="en-US"/>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975" w:type="dxa"/>
                  <w:tcBorders>
                    <w:top w:val="single" w:color="auto" w:sz="4" w:space="0"/>
                    <w:left w:val="single" w:color="auto" w:sz="4" w:space="0"/>
                    <w:bottom w:val="single" w:color="auto" w:sz="4" w:space="0"/>
                    <w:right w:val="single" w:color="auto" w:sz="4" w:space="0"/>
                  </w:tcBorders>
                  <w:vAlign w:val="center"/>
                </w:tcPr>
                <w:p>
                  <w:pPr>
                    <w:pStyle w:val="8"/>
                    <w:ind w:left="0"/>
                    <w:jc w:val="center"/>
                    <w:rPr>
                      <w:rFonts w:ascii="Times New Roman" w:hAnsi="Times New Roman" w:cs="Times New Roman"/>
                      <w:b w:val="0"/>
                      <w:bCs w:val="0"/>
                      <w:sz w:val="21"/>
                      <w:szCs w:val="21"/>
                      <w:lang w:val="en-US"/>
                    </w:rPr>
                  </w:pPr>
                  <w:r>
                    <w:rPr>
                      <w:rFonts w:hint="eastAsia" w:ascii="Times New Roman" w:hAnsi="Times New Roman" w:cs="Times New Roman"/>
                      <w:b w:val="0"/>
                      <w:bCs w:val="0"/>
                      <w:sz w:val="21"/>
                      <w:szCs w:val="21"/>
                      <w:lang w:val="en-US"/>
                    </w:rPr>
                    <w:t>7</w:t>
                  </w:r>
                </w:p>
              </w:tc>
              <w:tc>
                <w:tcPr>
                  <w:tcW w:w="224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pPr>
                  <w:r>
                    <w:rPr>
                      <w:kern w:val="0"/>
                    </w:rPr>
                    <w:t>叶轮喂料器</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pPr>
                  <w:r>
                    <w:rPr>
                      <w:kern w:val="0"/>
                    </w:rPr>
                    <w:t>TWLY100</w:t>
                  </w:r>
                </w:p>
              </w:tc>
              <w:tc>
                <w:tcPr>
                  <w:tcW w:w="119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pPr>
                  <w:r>
                    <w:rPr>
                      <w:kern w:val="0"/>
                    </w:rPr>
                    <w:t>2</w:t>
                  </w:r>
                </w:p>
              </w:tc>
              <w:tc>
                <w:tcPr>
                  <w:tcW w:w="1096" w:type="dxa"/>
                  <w:tcBorders>
                    <w:top w:val="single" w:color="auto" w:sz="4" w:space="0"/>
                    <w:left w:val="single" w:color="auto" w:sz="4" w:space="0"/>
                    <w:bottom w:val="single" w:color="auto" w:sz="4" w:space="0"/>
                    <w:right w:val="single" w:color="auto" w:sz="4" w:space="0"/>
                  </w:tcBorders>
                  <w:vAlign w:val="center"/>
                </w:tcPr>
                <w:p>
                  <w:pPr>
                    <w:pStyle w:val="8"/>
                    <w:ind w:left="0"/>
                    <w:jc w:val="center"/>
                    <w:rPr>
                      <w:rFonts w:cs="Times New Roman"/>
                      <w:b w:val="0"/>
                      <w:bCs w:val="0"/>
                      <w:color w:val="FF0000"/>
                      <w:sz w:val="21"/>
                      <w:szCs w:val="21"/>
                      <w:lang w:val="en-US"/>
                    </w:rPr>
                  </w:pPr>
                  <w:r>
                    <w:rPr>
                      <w:rFonts w:hint="eastAsia" w:cs="Times New Roman"/>
                      <w:b w:val="0"/>
                      <w:bCs w:val="0"/>
                      <w:sz w:val="21"/>
                      <w:szCs w:val="21"/>
                      <w:lang w:val="en-US"/>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975" w:type="dxa"/>
                  <w:tcBorders>
                    <w:top w:val="single" w:color="auto" w:sz="4" w:space="0"/>
                    <w:left w:val="single" w:color="auto" w:sz="4" w:space="0"/>
                    <w:bottom w:val="single" w:color="auto" w:sz="4" w:space="0"/>
                    <w:right w:val="single" w:color="auto" w:sz="4" w:space="0"/>
                  </w:tcBorders>
                  <w:vAlign w:val="center"/>
                </w:tcPr>
                <w:p>
                  <w:pPr>
                    <w:pStyle w:val="8"/>
                    <w:ind w:left="0"/>
                    <w:jc w:val="center"/>
                    <w:rPr>
                      <w:rFonts w:ascii="Times New Roman" w:hAnsi="Times New Roman" w:cs="Times New Roman"/>
                      <w:b w:val="0"/>
                      <w:bCs w:val="0"/>
                      <w:sz w:val="21"/>
                      <w:szCs w:val="21"/>
                      <w:lang w:val="en-US"/>
                    </w:rPr>
                  </w:pPr>
                  <w:r>
                    <w:rPr>
                      <w:rFonts w:hint="eastAsia" w:ascii="Times New Roman" w:hAnsi="Times New Roman" w:cs="Times New Roman"/>
                      <w:b w:val="0"/>
                      <w:bCs w:val="0"/>
                      <w:sz w:val="21"/>
                      <w:szCs w:val="21"/>
                      <w:lang w:val="en-US"/>
                    </w:rPr>
                    <w:t>8</w:t>
                  </w:r>
                </w:p>
              </w:tc>
              <w:tc>
                <w:tcPr>
                  <w:tcW w:w="224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pPr>
                  <w:r>
                    <w:rPr>
                      <w:kern w:val="0"/>
                    </w:rPr>
                    <w:t>锤片式粉碎机</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pPr>
                  <w:r>
                    <w:rPr>
                      <w:kern w:val="0"/>
                    </w:rPr>
                    <w:t>/</w:t>
                  </w:r>
                </w:p>
              </w:tc>
              <w:tc>
                <w:tcPr>
                  <w:tcW w:w="119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pPr>
                  <w:r>
                    <w:t>3</w:t>
                  </w:r>
                </w:p>
              </w:tc>
              <w:tc>
                <w:tcPr>
                  <w:tcW w:w="1096" w:type="dxa"/>
                  <w:tcBorders>
                    <w:top w:val="single" w:color="auto" w:sz="4" w:space="0"/>
                    <w:left w:val="single" w:color="auto" w:sz="4" w:space="0"/>
                    <w:bottom w:val="single" w:color="auto" w:sz="4" w:space="0"/>
                    <w:right w:val="single" w:color="auto" w:sz="4" w:space="0"/>
                  </w:tcBorders>
                  <w:vAlign w:val="center"/>
                </w:tcPr>
                <w:p>
                  <w:pPr>
                    <w:pStyle w:val="8"/>
                    <w:ind w:left="0"/>
                    <w:jc w:val="center"/>
                    <w:rPr>
                      <w:rFonts w:cs="Times New Roman"/>
                      <w:b w:val="0"/>
                      <w:bCs w:val="0"/>
                      <w:sz w:val="21"/>
                      <w:szCs w:val="21"/>
                      <w:lang w:val="en-US"/>
                    </w:rPr>
                  </w:pPr>
                  <w:r>
                    <w:rPr>
                      <w:rFonts w:hint="eastAsia" w:cs="Times New Roman"/>
                      <w:b w:val="0"/>
                      <w:bCs w:val="0"/>
                      <w:sz w:val="21"/>
                      <w:szCs w:val="21"/>
                      <w:lang w:val="en-US"/>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975" w:type="dxa"/>
                  <w:tcBorders>
                    <w:top w:val="single" w:color="auto" w:sz="4" w:space="0"/>
                    <w:left w:val="single" w:color="auto" w:sz="4" w:space="0"/>
                    <w:bottom w:val="single" w:color="auto" w:sz="4" w:space="0"/>
                    <w:right w:val="single" w:color="auto" w:sz="4" w:space="0"/>
                  </w:tcBorders>
                  <w:vAlign w:val="center"/>
                </w:tcPr>
                <w:p>
                  <w:pPr>
                    <w:pStyle w:val="8"/>
                    <w:ind w:left="0"/>
                    <w:jc w:val="center"/>
                    <w:rPr>
                      <w:rFonts w:ascii="Times New Roman" w:hAnsi="Times New Roman" w:cs="Times New Roman"/>
                      <w:b w:val="0"/>
                      <w:bCs w:val="0"/>
                      <w:sz w:val="21"/>
                      <w:szCs w:val="21"/>
                      <w:lang w:val="en-US"/>
                    </w:rPr>
                  </w:pPr>
                  <w:r>
                    <w:rPr>
                      <w:rFonts w:hint="eastAsia" w:ascii="Times New Roman" w:hAnsi="Times New Roman" w:cs="Times New Roman"/>
                      <w:b w:val="0"/>
                      <w:bCs w:val="0"/>
                      <w:sz w:val="21"/>
                      <w:szCs w:val="21"/>
                      <w:lang w:val="en-US"/>
                    </w:rPr>
                    <w:t>9</w:t>
                  </w:r>
                </w:p>
              </w:tc>
              <w:tc>
                <w:tcPr>
                  <w:tcW w:w="224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pPr>
                  <w:r>
                    <w:rPr>
                      <w:kern w:val="0"/>
                    </w:rPr>
                    <w:t>螺旋输送机</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pPr>
                  <w:r>
                    <w:rPr>
                      <w:kern w:val="0"/>
                    </w:rPr>
                    <w:t>/</w:t>
                  </w:r>
                </w:p>
              </w:tc>
              <w:tc>
                <w:tcPr>
                  <w:tcW w:w="119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pPr>
                  <w:r>
                    <w:rPr>
                      <w:kern w:val="0"/>
                    </w:rPr>
                    <w:t>60</w:t>
                  </w:r>
                </w:p>
              </w:tc>
              <w:tc>
                <w:tcPr>
                  <w:tcW w:w="1096" w:type="dxa"/>
                  <w:tcBorders>
                    <w:top w:val="single" w:color="auto" w:sz="4" w:space="0"/>
                    <w:left w:val="single" w:color="auto" w:sz="4" w:space="0"/>
                    <w:bottom w:val="single" w:color="auto" w:sz="4" w:space="0"/>
                    <w:right w:val="single" w:color="auto" w:sz="4" w:space="0"/>
                  </w:tcBorders>
                  <w:vAlign w:val="center"/>
                </w:tcPr>
                <w:p>
                  <w:pPr>
                    <w:pStyle w:val="8"/>
                    <w:ind w:left="0"/>
                    <w:jc w:val="center"/>
                    <w:rPr>
                      <w:rFonts w:cs="Times New Roman"/>
                      <w:b w:val="0"/>
                      <w:bCs w:val="0"/>
                      <w:sz w:val="21"/>
                      <w:szCs w:val="21"/>
                      <w:lang w:val="en-US"/>
                    </w:rPr>
                  </w:pPr>
                  <w:r>
                    <w:rPr>
                      <w:rFonts w:hint="eastAsia" w:cs="Times New Roman"/>
                      <w:b w:val="0"/>
                      <w:bCs w:val="0"/>
                      <w:sz w:val="21"/>
                      <w:szCs w:val="21"/>
                      <w:lang w:val="en-US"/>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975" w:type="dxa"/>
                  <w:tcBorders>
                    <w:top w:val="single" w:color="auto" w:sz="4" w:space="0"/>
                    <w:left w:val="single" w:color="auto" w:sz="4" w:space="0"/>
                    <w:bottom w:val="single" w:color="auto" w:sz="4" w:space="0"/>
                    <w:right w:val="single" w:color="auto" w:sz="4" w:space="0"/>
                  </w:tcBorders>
                  <w:vAlign w:val="center"/>
                </w:tcPr>
                <w:p>
                  <w:pPr>
                    <w:pStyle w:val="8"/>
                    <w:ind w:left="0"/>
                    <w:jc w:val="center"/>
                    <w:rPr>
                      <w:rFonts w:ascii="Times New Roman" w:hAnsi="Times New Roman" w:cs="Times New Roman"/>
                      <w:b w:val="0"/>
                      <w:bCs w:val="0"/>
                      <w:sz w:val="21"/>
                      <w:szCs w:val="21"/>
                      <w:lang w:val="en-US"/>
                    </w:rPr>
                  </w:pPr>
                  <w:r>
                    <w:rPr>
                      <w:rFonts w:hint="eastAsia" w:ascii="Times New Roman" w:hAnsi="Times New Roman" w:cs="Times New Roman"/>
                      <w:b w:val="0"/>
                      <w:bCs w:val="0"/>
                      <w:sz w:val="21"/>
                      <w:szCs w:val="21"/>
                      <w:lang w:val="en-US"/>
                    </w:rPr>
                    <w:t>10</w:t>
                  </w:r>
                </w:p>
              </w:tc>
              <w:tc>
                <w:tcPr>
                  <w:tcW w:w="224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pPr>
                  <w:r>
                    <w:rPr>
                      <w:kern w:val="0"/>
                    </w:rPr>
                    <w:t>配料仓</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pPr>
                  <w:r>
                    <w:rPr>
                      <w:kern w:val="0"/>
                    </w:rPr>
                    <w:t>/</w:t>
                  </w:r>
                </w:p>
              </w:tc>
              <w:tc>
                <w:tcPr>
                  <w:tcW w:w="119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pPr>
                  <w:r>
                    <w:rPr>
                      <w:kern w:val="0"/>
                    </w:rPr>
                    <w:t>50</w:t>
                  </w:r>
                </w:p>
              </w:tc>
              <w:tc>
                <w:tcPr>
                  <w:tcW w:w="1096" w:type="dxa"/>
                  <w:tcBorders>
                    <w:top w:val="single" w:color="auto" w:sz="4" w:space="0"/>
                    <w:left w:val="single" w:color="auto" w:sz="4" w:space="0"/>
                    <w:bottom w:val="single" w:color="auto" w:sz="4" w:space="0"/>
                    <w:right w:val="single" w:color="auto" w:sz="4" w:space="0"/>
                  </w:tcBorders>
                  <w:vAlign w:val="center"/>
                </w:tcPr>
                <w:p>
                  <w:pPr>
                    <w:pStyle w:val="8"/>
                    <w:ind w:left="0"/>
                    <w:jc w:val="center"/>
                    <w:rPr>
                      <w:rFonts w:cs="Times New Roman"/>
                      <w:b w:val="0"/>
                      <w:bCs w:val="0"/>
                      <w:sz w:val="21"/>
                      <w:szCs w:val="21"/>
                      <w:lang w:val="en-US"/>
                    </w:rPr>
                  </w:pPr>
                  <w:r>
                    <w:rPr>
                      <w:rFonts w:hint="eastAsia" w:cs="Times New Roman"/>
                      <w:b w:val="0"/>
                      <w:bCs w:val="0"/>
                      <w:sz w:val="21"/>
                      <w:szCs w:val="21"/>
                      <w:lang w:val="en-US"/>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975" w:type="dxa"/>
                  <w:tcBorders>
                    <w:top w:val="single" w:color="auto" w:sz="4" w:space="0"/>
                    <w:left w:val="single" w:color="auto" w:sz="4" w:space="0"/>
                    <w:bottom w:val="single" w:color="auto" w:sz="4" w:space="0"/>
                    <w:right w:val="single" w:color="auto" w:sz="4" w:space="0"/>
                  </w:tcBorders>
                  <w:vAlign w:val="center"/>
                </w:tcPr>
                <w:p>
                  <w:pPr>
                    <w:pStyle w:val="8"/>
                    <w:ind w:left="0"/>
                    <w:jc w:val="center"/>
                    <w:rPr>
                      <w:rFonts w:ascii="Times New Roman" w:hAnsi="Times New Roman" w:cs="Times New Roman"/>
                      <w:b w:val="0"/>
                      <w:bCs w:val="0"/>
                      <w:sz w:val="21"/>
                      <w:szCs w:val="21"/>
                      <w:lang w:val="en-US"/>
                    </w:rPr>
                  </w:pPr>
                  <w:r>
                    <w:rPr>
                      <w:rFonts w:hint="eastAsia" w:ascii="Times New Roman" w:hAnsi="Times New Roman" w:cs="Times New Roman"/>
                      <w:b w:val="0"/>
                      <w:bCs w:val="0"/>
                      <w:sz w:val="21"/>
                      <w:szCs w:val="21"/>
                      <w:lang w:val="en-US"/>
                    </w:rPr>
                    <w:t>11</w:t>
                  </w:r>
                </w:p>
              </w:tc>
              <w:tc>
                <w:tcPr>
                  <w:tcW w:w="224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kern w:val="0"/>
                    </w:rPr>
                  </w:pPr>
                  <w:r>
                    <w:rPr>
                      <w:kern w:val="0"/>
                    </w:rPr>
                    <w:t>刮板输送机</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kern w:val="0"/>
                    </w:rPr>
                  </w:pPr>
                  <w:r>
                    <w:rPr>
                      <w:kern w:val="0"/>
                    </w:rPr>
                    <w:t>TGSP</w:t>
                  </w:r>
                </w:p>
              </w:tc>
              <w:tc>
                <w:tcPr>
                  <w:tcW w:w="119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kern w:val="0"/>
                    </w:rPr>
                  </w:pPr>
                  <w:r>
                    <w:t>14</w:t>
                  </w:r>
                </w:p>
              </w:tc>
              <w:tc>
                <w:tcPr>
                  <w:tcW w:w="1096" w:type="dxa"/>
                  <w:tcBorders>
                    <w:top w:val="single" w:color="auto" w:sz="4" w:space="0"/>
                    <w:left w:val="single" w:color="auto" w:sz="4" w:space="0"/>
                    <w:bottom w:val="single" w:color="auto" w:sz="4" w:space="0"/>
                    <w:right w:val="single" w:color="auto" w:sz="4" w:space="0"/>
                  </w:tcBorders>
                  <w:vAlign w:val="center"/>
                </w:tcPr>
                <w:p>
                  <w:pPr>
                    <w:pStyle w:val="8"/>
                    <w:ind w:left="0"/>
                    <w:jc w:val="center"/>
                    <w:rPr>
                      <w:rFonts w:cs="Times New Roman"/>
                      <w:b w:val="0"/>
                      <w:bCs w:val="0"/>
                      <w:sz w:val="21"/>
                      <w:szCs w:val="21"/>
                      <w:lang w:val="en-US"/>
                    </w:rPr>
                  </w:pPr>
                  <w:r>
                    <w:rPr>
                      <w:rFonts w:hint="eastAsia" w:cs="Times New Roman"/>
                      <w:b w:val="0"/>
                      <w:bCs w:val="0"/>
                      <w:sz w:val="21"/>
                      <w:szCs w:val="21"/>
                      <w:lang w:val="en-US"/>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1" w:hRule="atLeast"/>
              </w:trPr>
              <w:tc>
                <w:tcPr>
                  <w:tcW w:w="975" w:type="dxa"/>
                  <w:tcBorders>
                    <w:top w:val="single" w:color="auto" w:sz="4" w:space="0"/>
                    <w:left w:val="single" w:color="auto" w:sz="4" w:space="0"/>
                    <w:bottom w:val="single" w:color="auto" w:sz="4" w:space="0"/>
                    <w:right w:val="single" w:color="auto" w:sz="4" w:space="0"/>
                  </w:tcBorders>
                  <w:vAlign w:val="center"/>
                </w:tcPr>
                <w:p>
                  <w:pPr>
                    <w:pStyle w:val="8"/>
                    <w:ind w:left="0"/>
                    <w:jc w:val="center"/>
                    <w:rPr>
                      <w:rFonts w:ascii="Times New Roman" w:hAnsi="Times New Roman" w:cs="Times New Roman"/>
                      <w:b w:val="0"/>
                      <w:bCs w:val="0"/>
                      <w:sz w:val="21"/>
                      <w:szCs w:val="21"/>
                      <w:lang w:val="en-US"/>
                    </w:rPr>
                  </w:pPr>
                  <w:r>
                    <w:rPr>
                      <w:rFonts w:hint="eastAsia" w:ascii="Times New Roman" w:hAnsi="Times New Roman" w:cs="Times New Roman"/>
                      <w:b w:val="0"/>
                      <w:bCs w:val="0"/>
                      <w:sz w:val="21"/>
                      <w:szCs w:val="21"/>
                      <w:lang w:val="en-US"/>
                    </w:rPr>
                    <w:t>12</w:t>
                  </w:r>
                </w:p>
              </w:tc>
              <w:tc>
                <w:tcPr>
                  <w:tcW w:w="224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pPr>
                  <w:r>
                    <w:rPr>
                      <w:kern w:val="0"/>
                    </w:rPr>
                    <w:t>配料秤</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pPr>
                  <w:r>
                    <w:rPr>
                      <w:kern w:val="0"/>
                    </w:rPr>
                    <w:t>PLDY</w:t>
                  </w:r>
                </w:p>
              </w:tc>
              <w:tc>
                <w:tcPr>
                  <w:tcW w:w="119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pPr>
                  <w:r>
                    <w:rPr>
                      <w:kern w:val="0"/>
                    </w:rPr>
                    <w:t>10</w:t>
                  </w:r>
                </w:p>
              </w:tc>
              <w:tc>
                <w:tcPr>
                  <w:tcW w:w="1096" w:type="dxa"/>
                  <w:tcBorders>
                    <w:top w:val="single" w:color="auto" w:sz="4" w:space="0"/>
                    <w:left w:val="single" w:color="auto" w:sz="4" w:space="0"/>
                    <w:bottom w:val="single" w:color="auto" w:sz="4" w:space="0"/>
                    <w:right w:val="single" w:color="auto" w:sz="4" w:space="0"/>
                  </w:tcBorders>
                  <w:vAlign w:val="center"/>
                </w:tcPr>
                <w:p>
                  <w:pPr>
                    <w:pStyle w:val="8"/>
                    <w:ind w:left="0"/>
                    <w:jc w:val="center"/>
                    <w:rPr>
                      <w:rFonts w:cs="Times New Roman"/>
                      <w:b w:val="0"/>
                      <w:bCs w:val="0"/>
                      <w:color w:val="FF0000"/>
                      <w:sz w:val="21"/>
                      <w:szCs w:val="21"/>
                      <w:lang w:val="en-US"/>
                    </w:rPr>
                  </w:pPr>
                  <w:r>
                    <w:rPr>
                      <w:rFonts w:hint="eastAsia" w:cs="Times New Roman"/>
                      <w:b w:val="0"/>
                      <w:bCs w:val="0"/>
                      <w:sz w:val="21"/>
                      <w:szCs w:val="21"/>
                      <w:lang w:val="en-US"/>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975" w:type="dxa"/>
                  <w:tcBorders>
                    <w:top w:val="single" w:color="auto" w:sz="4" w:space="0"/>
                    <w:left w:val="single" w:color="auto" w:sz="4" w:space="0"/>
                    <w:bottom w:val="single" w:color="auto" w:sz="4" w:space="0"/>
                    <w:right w:val="single" w:color="auto" w:sz="4" w:space="0"/>
                  </w:tcBorders>
                  <w:vAlign w:val="center"/>
                </w:tcPr>
                <w:p>
                  <w:pPr>
                    <w:pStyle w:val="8"/>
                    <w:ind w:left="0"/>
                    <w:jc w:val="center"/>
                    <w:rPr>
                      <w:rFonts w:ascii="Times New Roman" w:hAnsi="Times New Roman" w:cs="Times New Roman"/>
                      <w:b w:val="0"/>
                      <w:bCs w:val="0"/>
                      <w:sz w:val="21"/>
                      <w:szCs w:val="21"/>
                      <w:lang w:val="en-US"/>
                    </w:rPr>
                  </w:pPr>
                  <w:r>
                    <w:rPr>
                      <w:rFonts w:hint="eastAsia" w:ascii="Times New Roman" w:hAnsi="Times New Roman" w:cs="Times New Roman"/>
                      <w:b w:val="0"/>
                      <w:bCs w:val="0"/>
                      <w:sz w:val="21"/>
                      <w:szCs w:val="21"/>
                      <w:lang w:val="en-US"/>
                    </w:rPr>
                    <w:t>13</w:t>
                  </w:r>
                </w:p>
              </w:tc>
              <w:tc>
                <w:tcPr>
                  <w:tcW w:w="224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pPr>
                  <w:r>
                    <w:rPr>
                      <w:kern w:val="0"/>
                    </w:rPr>
                    <w:t>双轴桨叶式高效混合机</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pPr>
                  <w:r>
                    <w:rPr>
                      <w:kern w:val="0"/>
                    </w:rPr>
                    <w:t>SLHS4</w:t>
                  </w:r>
                </w:p>
              </w:tc>
              <w:tc>
                <w:tcPr>
                  <w:tcW w:w="119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pPr>
                  <w:r>
                    <w:rPr>
                      <w:kern w:val="0"/>
                    </w:rPr>
                    <w:t>2</w:t>
                  </w:r>
                </w:p>
              </w:tc>
              <w:tc>
                <w:tcPr>
                  <w:tcW w:w="1096" w:type="dxa"/>
                  <w:tcBorders>
                    <w:top w:val="single" w:color="auto" w:sz="4" w:space="0"/>
                    <w:left w:val="single" w:color="auto" w:sz="4" w:space="0"/>
                    <w:bottom w:val="single" w:color="auto" w:sz="4" w:space="0"/>
                    <w:right w:val="single" w:color="auto" w:sz="4" w:space="0"/>
                  </w:tcBorders>
                  <w:vAlign w:val="center"/>
                </w:tcPr>
                <w:p>
                  <w:pPr>
                    <w:pStyle w:val="8"/>
                    <w:ind w:left="0"/>
                    <w:jc w:val="center"/>
                    <w:rPr>
                      <w:rFonts w:cs="Times New Roman"/>
                      <w:b w:val="0"/>
                      <w:bCs w:val="0"/>
                      <w:color w:val="FF0000"/>
                      <w:sz w:val="21"/>
                      <w:szCs w:val="21"/>
                      <w:lang w:val="en-US"/>
                    </w:rPr>
                  </w:pPr>
                  <w:r>
                    <w:rPr>
                      <w:rFonts w:hint="eastAsia" w:cs="Times New Roman"/>
                      <w:b w:val="0"/>
                      <w:bCs w:val="0"/>
                      <w:sz w:val="21"/>
                      <w:szCs w:val="21"/>
                      <w:lang w:val="en-US"/>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975" w:type="dxa"/>
                  <w:tcBorders>
                    <w:top w:val="single" w:color="auto" w:sz="4" w:space="0"/>
                    <w:left w:val="single" w:color="auto" w:sz="4" w:space="0"/>
                    <w:bottom w:val="single" w:color="auto" w:sz="4" w:space="0"/>
                    <w:right w:val="single" w:color="auto" w:sz="4" w:space="0"/>
                  </w:tcBorders>
                  <w:vAlign w:val="center"/>
                </w:tcPr>
                <w:p>
                  <w:pPr>
                    <w:pStyle w:val="8"/>
                    <w:ind w:left="0"/>
                    <w:jc w:val="center"/>
                    <w:rPr>
                      <w:rFonts w:ascii="Times New Roman" w:hAnsi="Times New Roman" w:cs="Times New Roman"/>
                      <w:b w:val="0"/>
                      <w:bCs w:val="0"/>
                      <w:sz w:val="21"/>
                      <w:szCs w:val="21"/>
                      <w:lang w:val="en-US"/>
                    </w:rPr>
                  </w:pPr>
                  <w:r>
                    <w:rPr>
                      <w:rFonts w:hint="eastAsia" w:ascii="Times New Roman" w:hAnsi="Times New Roman" w:cs="Times New Roman"/>
                      <w:b w:val="0"/>
                      <w:bCs w:val="0"/>
                      <w:sz w:val="21"/>
                      <w:szCs w:val="21"/>
                      <w:lang w:val="en-US"/>
                    </w:rPr>
                    <w:t>14</w:t>
                  </w:r>
                </w:p>
              </w:tc>
              <w:tc>
                <w:tcPr>
                  <w:tcW w:w="224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pPr>
                  <w:r>
                    <w:rPr>
                      <w:kern w:val="0"/>
                    </w:rPr>
                    <w:t>糖蜜混合机</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pPr>
                  <w:r>
                    <w:rPr>
                      <w:kern w:val="0"/>
                    </w:rPr>
                    <w:t>STHJ35×200</w:t>
                  </w:r>
                </w:p>
              </w:tc>
              <w:tc>
                <w:tcPr>
                  <w:tcW w:w="119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pPr>
                  <w:r>
                    <w:rPr>
                      <w:kern w:val="0"/>
                    </w:rPr>
                    <w:t>1</w:t>
                  </w:r>
                </w:p>
              </w:tc>
              <w:tc>
                <w:tcPr>
                  <w:tcW w:w="1096" w:type="dxa"/>
                  <w:tcBorders>
                    <w:top w:val="single" w:color="auto" w:sz="4" w:space="0"/>
                    <w:left w:val="single" w:color="auto" w:sz="4" w:space="0"/>
                    <w:bottom w:val="single" w:color="auto" w:sz="4" w:space="0"/>
                    <w:right w:val="single" w:color="auto" w:sz="4" w:space="0"/>
                  </w:tcBorders>
                  <w:vAlign w:val="center"/>
                </w:tcPr>
                <w:p>
                  <w:pPr>
                    <w:pStyle w:val="8"/>
                    <w:ind w:left="0"/>
                    <w:jc w:val="center"/>
                    <w:rPr>
                      <w:rFonts w:cs="Times New Roman"/>
                      <w:b w:val="0"/>
                      <w:bCs w:val="0"/>
                      <w:color w:val="FF0000"/>
                      <w:sz w:val="21"/>
                      <w:szCs w:val="21"/>
                      <w:lang w:val="en-US"/>
                    </w:rPr>
                  </w:pPr>
                  <w:r>
                    <w:rPr>
                      <w:rFonts w:hint="eastAsia" w:cs="Times New Roman"/>
                      <w:b w:val="0"/>
                      <w:bCs w:val="0"/>
                      <w:sz w:val="21"/>
                      <w:szCs w:val="21"/>
                      <w:lang w:val="en-US"/>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975" w:type="dxa"/>
                  <w:tcBorders>
                    <w:top w:val="single" w:color="auto" w:sz="4" w:space="0"/>
                    <w:left w:val="single" w:color="auto" w:sz="4" w:space="0"/>
                    <w:bottom w:val="single" w:color="auto" w:sz="4" w:space="0"/>
                    <w:right w:val="single" w:color="auto" w:sz="4" w:space="0"/>
                  </w:tcBorders>
                  <w:vAlign w:val="center"/>
                </w:tcPr>
                <w:p>
                  <w:pPr>
                    <w:pStyle w:val="8"/>
                    <w:ind w:left="0"/>
                    <w:jc w:val="center"/>
                    <w:rPr>
                      <w:rFonts w:ascii="Times New Roman" w:hAnsi="Times New Roman" w:cs="Times New Roman"/>
                      <w:b w:val="0"/>
                      <w:bCs w:val="0"/>
                      <w:sz w:val="21"/>
                      <w:szCs w:val="21"/>
                      <w:lang w:val="en-US"/>
                    </w:rPr>
                  </w:pPr>
                  <w:r>
                    <w:rPr>
                      <w:rFonts w:hint="eastAsia" w:ascii="Times New Roman" w:hAnsi="Times New Roman" w:cs="Times New Roman"/>
                      <w:b w:val="0"/>
                      <w:bCs w:val="0"/>
                      <w:sz w:val="21"/>
                      <w:szCs w:val="21"/>
                      <w:lang w:val="en-US"/>
                    </w:rPr>
                    <w:t>15</w:t>
                  </w:r>
                </w:p>
              </w:tc>
              <w:tc>
                <w:tcPr>
                  <w:tcW w:w="224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pPr>
                  <w:r>
                    <w:rPr>
                      <w:kern w:val="0"/>
                    </w:rPr>
                    <w:t>制粒仓</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pPr>
                  <w:r>
                    <w:rPr>
                      <w:kern w:val="0"/>
                    </w:rPr>
                    <w:t>/</w:t>
                  </w:r>
                </w:p>
              </w:tc>
              <w:tc>
                <w:tcPr>
                  <w:tcW w:w="119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pPr>
                  <w:r>
                    <w:t>3</w:t>
                  </w:r>
                </w:p>
              </w:tc>
              <w:tc>
                <w:tcPr>
                  <w:tcW w:w="1096" w:type="dxa"/>
                  <w:tcBorders>
                    <w:top w:val="single" w:color="auto" w:sz="4" w:space="0"/>
                    <w:left w:val="single" w:color="auto" w:sz="4" w:space="0"/>
                    <w:bottom w:val="single" w:color="auto" w:sz="4" w:space="0"/>
                    <w:right w:val="single" w:color="auto" w:sz="4" w:space="0"/>
                  </w:tcBorders>
                  <w:vAlign w:val="center"/>
                </w:tcPr>
                <w:p>
                  <w:pPr>
                    <w:pStyle w:val="8"/>
                    <w:ind w:left="0"/>
                    <w:jc w:val="center"/>
                    <w:rPr>
                      <w:rFonts w:cs="Times New Roman"/>
                      <w:b w:val="0"/>
                      <w:bCs w:val="0"/>
                      <w:sz w:val="21"/>
                      <w:szCs w:val="21"/>
                      <w:lang w:val="en-US"/>
                    </w:rPr>
                  </w:pPr>
                  <w:r>
                    <w:rPr>
                      <w:rFonts w:hint="eastAsia" w:cs="Times New Roman"/>
                      <w:b w:val="0"/>
                      <w:bCs w:val="0"/>
                      <w:sz w:val="21"/>
                      <w:szCs w:val="21"/>
                      <w:lang w:val="en-US"/>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975" w:type="dxa"/>
                  <w:tcBorders>
                    <w:top w:val="single" w:color="auto" w:sz="4" w:space="0"/>
                    <w:left w:val="single" w:color="auto" w:sz="4" w:space="0"/>
                    <w:bottom w:val="single" w:color="auto" w:sz="4" w:space="0"/>
                    <w:right w:val="single" w:color="auto" w:sz="4" w:space="0"/>
                  </w:tcBorders>
                  <w:vAlign w:val="center"/>
                </w:tcPr>
                <w:p>
                  <w:pPr>
                    <w:pStyle w:val="8"/>
                    <w:ind w:left="0"/>
                    <w:jc w:val="center"/>
                    <w:rPr>
                      <w:rFonts w:ascii="Times New Roman" w:hAnsi="Times New Roman" w:cs="Times New Roman"/>
                      <w:b w:val="0"/>
                      <w:bCs w:val="0"/>
                      <w:sz w:val="21"/>
                      <w:szCs w:val="21"/>
                      <w:lang w:val="en-US"/>
                    </w:rPr>
                  </w:pPr>
                  <w:r>
                    <w:rPr>
                      <w:rFonts w:hint="eastAsia" w:ascii="Times New Roman" w:hAnsi="Times New Roman" w:cs="Times New Roman"/>
                      <w:b w:val="0"/>
                      <w:bCs w:val="0"/>
                      <w:sz w:val="21"/>
                      <w:szCs w:val="21"/>
                      <w:lang w:val="en-US"/>
                    </w:rPr>
                    <w:t>16</w:t>
                  </w:r>
                </w:p>
              </w:tc>
              <w:tc>
                <w:tcPr>
                  <w:tcW w:w="224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pPr>
                  <w:r>
                    <w:rPr>
                      <w:kern w:val="0"/>
                    </w:rPr>
                    <w:t>环模制粒机</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pPr>
                  <w:r>
                    <w:rPr>
                      <w:kern w:val="0"/>
                    </w:rPr>
                    <w:t>CPM-7</w:t>
                  </w:r>
                </w:p>
              </w:tc>
              <w:tc>
                <w:tcPr>
                  <w:tcW w:w="119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pPr>
                  <w:r>
                    <w:rPr>
                      <w:kern w:val="0"/>
                    </w:rPr>
                    <w:t>2</w:t>
                  </w:r>
                </w:p>
              </w:tc>
              <w:tc>
                <w:tcPr>
                  <w:tcW w:w="1096" w:type="dxa"/>
                  <w:tcBorders>
                    <w:top w:val="single" w:color="auto" w:sz="4" w:space="0"/>
                    <w:left w:val="single" w:color="auto" w:sz="4" w:space="0"/>
                    <w:bottom w:val="single" w:color="auto" w:sz="4" w:space="0"/>
                    <w:right w:val="single" w:color="auto" w:sz="4" w:space="0"/>
                  </w:tcBorders>
                  <w:vAlign w:val="center"/>
                </w:tcPr>
                <w:p>
                  <w:pPr>
                    <w:pStyle w:val="8"/>
                    <w:ind w:left="0"/>
                    <w:jc w:val="center"/>
                    <w:rPr>
                      <w:rFonts w:cs="Times New Roman"/>
                      <w:b w:val="0"/>
                      <w:bCs w:val="0"/>
                      <w:color w:val="FF0000"/>
                      <w:sz w:val="21"/>
                      <w:szCs w:val="21"/>
                      <w:lang w:val="en-US"/>
                    </w:rPr>
                  </w:pPr>
                  <w:r>
                    <w:rPr>
                      <w:rFonts w:hint="eastAsia" w:cs="Times New Roman"/>
                      <w:b w:val="0"/>
                      <w:bCs w:val="0"/>
                      <w:sz w:val="21"/>
                      <w:szCs w:val="21"/>
                      <w:lang w:val="en-US"/>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975" w:type="dxa"/>
                  <w:tcBorders>
                    <w:top w:val="single" w:color="auto" w:sz="4" w:space="0"/>
                    <w:left w:val="single" w:color="auto" w:sz="4" w:space="0"/>
                    <w:bottom w:val="single" w:color="auto" w:sz="4" w:space="0"/>
                    <w:right w:val="single" w:color="auto" w:sz="4" w:space="0"/>
                  </w:tcBorders>
                  <w:vAlign w:val="center"/>
                </w:tcPr>
                <w:p>
                  <w:pPr>
                    <w:pStyle w:val="8"/>
                    <w:ind w:left="0"/>
                    <w:jc w:val="center"/>
                    <w:rPr>
                      <w:rFonts w:ascii="Times New Roman" w:hAnsi="Times New Roman" w:cs="Times New Roman"/>
                      <w:b w:val="0"/>
                      <w:bCs w:val="0"/>
                      <w:sz w:val="21"/>
                      <w:szCs w:val="21"/>
                      <w:lang w:val="en-US"/>
                    </w:rPr>
                  </w:pPr>
                  <w:r>
                    <w:rPr>
                      <w:rFonts w:hint="eastAsia" w:ascii="Times New Roman" w:hAnsi="Times New Roman" w:cs="Times New Roman"/>
                      <w:b w:val="0"/>
                      <w:bCs w:val="0"/>
                      <w:sz w:val="21"/>
                      <w:szCs w:val="21"/>
                      <w:lang w:val="en-US"/>
                    </w:rPr>
                    <w:t>17</w:t>
                  </w:r>
                </w:p>
              </w:tc>
              <w:tc>
                <w:tcPr>
                  <w:tcW w:w="224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kern w:val="0"/>
                    </w:rPr>
                  </w:pPr>
                  <w:r>
                    <w:rPr>
                      <w:kern w:val="0"/>
                    </w:rPr>
                    <w:t>叶轮冷却器</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pPr>
                  <w:r>
                    <w:rPr>
                      <w:kern w:val="0"/>
                    </w:rPr>
                    <w:t>SLNY</w:t>
                  </w:r>
                </w:p>
              </w:tc>
              <w:tc>
                <w:tcPr>
                  <w:tcW w:w="119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kern w:val="0"/>
                    </w:rPr>
                  </w:pPr>
                  <w:r>
                    <w:rPr>
                      <w:kern w:val="0"/>
                    </w:rPr>
                    <w:t>2</w:t>
                  </w:r>
                </w:p>
              </w:tc>
              <w:tc>
                <w:tcPr>
                  <w:tcW w:w="1096" w:type="dxa"/>
                  <w:tcBorders>
                    <w:top w:val="single" w:color="auto" w:sz="4" w:space="0"/>
                    <w:left w:val="single" w:color="auto" w:sz="4" w:space="0"/>
                    <w:bottom w:val="single" w:color="auto" w:sz="4" w:space="0"/>
                    <w:right w:val="single" w:color="auto" w:sz="4" w:space="0"/>
                  </w:tcBorders>
                  <w:vAlign w:val="center"/>
                </w:tcPr>
                <w:p>
                  <w:pPr>
                    <w:pStyle w:val="8"/>
                    <w:ind w:left="0"/>
                    <w:jc w:val="center"/>
                    <w:rPr>
                      <w:rFonts w:cs="Times New Roman"/>
                      <w:b w:val="0"/>
                      <w:bCs w:val="0"/>
                      <w:color w:val="FF0000"/>
                      <w:sz w:val="21"/>
                      <w:szCs w:val="21"/>
                      <w:lang w:val="en-US"/>
                    </w:rPr>
                  </w:pPr>
                  <w:r>
                    <w:rPr>
                      <w:rFonts w:hint="eastAsia" w:cs="Times New Roman"/>
                      <w:b w:val="0"/>
                      <w:bCs w:val="0"/>
                      <w:sz w:val="21"/>
                      <w:szCs w:val="21"/>
                      <w:lang w:val="en-US"/>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975" w:type="dxa"/>
                  <w:tcBorders>
                    <w:top w:val="single" w:color="auto" w:sz="4" w:space="0"/>
                    <w:left w:val="single" w:color="auto" w:sz="4" w:space="0"/>
                    <w:bottom w:val="single" w:color="auto" w:sz="4" w:space="0"/>
                    <w:right w:val="single" w:color="auto" w:sz="4" w:space="0"/>
                  </w:tcBorders>
                  <w:vAlign w:val="center"/>
                </w:tcPr>
                <w:p>
                  <w:pPr>
                    <w:pStyle w:val="8"/>
                    <w:ind w:left="0"/>
                    <w:jc w:val="center"/>
                    <w:rPr>
                      <w:rFonts w:ascii="Times New Roman" w:hAnsi="Times New Roman" w:cs="Times New Roman"/>
                      <w:b w:val="0"/>
                      <w:bCs w:val="0"/>
                      <w:sz w:val="21"/>
                      <w:szCs w:val="21"/>
                      <w:lang w:val="en-US"/>
                    </w:rPr>
                  </w:pPr>
                  <w:r>
                    <w:rPr>
                      <w:rFonts w:hint="eastAsia" w:ascii="Times New Roman" w:hAnsi="Times New Roman" w:cs="Times New Roman"/>
                      <w:b w:val="0"/>
                      <w:bCs w:val="0"/>
                      <w:sz w:val="21"/>
                      <w:szCs w:val="21"/>
                      <w:lang w:val="en-US"/>
                    </w:rPr>
                    <w:t>18</w:t>
                  </w:r>
                </w:p>
              </w:tc>
              <w:tc>
                <w:tcPr>
                  <w:tcW w:w="224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kern w:val="0"/>
                    </w:rPr>
                  </w:pPr>
                  <w:r>
                    <w:rPr>
                      <w:kern w:val="0"/>
                    </w:rPr>
                    <w:t>成品仓</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pPr>
                  <w:r>
                    <w:rPr>
                      <w:kern w:val="0"/>
                    </w:rPr>
                    <w:t>/</w:t>
                  </w:r>
                </w:p>
              </w:tc>
              <w:tc>
                <w:tcPr>
                  <w:tcW w:w="119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kern w:val="0"/>
                    </w:rPr>
                  </w:pPr>
                  <w:r>
                    <w:t>10</w:t>
                  </w:r>
                </w:p>
              </w:tc>
              <w:tc>
                <w:tcPr>
                  <w:tcW w:w="1096" w:type="dxa"/>
                  <w:tcBorders>
                    <w:top w:val="single" w:color="auto" w:sz="4" w:space="0"/>
                    <w:left w:val="single" w:color="auto" w:sz="4" w:space="0"/>
                    <w:bottom w:val="single" w:color="auto" w:sz="4" w:space="0"/>
                    <w:right w:val="single" w:color="auto" w:sz="4" w:space="0"/>
                  </w:tcBorders>
                  <w:vAlign w:val="center"/>
                </w:tcPr>
                <w:p>
                  <w:pPr>
                    <w:pStyle w:val="8"/>
                    <w:ind w:left="0"/>
                    <w:jc w:val="center"/>
                    <w:rPr>
                      <w:rFonts w:cs="Times New Roman"/>
                      <w:b w:val="0"/>
                      <w:bCs w:val="0"/>
                      <w:sz w:val="21"/>
                      <w:szCs w:val="21"/>
                      <w:lang w:val="en-US"/>
                    </w:rPr>
                  </w:pPr>
                  <w:r>
                    <w:rPr>
                      <w:rFonts w:hint="eastAsia" w:cs="Times New Roman"/>
                      <w:b w:val="0"/>
                      <w:bCs w:val="0"/>
                      <w:sz w:val="21"/>
                      <w:szCs w:val="21"/>
                      <w:lang w:val="en-US"/>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975" w:type="dxa"/>
                  <w:tcBorders>
                    <w:top w:val="single" w:color="auto" w:sz="4" w:space="0"/>
                    <w:left w:val="single" w:color="auto" w:sz="4" w:space="0"/>
                    <w:bottom w:val="single" w:color="auto" w:sz="4" w:space="0"/>
                    <w:right w:val="single" w:color="auto" w:sz="4" w:space="0"/>
                  </w:tcBorders>
                  <w:vAlign w:val="center"/>
                </w:tcPr>
                <w:p>
                  <w:pPr>
                    <w:pStyle w:val="8"/>
                    <w:ind w:left="0"/>
                    <w:jc w:val="center"/>
                    <w:rPr>
                      <w:rFonts w:ascii="Times New Roman" w:hAnsi="Times New Roman" w:cs="Times New Roman"/>
                      <w:b w:val="0"/>
                      <w:bCs w:val="0"/>
                      <w:sz w:val="21"/>
                      <w:szCs w:val="21"/>
                      <w:lang w:val="en-US"/>
                    </w:rPr>
                  </w:pPr>
                  <w:r>
                    <w:rPr>
                      <w:rFonts w:hint="eastAsia" w:ascii="Times New Roman" w:hAnsi="Times New Roman" w:cs="Times New Roman"/>
                      <w:b w:val="0"/>
                      <w:bCs w:val="0"/>
                      <w:sz w:val="21"/>
                      <w:szCs w:val="21"/>
                      <w:lang w:val="en-US"/>
                    </w:rPr>
                    <w:t>19</w:t>
                  </w:r>
                </w:p>
              </w:tc>
              <w:tc>
                <w:tcPr>
                  <w:tcW w:w="224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kern w:val="0"/>
                    </w:rPr>
                  </w:pPr>
                  <w:r>
                    <w:rPr>
                      <w:kern w:val="0"/>
                    </w:rPr>
                    <w:t>打包缓冲斗</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pPr>
                  <w:r>
                    <w:rPr>
                      <w:kern w:val="0"/>
                    </w:rPr>
                    <w:t>/</w:t>
                  </w:r>
                </w:p>
              </w:tc>
              <w:tc>
                <w:tcPr>
                  <w:tcW w:w="119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kern w:val="0"/>
                    </w:rPr>
                  </w:pPr>
                  <w:r>
                    <w:rPr>
                      <w:kern w:val="0"/>
                    </w:rPr>
                    <w:t>2</w:t>
                  </w:r>
                </w:p>
              </w:tc>
              <w:tc>
                <w:tcPr>
                  <w:tcW w:w="1096" w:type="dxa"/>
                  <w:tcBorders>
                    <w:top w:val="single" w:color="auto" w:sz="4" w:space="0"/>
                    <w:left w:val="single" w:color="auto" w:sz="4" w:space="0"/>
                    <w:bottom w:val="single" w:color="auto" w:sz="4" w:space="0"/>
                    <w:right w:val="single" w:color="auto" w:sz="4" w:space="0"/>
                  </w:tcBorders>
                  <w:vAlign w:val="center"/>
                </w:tcPr>
                <w:p>
                  <w:pPr>
                    <w:pStyle w:val="8"/>
                    <w:ind w:left="0"/>
                    <w:jc w:val="center"/>
                    <w:rPr>
                      <w:rFonts w:cs="Times New Roman"/>
                      <w:b w:val="0"/>
                      <w:bCs w:val="0"/>
                      <w:sz w:val="21"/>
                      <w:szCs w:val="21"/>
                      <w:lang w:val="en-US"/>
                    </w:rPr>
                  </w:pPr>
                  <w:r>
                    <w:rPr>
                      <w:rFonts w:hint="eastAsia" w:cs="Times New Roman"/>
                      <w:b w:val="0"/>
                      <w:bCs w:val="0"/>
                      <w:sz w:val="21"/>
                      <w:szCs w:val="21"/>
                      <w:lang w:val="en-US"/>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975" w:type="dxa"/>
                  <w:tcBorders>
                    <w:top w:val="single" w:color="auto" w:sz="4" w:space="0"/>
                    <w:left w:val="single" w:color="auto" w:sz="4" w:space="0"/>
                    <w:bottom w:val="single" w:color="auto" w:sz="4" w:space="0"/>
                    <w:right w:val="single" w:color="auto" w:sz="4" w:space="0"/>
                  </w:tcBorders>
                  <w:vAlign w:val="center"/>
                </w:tcPr>
                <w:p>
                  <w:pPr>
                    <w:pStyle w:val="8"/>
                    <w:ind w:left="0"/>
                    <w:jc w:val="center"/>
                    <w:rPr>
                      <w:rFonts w:ascii="Times New Roman" w:hAnsi="Times New Roman" w:cs="Times New Roman"/>
                      <w:b w:val="0"/>
                      <w:bCs w:val="0"/>
                      <w:sz w:val="21"/>
                      <w:szCs w:val="21"/>
                      <w:lang w:val="en-US"/>
                    </w:rPr>
                  </w:pPr>
                  <w:r>
                    <w:rPr>
                      <w:rFonts w:hint="eastAsia" w:ascii="Times New Roman" w:hAnsi="Times New Roman" w:cs="Times New Roman"/>
                      <w:b w:val="0"/>
                      <w:bCs w:val="0"/>
                      <w:sz w:val="21"/>
                      <w:szCs w:val="21"/>
                      <w:lang w:val="en-US"/>
                    </w:rPr>
                    <w:t>20</w:t>
                  </w:r>
                </w:p>
              </w:tc>
              <w:tc>
                <w:tcPr>
                  <w:tcW w:w="224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kern w:val="0"/>
                    </w:rPr>
                  </w:pPr>
                  <w:r>
                    <w:rPr>
                      <w:kern w:val="0"/>
                    </w:rPr>
                    <w:t>打包秤</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pPr>
                  <w:r>
                    <w:rPr>
                      <w:kern w:val="0"/>
                    </w:rPr>
                    <w:t>/</w:t>
                  </w:r>
                </w:p>
              </w:tc>
              <w:tc>
                <w:tcPr>
                  <w:tcW w:w="119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kern w:val="0"/>
                    </w:rPr>
                  </w:pPr>
                  <w:r>
                    <w:t>2</w:t>
                  </w:r>
                </w:p>
              </w:tc>
              <w:tc>
                <w:tcPr>
                  <w:tcW w:w="1096" w:type="dxa"/>
                  <w:tcBorders>
                    <w:top w:val="single" w:color="auto" w:sz="4" w:space="0"/>
                    <w:left w:val="single" w:color="auto" w:sz="4" w:space="0"/>
                    <w:bottom w:val="single" w:color="auto" w:sz="4" w:space="0"/>
                    <w:right w:val="single" w:color="auto" w:sz="4" w:space="0"/>
                  </w:tcBorders>
                  <w:vAlign w:val="center"/>
                </w:tcPr>
                <w:p>
                  <w:pPr>
                    <w:pStyle w:val="8"/>
                    <w:ind w:left="0"/>
                    <w:jc w:val="center"/>
                    <w:rPr>
                      <w:rFonts w:cs="Times New Roman"/>
                      <w:b w:val="0"/>
                      <w:bCs w:val="0"/>
                      <w:sz w:val="21"/>
                      <w:szCs w:val="21"/>
                      <w:lang w:val="en-US"/>
                    </w:rPr>
                  </w:pPr>
                  <w:r>
                    <w:rPr>
                      <w:rFonts w:hint="eastAsia" w:cs="Times New Roman"/>
                      <w:b w:val="0"/>
                      <w:bCs w:val="0"/>
                      <w:sz w:val="21"/>
                      <w:szCs w:val="21"/>
                      <w:lang w:val="en-US"/>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975" w:type="dxa"/>
                  <w:tcBorders>
                    <w:top w:val="single" w:color="auto" w:sz="4" w:space="0"/>
                    <w:left w:val="single" w:color="auto" w:sz="4" w:space="0"/>
                    <w:bottom w:val="single" w:color="auto" w:sz="4" w:space="0"/>
                    <w:right w:val="single" w:color="auto" w:sz="4" w:space="0"/>
                  </w:tcBorders>
                  <w:vAlign w:val="center"/>
                </w:tcPr>
                <w:p>
                  <w:pPr>
                    <w:pStyle w:val="8"/>
                    <w:ind w:left="0"/>
                    <w:jc w:val="center"/>
                    <w:rPr>
                      <w:rFonts w:ascii="Times New Roman" w:hAnsi="Times New Roman" w:cs="Times New Roman"/>
                      <w:b w:val="0"/>
                      <w:bCs w:val="0"/>
                      <w:sz w:val="21"/>
                      <w:szCs w:val="21"/>
                      <w:lang w:val="en-US"/>
                    </w:rPr>
                  </w:pPr>
                  <w:r>
                    <w:rPr>
                      <w:rFonts w:hint="eastAsia" w:ascii="Times New Roman" w:hAnsi="Times New Roman" w:cs="Times New Roman"/>
                      <w:b w:val="0"/>
                      <w:bCs w:val="0"/>
                      <w:sz w:val="21"/>
                      <w:szCs w:val="21"/>
                      <w:lang w:val="en-US"/>
                    </w:rPr>
                    <w:t>21</w:t>
                  </w:r>
                </w:p>
              </w:tc>
              <w:tc>
                <w:tcPr>
                  <w:tcW w:w="224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kern w:val="0"/>
                    </w:rPr>
                  </w:pPr>
                  <w:r>
                    <w:rPr>
                      <w:kern w:val="0"/>
                    </w:rPr>
                    <w:t>缝包输送机</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pPr>
                  <w:r>
                    <w:rPr>
                      <w:kern w:val="0"/>
                    </w:rPr>
                    <w:t>/</w:t>
                  </w:r>
                </w:p>
              </w:tc>
              <w:tc>
                <w:tcPr>
                  <w:tcW w:w="119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kern w:val="0"/>
                    </w:rPr>
                  </w:pPr>
                  <w:r>
                    <w:rPr>
                      <w:kern w:val="0"/>
                    </w:rPr>
                    <w:t>2</w:t>
                  </w:r>
                </w:p>
              </w:tc>
              <w:tc>
                <w:tcPr>
                  <w:tcW w:w="1096" w:type="dxa"/>
                  <w:tcBorders>
                    <w:top w:val="single" w:color="auto" w:sz="4" w:space="0"/>
                    <w:left w:val="single" w:color="auto" w:sz="4" w:space="0"/>
                    <w:bottom w:val="single" w:color="auto" w:sz="4" w:space="0"/>
                    <w:right w:val="single" w:color="auto" w:sz="4" w:space="0"/>
                  </w:tcBorders>
                  <w:vAlign w:val="center"/>
                </w:tcPr>
                <w:p>
                  <w:pPr>
                    <w:pStyle w:val="8"/>
                    <w:ind w:left="0"/>
                    <w:jc w:val="center"/>
                    <w:rPr>
                      <w:rFonts w:cs="Times New Roman"/>
                      <w:b w:val="0"/>
                      <w:bCs w:val="0"/>
                      <w:sz w:val="21"/>
                      <w:szCs w:val="21"/>
                      <w:lang w:val="en-US"/>
                    </w:rPr>
                  </w:pPr>
                  <w:r>
                    <w:rPr>
                      <w:rFonts w:hint="eastAsia" w:cs="Times New Roman"/>
                      <w:b w:val="0"/>
                      <w:bCs w:val="0"/>
                      <w:sz w:val="21"/>
                      <w:szCs w:val="21"/>
                      <w:lang w:val="en-US"/>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975" w:type="dxa"/>
                  <w:tcBorders>
                    <w:top w:val="single" w:color="auto" w:sz="4" w:space="0"/>
                    <w:left w:val="single" w:color="auto" w:sz="4" w:space="0"/>
                    <w:bottom w:val="single" w:color="auto" w:sz="4" w:space="0"/>
                    <w:right w:val="single" w:color="auto" w:sz="4" w:space="0"/>
                  </w:tcBorders>
                  <w:vAlign w:val="center"/>
                </w:tcPr>
                <w:p>
                  <w:pPr>
                    <w:pStyle w:val="8"/>
                    <w:ind w:left="0"/>
                    <w:jc w:val="center"/>
                    <w:rPr>
                      <w:rFonts w:ascii="Times New Roman" w:hAnsi="Times New Roman" w:cs="Times New Roman"/>
                      <w:b w:val="0"/>
                      <w:bCs w:val="0"/>
                      <w:sz w:val="21"/>
                      <w:szCs w:val="21"/>
                      <w:lang w:val="en-US"/>
                    </w:rPr>
                  </w:pPr>
                  <w:r>
                    <w:rPr>
                      <w:rFonts w:hint="eastAsia" w:ascii="Times New Roman" w:hAnsi="Times New Roman" w:cs="Times New Roman"/>
                      <w:b w:val="0"/>
                      <w:bCs w:val="0"/>
                      <w:sz w:val="21"/>
                      <w:szCs w:val="21"/>
                      <w:lang w:val="en-US"/>
                    </w:rPr>
                    <w:t>22</w:t>
                  </w:r>
                </w:p>
              </w:tc>
              <w:tc>
                <w:tcPr>
                  <w:tcW w:w="224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kern w:val="0"/>
                    </w:rPr>
                  </w:pPr>
                  <w:r>
                    <w:rPr>
                      <w:kern w:val="0"/>
                    </w:rPr>
                    <w:t>玉米脱皮机</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pPr>
                  <w:r>
                    <w:rPr>
                      <w:kern w:val="0"/>
                    </w:rPr>
                    <w:t>/</w:t>
                  </w:r>
                </w:p>
              </w:tc>
              <w:tc>
                <w:tcPr>
                  <w:tcW w:w="119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kern w:val="0"/>
                    </w:rPr>
                  </w:pPr>
                  <w:r>
                    <w:rPr>
                      <w:kern w:val="0"/>
                    </w:rPr>
                    <w:t>1</w:t>
                  </w:r>
                </w:p>
              </w:tc>
              <w:tc>
                <w:tcPr>
                  <w:tcW w:w="1096" w:type="dxa"/>
                  <w:tcBorders>
                    <w:top w:val="single" w:color="auto" w:sz="4" w:space="0"/>
                    <w:left w:val="single" w:color="auto" w:sz="4" w:space="0"/>
                    <w:bottom w:val="single" w:color="auto" w:sz="4" w:space="0"/>
                    <w:right w:val="single" w:color="auto" w:sz="4" w:space="0"/>
                  </w:tcBorders>
                  <w:vAlign w:val="center"/>
                </w:tcPr>
                <w:p>
                  <w:pPr>
                    <w:pStyle w:val="8"/>
                    <w:ind w:left="0"/>
                    <w:jc w:val="center"/>
                    <w:rPr>
                      <w:rFonts w:cs="Times New Roman"/>
                      <w:b w:val="0"/>
                      <w:bCs w:val="0"/>
                      <w:color w:val="FF0000"/>
                      <w:sz w:val="21"/>
                      <w:szCs w:val="21"/>
                      <w:lang w:val="en-US"/>
                    </w:rPr>
                  </w:pPr>
                  <w:r>
                    <w:rPr>
                      <w:rFonts w:hint="eastAsia" w:cs="Times New Roman"/>
                      <w:b w:val="0"/>
                      <w:bCs w:val="0"/>
                      <w:sz w:val="21"/>
                      <w:szCs w:val="21"/>
                      <w:lang w:val="en-US"/>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1" w:hRule="atLeast"/>
              </w:trPr>
              <w:tc>
                <w:tcPr>
                  <w:tcW w:w="975" w:type="dxa"/>
                  <w:tcBorders>
                    <w:top w:val="single" w:color="auto" w:sz="4" w:space="0"/>
                    <w:left w:val="single" w:color="auto" w:sz="4" w:space="0"/>
                    <w:bottom w:val="single" w:color="auto" w:sz="4" w:space="0"/>
                    <w:right w:val="single" w:color="auto" w:sz="4" w:space="0"/>
                  </w:tcBorders>
                  <w:vAlign w:val="center"/>
                </w:tcPr>
                <w:p>
                  <w:pPr>
                    <w:pStyle w:val="8"/>
                    <w:ind w:left="0"/>
                    <w:jc w:val="center"/>
                    <w:rPr>
                      <w:rFonts w:ascii="Times New Roman" w:hAnsi="Times New Roman" w:cs="Times New Roman"/>
                      <w:b w:val="0"/>
                      <w:bCs w:val="0"/>
                      <w:sz w:val="21"/>
                      <w:szCs w:val="21"/>
                      <w:lang w:val="en-US"/>
                    </w:rPr>
                  </w:pPr>
                  <w:r>
                    <w:rPr>
                      <w:rFonts w:hint="eastAsia" w:ascii="Times New Roman" w:hAnsi="Times New Roman" w:cs="Times New Roman"/>
                      <w:b w:val="0"/>
                      <w:bCs w:val="0"/>
                      <w:sz w:val="21"/>
                      <w:szCs w:val="21"/>
                      <w:lang w:val="en-US"/>
                    </w:rPr>
                    <w:t>23</w:t>
                  </w:r>
                </w:p>
              </w:tc>
              <w:tc>
                <w:tcPr>
                  <w:tcW w:w="224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kern w:val="0"/>
                    </w:rPr>
                  </w:pPr>
                  <w:r>
                    <w:rPr>
                      <w:kern w:val="0"/>
                    </w:rPr>
                    <w:t>泵送系统</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pPr>
                  <w:r>
                    <w:rPr>
                      <w:kern w:val="0"/>
                    </w:rPr>
                    <w:t>MSBS80</w:t>
                  </w:r>
                </w:p>
              </w:tc>
              <w:tc>
                <w:tcPr>
                  <w:tcW w:w="119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kern w:val="0"/>
                    </w:rPr>
                  </w:pPr>
                  <w:r>
                    <w:t>4</w:t>
                  </w:r>
                </w:p>
              </w:tc>
              <w:tc>
                <w:tcPr>
                  <w:tcW w:w="1096" w:type="dxa"/>
                  <w:tcBorders>
                    <w:top w:val="single" w:color="auto" w:sz="4" w:space="0"/>
                    <w:left w:val="single" w:color="auto" w:sz="4" w:space="0"/>
                    <w:bottom w:val="single" w:color="auto" w:sz="4" w:space="0"/>
                    <w:right w:val="single" w:color="auto" w:sz="4" w:space="0"/>
                  </w:tcBorders>
                  <w:vAlign w:val="center"/>
                </w:tcPr>
                <w:p>
                  <w:pPr>
                    <w:pStyle w:val="8"/>
                    <w:ind w:left="0"/>
                    <w:jc w:val="center"/>
                    <w:rPr>
                      <w:rFonts w:cs="Times New Roman"/>
                      <w:b w:val="0"/>
                      <w:bCs w:val="0"/>
                      <w:color w:val="FF0000"/>
                      <w:sz w:val="21"/>
                      <w:szCs w:val="21"/>
                      <w:lang w:val="en-US"/>
                    </w:rPr>
                  </w:pPr>
                  <w:r>
                    <w:rPr>
                      <w:rFonts w:hint="eastAsia" w:cs="Times New Roman"/>
                      <w:b w:val="0"/>
                      <w:bCs w:val="0"/>
                      <w:sz w:val="21"/>
                      <w:szCs w:val="21"/>
                      <w:lang w:val="en-US"/>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6" w:hRule="atLeast"/>
              </w:trPr>
              <w:tc>
                <w:tcPr>
                  <w:tcW w:w="975" w:type="dxa"/>
                  <w:tcBorders>
                    <w:top w:val="single" w:color="auto" w:sz="4" w:space="0"/>
                    <w:left w:val="single" w:color="auto" w:sz="4" w:space="0"/>
                    <w:bottom w:val="single" w:color="auto" w:sz="4" w:space="0"/>
                    <w:right w:val="single" w:color="auto" w:sz="4" w:space="0"/>
                  </w:tcBorders>
                  <w:vAlign w:val="center"/>
                </w:tcPr>
                <w:p>
                  <w:pPr>
                    <w:pStyle w:val="8"/>
                    <w:ind w:left="0"/>
                    <w:jc w:val="center"/>
                    <w:rPr>
                      <w:rFonts w:ascii="Times New Roman" w:hAnsi="Times New Roman" w:cs="Times New Roman"/>
                      <w:b w:val="0"/>
                      <w:bCs w:val="0"/>
                      <w:sz w:val="21"/>
                      <w:szCs w:val="21"/>
                      <w:lang w:val="en-US"/>
                    </w:rPr>
                  </w:pPr>
                  <w:r>
                    <w:rPr>
                      <w:rFonts w:hint="eastAsia" w:ascii="Times New Roman" w:hAnsi="Times New Roman" w:cs="Times New Roman"/>
                      <w:b w:val="0"/>
                      <w:bCs w:val="0"/>
                      <w:sz w:val="21"/>
                      <w:szCs w:val="21"/>
                      <w:lang w:val="en-US"/>
                    </w:rPr>
                    <w:t>24</w:t>
                  </w:r>
                </w:p>
              </w:tc>
              <w:tc>
                <w:tcPr>
                  <w:tcW w:w="224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kern w:val="0"/>
                    </w:rPr>
                  </w:pPr>
                  <w:r>
                    <w:rPr>
                      <w:kern w:val="0"/>
                    </w:rPr>
                    <w:t>秤式液体添加系统</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pPr>
                  <w:r>
                    <w:rPr>
                      <w:kern w:val="0"/>
                    </w:rPr>
                    <w:t>SYTC100</w:t>
                  </w:r>
                </w:p>
              </w:tc>
              <w:tc>
                <w:tcPr>
                  <w:tcW w:w="119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kern w:val="0"/>
                    </w:rPr>
                  </w:pPr>
                  <w:r>
                    <w:t>2</w:t>
                  </w:r>
                </w:p>
              </w:tc>
              <w:tc>
                <w:tcPr>
                  <w:tcW w:w="1096" w:type="dxa"/>
                  <w:tcBorders>
                    <w:top w:val="single" w:color="auto" w:sz="4" w:space="0"/>
                    <w:left w:val="single" w:color="auto" w:sz="4" w:space="0"/>
                    <w:bottom w:val="single" w:color="auto" w:sz="4" w:space="0"/>
                    <w:right w:val="single" w:color="auto" w:sz="4" w:space="0"/>
                  </w:tcBorders>
                  <w:vAlign w:val="center"/>
                </w:tcPr>
                <w:p>
                  <w:pPr>
                    <w:pStyle w:val="8"/>
                    <w:ind w:left="0"/>
                    <w:jc w:val="center"/>
                    <w:rPr>
                      <w:rFonts w:cs="Times New Roman"/>
                      <w:b w:val="0"/>
                      <w:bCs w:val="0"/>
                      <w:sz w:val="21"/>
                      <w:szCs w:val="21"/>
                      <w:lang w:val="en-US"/>
                    </w:rPr>
                  </w:pPr>
                  <w:r>
                    <w:rPr>
                      <w:rFonts w:hint="eastAsia" w:cs="Times New Roman"/>
                      <w:b w:val="0"/>
                      <w:bCs w:val="0"/>
                      <w:sz w:val="21"/>
                      <w:szCs w:val="21"/>
                      <w:lang w:val="en-US"/>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975" w:type="dxa"/>
                  <w:tcBorders>
                    <w:top w:val="single" w:color="auto" w:sz="4" w:space="0"/>
                    <w:left w:val="single" w:color="auto" w:sz="4" w:space="0"/>
                    <w:bottom w:val="single" w:color="auto" w:sz="4" w:space="0"/>
                    <w:right w:val="single" w:color="auto" w:sz="4" w:space="0"/>
                  </w:tcBorders>
                  <w:vAlign w:val="center"/>
                </w:tcPr>
                <w:p>
                  <w:pPr>
                    <w:pStyle w:val="8"/>
                    <w:ind w:left="0"/>
                    <w:jc w:val="center"/>
                    <w:rPr>
                      <w:rFonts w:ascii="Times New Roman" w:hAnsi="Times New Roman" w:cs="Times New Roman"/>
                      <w:b w:val="0"/>
                      <w:bCs w:val="0"/>
                      <w:sz w:val="21"/>
                      <w:szCs w:val="21"/>
                      <w:lang w:val="en-US"/>
                    </w:rPr>
                  </w:pPr>
                  <w:r>
                    <w:rPr>
                      <w:rFonts w:hint="eastAsia" w:ascii="Times New Roman" w:hAnsi="Times New Roman" w:cs="Times New Roman"/>
                      <w:b w:val="0"/>
                      <w:bCs w:val="0"/>
                      <w:sz w:val="21"/>
                      <w:szCs w:val="21"/>
                      <w:lang w:val="en-US"/>
                    </w:rPr>
                    <w:t>25</w:t>
                  </w:r>
                </w:p>
              </w:tc>
              <w:tc>
                <w:tcPr>
                  <w:tcW w:w="224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kern w:val="0"/>
                    </w:rPr>
                  </w:pPr>
                  <w:r>
                    <w:rPr>
                      <w:rFonts w:hint="eastAsia"/>
                      <w:kern w:val="0"/>
                    </w:rPr>
                    <w:t>燃气锅炉</w:t>
                  </w:r>
                </w:p>
              </w:tc>
              <w:tc>
                <w:tcPr>
                  <w:tcW w:w="229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kern w:val="0"/>
                    </w:rPr>
                  </w:pPr>
                  <w:r>
                    <w:rPr>
                      <w:rFonts w:hint="eastAsia"/>
                      <w:kern w:val="0"/>
                    </w:rPr>
                    <w:t>2t/h</w:t>
                  </w:r>
                </w:p>
              </w:tc>
              <w:tc>
                <w:tcPr>
                  <w:tcW w:w="119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pPr>
                  <w:r>
                    <w:rPr>
                      <w:rFonts w:hint="eastAsia"/>
                    </w:rPr>
                    <w:t>1</w:t>
                  </w:r>
                </w:p>
              </w:tc>
              <w:tc>
                <w:tcPr>
                  <w:tcW w:w="1096" w:type="dxa"/>
                  <w:tcBorders>
                    <w:top w:val="single" w:color="auto" w:sz="4" w:space="0"/>
                    <w:left w:val="single" w:color="auto" w:sz="4" w:space="0"/>
                    <w:bottom w:val="single" w:color="auto" w:sz="4" w:space="0"/>
                    <w:right w:val="single" w:color="auto" w:sz="4" w:space="0"/>
                  </w:tcBorders>
                  <w:vAlign w:val="center"/>
                </w:tcPr>
                <w:p>
                  <w:pPr>
                    <w:pStyle w:val="8"/>
                    <w:ind w:left="0"/>
                    <w:jc w:val="center"/>
                    <w:rPr>
                      <w:rFonts w:cs="Times New Roman"/>
                      <w:b w:val="0"/>
                      <w:bCs w:val="0"/>
                      <w:sz w:val="21"/>
                      <w:szCs w:val="21"/>
                      <w:lang w:val="en-US"/>
                    </w:rPr>
                  </w:pPr>
                  <w:r>
                    <w:rPr>
                      <w:rFonts w:hint="eastAsia" w:cs="Times New Roman"/>
                      <w:b w:val="0"/>
                      <w:bCs w:val="0"/>
                      <w:sz w:val="21"/>
                      <w:szCs w:val="21"/>
                      <w:lang w:val="en-US"/>
                    </w:rPr>
                    <w:t>外购</w:t>
                  </w:r>
                </w:p>
              </w:tc>
            </w:tr>
          </w:tbl>
          <w:p>
            <w:pPr>
              <w:widowControl/>
              <w:spacing w:line="360" w:lineRule="auto"/>
              <w:ind w:firstLine="482" w:firstLineChars="200"/>
              <w:rPr>
                <w:b/>
                <w:sz w:val="24"/>
                <w:szCs w:val="24"/>
              </w:rPr>
            </w:pPr>
            <w:r>
              <w:rPr>
                <w:rFonts w:hint="eastAsia"/>
                <w:b/>
                <w:sz w:val="24"/>
                <w:szCs w:val="24"/>
              </w:rPr>
              <w:t>6、项目物料平衡</w:t>
            </w:r>
          </w:p>
          <w:p>
            <w:pPr>
              <w:widowControl/>
              <w:spacing w:line="360" w:lineRule="auto"/>
              <w:ind w:firstLine="480" w:firstLineChars="200"/>
              <w:rPr>
                <w:sz w:val="24"/>
                <w:szCs w:val="24"/>
              </w:rPr>
            </w:pPr>
            <w:r>
              <w:rPr>
                <w:rFonts w:hint="eastAsia"/>
                <w:sz w:val="24"/>
                <w:szCs w:val="24"/>
              </w:rPr>
              <w:t>本项目饲料生产物料平衡详见表2-5。</w:t>
            </w:r>
          </w:p>
          <w:p>
            <w:pPr>
              <w:widowControl/>
              <w:spacing w:line="360" w:lineRule="auto"/>
              <w:jc w:val="center"/>
              <w:rPr>
                <w:b/>
                <w:sz w:val="24"/>
                <w:szCs w:val="24"/>
              </w:rPr>
            </w:pPr>
            <w:r>
              <w:rPr>
                <w:rFonts w:hint="eastAsia"/>
                <w:b/>
                <w:sz w:val="24"/>
                <w:szCs w:val="24"/>
              </w:rPr>
              <w:t xml:space="preserve">表2-5  项目物料平衡表  </w:t>
            </w:r>
            <w:r>
              <w:rPr>
                <w:b/>
                <w:sz w:val="24"/>
                <w:szCs w:val="24"/>
              </w:rPr>
              <w:t>单位：t/a</w:t>
            </w:r>
          </w:p>
          <w:tbl>
            <w:tblPr>
              <w:tblStyle w:val="23"/>
              <w:tblW w:w="7935" w:type="dxa"/>
              <w:jc w:val="center"/>
              <w:tblLayout w:type="fixed"/>
              <w:tblCellMar>
                <w:top w:w="0" w:type="dxa"/>
                <w:left w:w="0" w:type="dxa"/>
                <w:bottom w:w="0" w:type="dxa"/>
                <w:right w:w="0" w:type="dxa"/>
              </w:tblCellMar>
            </w:tblPr>
            <w:tblGrid>
              <w:gridCol w:w="2465"/>
              <w:gridCol w:w="2105"/>
              <w:gridCol w:w="1915"/>
              <w:gridCol w:w="1450"/>
            </w:tblGrid>
            <w:tr>
              <w:tblPrEx>
                <w:tblCellMar>
                  <w:top w:w="0" w:type="dxa"/>
                  <w:left w:w="0" w:type="dxa"/>
                  <w:bottom w:w="0" w:type="dxa"/>
                  <w:right w:w="0" w:type="dxa"/>
                </w:tblCellMar>
              </w:tblPrEx>
              <w:trPr>
                <w:trHeight w:val="312" w:hRule="atLeast"/>
                <w:jc w:val="center"/>
              </w:trPr>
              <w:tc>
                <w:tcPr>
                  <w:tcW w:w="4570" w:type="dxa"/>
                  <w:gridSpan w:val="2"/>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jc w:val="center"/>
                    <w:rPr>
                      <w:color w:val="auto"/>
                    </w:rPr>
                  </w:pPr>
                  <w:r>
                    <w:rPr>
                      <w:color w:val="auto"/>
                    </w:rPr>
                    <w:t>输入（物料消耗）</w:t>
                  </w:r>
                </w:p>
              </w:tc>
              <w:tc>
                <w:tcPr>
                  <w:tcW w:w="3365" w:type="dxa"/>
                  <w:gridSpan w:val="2"/>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jc w:val="center"/>
                    <w:rPr>
                      <w:color w:val="auto"/>
                    </w:rPr>
                  </w:pPr>
                  <w:r>
                    <w:rPr>
                      <w:color w:val="auto"/>
                    </w:rPr>
                    <w:t>输出（产品及污染物输出）</w:t>
                  </w:r>
                </w:p>
              </w:tc>
            </w:tr>
            <w:tr>
              <w:tblPrEx>
                <w:tblCellMar>
                  <w:top w:w="0" w:type="dxa"/>
                  <w:left w:w="0" w:type="dxa"/>
                  <w:bottom w:w="0" w:type="dxa"/>
                  <w:right w:w="0" w:type="dxa"/>
                </w:tblCellMar>
              </w:tblPrEx>
              <w:trPr>
                <w:trHeight w:val="90" w:hRule="atLeast"/>
                <w:jc w:val="center"/>
              </w:trPr>
              <w:tc>
                <w:tcPr>
                  <w:tcW w:w="246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jc w:val="center"/>
                    <w:rPr>
                      <w:color w:val="auto"/>
                    </w:rPr>
                  </w:pPr>
                  <w:r>
                    <w:rPr>
                      <w:color w:val="auto"/>
                    </w:rPr>
                    <w:t>名称</w:t>
                  </w:r>
                </w:p>
              </w:tc>
              <w:tc>
                <w:tcPr>
                  <w:tcW w:w="210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jc w:val="center"/>
                    <w:rPr>
                      <w:color w:val="auto"/>
                    </w:rPr>
                  </w:pPr>
                  <w:r>
                    <w:rPr>
                      <w:color w:val="auto"/>
                    </w:rPr>
                    <w:t>数量（t/a）</w:t>
                  </w:r>
                </w:p>
              </w:tc>
              <w:tc>
                <w:tcPr>
                  <w:tcW w:w="191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jc w:val="center"/>
                    <w:rPr>
                      <w:color w:val="auto"/>
                    </w:rPr>
                  </w:pPr>
                  <w:r>
                    <w:rPr>
                      <w:color w:val="auto"/>
                    </w:rPr>
                    <w:t>名称</w:t>
                  </w:r>
                </w:p>
              </w:tc>
              <w:tc>
                <w:tcPr>
                  <w:tcW w:w="145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jc w:val="center"/>
                    <w:rPr>
                      <w:color w:val="auto"/>
                    </w:rPr>
                  </w:pPr>
                  <w:r>
                    <w:rPr>
                      <w:color w:val="auto"/>
                    </w:rPr>
                    <w:t>数量（t/a）</w:t>
                  </w:r>
                </w:p>
              </w:tc>
            </w:tr>
            <w:tr>
              <w:tblPrEx>
                <w:tblCellMar>
                  <w:top w:w="0" w:type="dxa"/>
                  <w:left w:w="0" w:type="dxa"/>
                  <w:bottom w:w="0" w:type="dxa"/>
                  <w:right w:w="0" w:type="dxa"/>
                </w:tblCellMar>
              </w:tblPrEx>
              <w:trPr>
                <w:trHeight w:val="90" w:hRule="atLeast"/>
                <w:jc w:val="center"/>
              </w:trPr>
              <w:tc>
                <w:tcPr>
                  <w:tcW w:w="2465" w:type="dxa"/>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jc w:val="center"/>
                    <w:rPr>
                      <w:color w:val="auto"/>
                    </w:rPr>
                  </w:pPr>
                  <w:r>
                    <w:rPr>
                      <w:rFonts w:hint="eastAsia"/>
                      <w:color w:val="auto"/>
                    </w:rPr>
                    <w:t>玉米</w:t>
                  </w:r>
                </w:p>
              </w:tc>
              <w:tc>
                <w:tcPr>
                  <w:tcW w:w="2105" w:type="dxa"/>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jc w:val="center"/>
                    <w:rPr>
                      <w:color w:val="auto"/>
                    </w:rPr>
                  </w:pPr>
                  <w:r>
                    <w:rPr>
                      <w:rFonts w:hint="eastAsia"/>
                      <w:color w:val="auto"/>
                    </w:rPr>
                    <w:t>9.9万</w:t>
                  </w:r>
                </w:p>
              </w:tc>
              <w:tc>
                <w:tcPr>
                  <w:tcW w:w="191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jc w:val="center"/>
                    <w:rPr>
                      <w:color w:val="auto"/>
                    </w:rPr>
                  </w:pPr>
                  <w:r>
                    <w:rPr>
                      <w:rFonts w:hint="eastAsia"/>
                      <w:color w:val="auto"/>
                    </w:rPr>
                    <w:t>产品</w:t>
                  </w:r>
                </w:p>
              </w:tc>
              <w:tc>
                <w:tcPr>
                  <w:tcW w:w="145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jc w:val="center"/>
                    <w:rPr>
                      <w:color w:val="auto"/>
                    </w:rPr>
                  </w:pPr>
                  <w:r>
                    <w:rPr>
                      <w:rFonts w:hint="eastAsia"/>
                      <w:color w:val="auto"/>
                    </w:rPr>
                    <w:t>18万</w:t>
                  </w:r>
                </w:p>
              </w:tc>
            </w:tr>
            <w:tr>
              <w:tblPrEx>
                <w:tblCellMar>
                  <w:top w:w="0" w:type="dxa"/>
                  <w:left w:w="0" w:type="dxa"/>
                  <w:bottom w:w="0" w:type="dxa"/>
                  <w:right w:w="0" w:type="dxa"/>
                </w:tblCellMar>
              </w:tblPrEx>
              <w:trPr>
                <w:trHeight w:val="90" w:hRule="atLeast"/>
                <w:jc w:val="center"/>
              </w:trPr>
              <w:tc>
                <w:tcPr>
                  <w:tcW w:w="2465" w:type="dxa"/>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jc w:val="center"/>
                    <w:rPr>
                      <w:color w:val="auto"/>
                    </w:rPr>
                  </w:pPr>
                  <w:r>
                    <w:rPr>
                      <w:rFonts w:hint="eastAsia"/>
                      <w:color w:val="auto"/>
                    </w:rPr>
                    <w:t>小麦</w:t>
                  </w:r>
                </w:p>
              </w:tc>
              <w:tc>
                <w:tcPr>
                  <w:tcW w:w="2105" w:type="dxa"/>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jc w:val="center"/>
                    <w:rPr>
                      <w:color w:val="auto"/>
                    </w:rPr>
                  </w:pPr>
                  <w:r>
                    <w:rPr>
                      <w:rFonts w:hint="eastAsia"/>
                      <w:color w:val="auto"/>
                    </w:rPr>
                    <w:t>1.8万</w:t>
                  </w:r>
                </w:p>
              </w:tc>
              <w:tc>
                <w:tcPr>
                  <w:tcW w:w="191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jc w:val="center"/>
                    <w:rPr>
                      <w:color w:val="auto"/>
                    </w:rPr>
                  </w:pPr>
                  <w:r>
                    <w:rPr>
                      <w:rFonts w:hint="eastAsia"/>
                      <w:color w:val="auto"/>
                    </w:rPr>
                    <w:t>初清筛杂质</w:t>
                  </w:r>
                </w:p>
              </w:tc>
              <w:tc>
                <w:tcPr>
                  <w:tcW w:w="145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jc w:val="center"/>
                    <w:rPr>
                      <w:color w:val="auto"/>
                    </w:rPr>
                  </w:pPr>
                  <w:r>
                    <w:rPr>
                      <w:rFonts w:hint="eastAsia"/>
                      <w:color w:val="auto"/>
                    </w:rPr>
                    <w:t>17.64</w:t>
                  </w:r>
                </w:p>
              </w:tc>
            </w:tr>
            <w:tr>
              <w:tblPrEx>
                <w:tblCellMar>
                  <w:top w:w="0" w:type="dxa"/>
                  <w:left w:w="0" w:type="dxa"/>
                  <w:bottom w:w="0" w:type="dxa"/>
                  <w:right w:w="0" w:type="dxa"/>
                </w:tblCellMar>
              </w:tblPrEx>
              <w:trPr>
                <w:trHeight w:val="90" w:hRule="atLeast"/>
                <w:jc w:val="center"/>
              </w:trPr>
              <w:tc>
                <w:tcPr>
                  <w:tcW w:w="2465" w:type="dxa"/>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jc w:val="center"/>
                    <w:rPr>
                      <w:color w:val="auto"/>
                    </w:rPr>
                  </w:pPr>
                  <w:r>
                    <w:rPr>
                      <w:rFonts w:hint="eastAsia"/>
                      <w:color w:val="auto"/>
                    </w:rPr>
                    <w:t>麸皮</w:t>
                  </w:r>
                </w:p>
              </w:tc>
              <w:tc>
                <w:tcPr>
                  <w:tcW w:w="2105" w:type="dxa"/>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jc w:val="center"/>
                    <w:rPr>
                      <w:color w:val="auto"/>
                    </w:rPr>
                  </w:pPr>
                  <w:r>
                    <w:rPr>
                      <w:rFonts w:hint="eastAsia"/>
                      <w:color w:val="auto"/>
                    </w:rPr>
                    <w:t>1.8万</w:t>
                  </w:r>
                </w:p>
              </w:tc>
              <w:tc>
                <w:tcPr>
                  <w:tcW w:w="191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jc w:val="center"/>
                    <w:rPr>
                      <w:color w:val="auto"/>
                    </w:rPr>
                  </w:pPr>
                  <w:r>
                    <w:rPr>
                      <w:rFonts w:hint="eastAsia"/>
                      <w:color w:val="auto"/>
                    </w:rPr>
                    <w:t>磁选杂质</w:t>
                  </w:r>
                </w:p>
              </w:tc>
              <w:tc>
                <w:tcPr>
                  <w:tcW w:w="145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jc w:val="center"/>
                    <w:rPr>
                      <w:color w:val="auto"/>
                    </w:rPr>
                  </w:pPr>
                  <w:r>
                    <w:rPr>
                      <w:rFonts w:hint="eastAsia"/>
                      <w:color w:val="auto"/>
                    </w:rPr>
                    <w:t>8.82</w:t>
                  </w:r>
                </w:p>
              </w:tc>
            </w:tr>
            <w:tr>
              <w:tblPrEx>
                <w:tblCellMar>
                  <w:top w:w="0" w:type="dxa"/>
                  <w:left w:w="0" w:type="dxa"/>
                  <w:bottom w:w="0" w:type="dxa"/>
                  <w:right w:w="0" w:type="dxa"/>
                </w:tblCellMar>
              </w:tblPrEx>
              <w:trPr>
                <w:trHeight w:val="90" w:hRule="atLeast"/>
                <w:jc w:val="center"/>
              </w:trPr>
              <w:tc>
                <w:tcPr>
                  <w:tcW w:w="2465" w:type="dxa"/>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jc w:val="center"/>
                    <w:rPr>
                      <w:color w:val="auto"/>
                    </w:rPr>
                  </w:pPr>
                  <w:r>
                    <w:rPr>
                      <w:rFonts w:hint="eastAsia"/>
                      <w:color w:val="auto"/>
                    </w:rPr>
                    <w:t>面粉</w:t>
                  </w:r>
                </w:p>
              </w:tc>
              <w:tc>
                <w:tcPr>
                  <w:tcW w:w="2105" w:type="dxa"/>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jc w:val="center"/>
                    <w:rPr>
                      <w:color w:val="auto"/>
                    </w:rPr>
                  </w:pPr>
                  <w:r>
                    <w:rPr>
                      <w:rFonts w:hint="eastAsia"/>
                      <w:color w:val="auto"/>
                    </w:rPr>
                    <w:t>0.9万</w:t>
                  </w:r>
                </w:p>
              </w:tc>
              <w:tc>
                <w:tcPr>
                  <w:tcW w:w="191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jc w:val="center"/>
                    <w:rPr>
                      <w:color w:val="auto"/>
                    </w:rPr>
                  </w:pPr>
                  <w:r>
                    <w:rPr>
                      <w:rFonts w:hint="eastAsia"/>
                      <w:color w:val="auto"/>
                    </w:rPr>
                    <w:t>有组织粉尘</w:t>
                  </w:r>
                </w:p>
              </w:tc>
              <w:tc>
                <w:tcPr>
                  <w:tcW w:w="145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jc w:val="center"/>
                    <w:rPr>
                      <w:rFonts w:hint="default" w:eastAsia="宋体"/>
                      <w:color w:val="auto"/>
                      <w:lang w:val="en-US" w:eastAsia="zh-CN"/>
                    </w:rPr>
                  </w:pPr>
                  <w:r>
                    <w:rPr>
                      <w:rFonts w:hint="eastAsia"/>
                      <w:color w:val="auto"/>
                    </w:rPr>
                    <w:t>0.</w:t>
                  </w:r>
                  <w:r>
                    <w:rPr>
                      <w:rFonts w:hint="eastAsia"/>
                      <w:color w:val="auto"/>
                      <w:lang w:val="en-US" w:eastAsia="zh-CN"/>
                    </w:rPr>
                    <w:t>123</w:t>
                  </w:r>
                </w:p>
              </w:tc>
            </w:tr>
            <w:tr>
              <w:tblPrEx>
                <w:tblCellMar>
                  <w:top w:w="0" w:type="dxa"/>
                  <w:left w:w="0" w:type="dxa"/>
                  <w:bottom w:w="0" w:type="dxa"/>
                  <w:right w:w="0" w:type="dxa"/>
                </w:tblCellMar>
              </w:tblPrEx>
              <w:trPr>
                <w:trHeight w:val="241" w:hRule="atLeast"/>
                <w:jc w:val="center"/>
              </w:trPr>
              <w:tc>
                <w:tcPr>
                  <w:tcW w:w="2465" w:type="dxa"/>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jc w:val="center"/>
                    <w:rPr>
                      <w:color w:val="auto"/>
                    </w:rPr>
                  </w:pPr>
                  <w:r>
                    <w:rPr>
                      <w:rFonts w:hint="eastAsia"/>
                      <w:color w:val="auto"/>
                    </w:rPr>
                    <w:t>豆粕</w:t>
                  </w:r>
                </w:p>
              </w:tc>
              <w:tc>
                <w:tcPr>
                  <w:tcW w:w="2105" w:type="dxa"/>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jc w:val="center"/>
                    <w:rPr>
                      <w:color w:val="auto"/>
                    </w:rPr>
                  </w:pPr>
                  <w:r>
                    <w:rPr>
                      <w:rFonts w:hint="eastAsia"/>
                      <w:color w:val="auto"/>
                    </w:rPr>
                    <w:t>3.24万</w:t>
                  </w:r>
                </w:p>
              </w:tc>
              <w:tc>
                <w:tcPr>
                  <w:tcW w:w="191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jc w:val="center"/>
                    <w:rPr>
                      <w:color w:val="auto"/>
                    </w:rPr>
                  </w:pPr>
                  <w:r>
                    <w:rPr>
                      <w:rFonts w:hint="eastAsia"/>
                      <w:color w:val="auto"/>
                    </w:rPr>
                    <w:t>无组织粉尘</w:t>
                  </w:r>
                </w:p>
              </w:tc>
              <w:tc>
                <w:tcPr>
                  <w:tcW w:w="145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jc w:val="center"/>
                    <w:rPr>
                      <w:rFonts w:hint="default" w:eastAsia="宋体"/>
                      <w:color w:val="auto"/>
                      <w:lang w:val="en-US" w:eastAsia="zh-CN"/>
                    </w:rPr>
                  </w:pPr>
                  <w:r>
                    <w:rPr>
                      <w:rFonts w:hint="eastAsia"/>
                      <w:color w:val="auto"/>
                      <w:lang w:val="en-US" w:eastAsia="zh-CN"/>
                    </w:rPr>
                    <w:t>0.530</w:t>
                  </w:r>
                </w:p>
              </w:tc>
            </w:tr>
            <w:tr>
              <w:tblPrEx>
                <w:tblCellMar>
                  <w:top w:w="0" w:type="dxa"/>
                  <w:left w:w="0" w:type="dxa"/>
                  <w:bottom w:w="0" w:type="dxa"/>
                  <w:right w:w="0" w:type="dxa"/>
                </w:tblCellMar>
              </w:tblPrEx>
              <w:trPr>
                <w:trHeight w:val="104" w:hRule="atLeast"/>
                <w:jc w:val="center"/>
              </w:trPr>
              <w:tc>
                <w:tcPr>
                  <w:tcW w:w="2465" w:type="dxa"/>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jc w:val="center"/>
                    <w:rPr>
                      <w:color w:val="auto"/>
                    </w:rPr>
                  </w:pPr>
                  <w:r>
                    <w:rPr>
                      <w:rFonts w:hint="eastAsia"/>
                      <w:color w:val="auto"/>
                    </w:rPr>
                    <w:t>添加剂（石粉、食盐、氢钙、油脂等）</w:t>
                  </w:r>
                </w:p>
              </w:tc>
              <w:tc>
                <w:tcPr>
                  <w:tcW w:w="2105" w:type="dxa"/>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jc w:val="center"/>
                    <w:rPr>
                      <w:color w:val="auto"/>
                    </w:rPr>
                  </w:pPr>
                  <w:r>
                    <w:rPr>
                      <w:rFonts w:hint="eastAsia"/>
                      <w:color w:val="auto"/>
                    </w:rPr>
                    <w:t>3600</w:t>
                  </w:r>
                </w:p>
              </w:tc>
              <w:tc>
                <w:tcPr>
                  <w:tcW w:w="191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jc w:val="center"/>
                    <w:rPr>
                      <w:rFonts w:hint="eastAsia" w:eastAsia="宋体"/>
                      <w:color w:val="auto"/>
                      <w:lang w:eastAsia="zh-CN"/>
                    </w:rPr>
                  </w:pPr>
                  <w:r>
                    <w:rPr>
                      <w:rFonts w:hint="eastAsia"/>
                      <w:color w:val="auto"/>
                      <w:lang w:eastAsia="zh-CN"/>
                    </w:rPr>
                    <w:t>除尘器收集的粉尘</w:t>
                  </w:r>
                </w:p>
              </w:tc>
              <w:tc>
                <w:tcPr>
                  <w:tcW w:w="145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jc w:val="center"/>
                    <w:rPr>
                      <w:rFonts w:hint="default" w:eastAsia="宋体"/>
                      <w:color w:val="auto"/>
                      <w:lang w:val="en-US" w:eastAsia="zh-CN"/>
                    </w:rPr>
                  </w:pPr>
                  <w:r>
                    <w:rPr>
                      <w:rFonts w:hint="eastAsia"/>
                      <w:color w:val="auto"/>
                      <w:lang w:val="en-US" w:eastAsia="zh-CN"/>
                    </w:rPr>
                    <w:t>12.147</w:t>
                  </w:r>
                </w:p>
              </w:tc>
            </w:tr>
            <w:tr>
              <w:tblPrEx>
                <w:tblCellMar>
                  <w:top w:w="0" w:type="dxa"/>
                  <w:left w:w="0" w:type="dxa"/>
                  <w:bottom w:w="0" w:type="dxa"/>
                  <w:right w:w="0" w:type="dxa"/>
                </w:tblCellMar>
              </w:tblPrEx>
              <w:trPr>
                <w:trHeight w:val="137" w:hRule="atLeast"/>
                <w:jc w:val="center"/>
              </w:trPr>
              <w:tc>
                <w:tcPr>
                  <w:tcW w:w="2465" w:type="dxa"/>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jc w:val="center"/>
                    <w:rPr>
                      <w:rFonts w:hint="eastAsia" w:eastAsia="宋体"/>
                      <w:color w:val="auto"/>
                      <w:lang w:eastAsia="zh-CN"/>
                    </w:rPr>
                  </w:pPr>
                  <w:r>
                    <w:rPr>
                      <w:rFonts w:hint="eastAsia"/>
                      <w:color w:val="auto"/>
                      <w:lang w:eastAsia="zh-CN"/>
                    </w:rPr>
                    <w:t>水</w:t>
                  </w:r>
                </w:p>
              </w:tc>
              <w:tc>
                <w:tcPr>
                  <w:tcW w:w="2105" w:type="dxa"/>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jc w:val="center"/>
                    <w:rPr>
                      <w:rFonts w:hint="default" w:eastAsia="宋体"/>
                      <w:color w:val="auto"/>
                      <w:lang w:val="en-US" w:eastAsia="zh-CN"/>
                    </w:rPr>
                  </w:pPr>
                  <w:r>
                    <w:rPr>
                      <w:rStyle w:val="28"/>
                      <w:rFonts w:hint="eastAsia"/>
                      <w:color w:val="auto"/>
                      <w:kern w:val="0"/>
                      <w:lang w:val="en-US" w:eastAsia="zh-CN"/>
                    </w:rPr>
                    <w:t>4200</w:t>
                  </w:r>
                </w:p>
              </w:tc>
              <w:tc>
                <w:tcPr>
                  <w:tcW w:w="191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jc w:val="center"/>
                    <w:rPr>
                      <w:rFonts w:hint="eastAsia" w:eastAsia="宋体"/>
                      <w:color w:val="auto"/>
                      <w:lang w:eastAsia="zh-CN"/>
                    </w:rPr>
                  </w:pPr>
                  <w:r>
                    <w:rPr>
                      <w:rFonts w:hint="eastAsia"/>
                      <w:color w:val="auto"/>
                      <w:lang w:eastAsia="zh-CN"/>
                    </w:rPr>
                    <w:t>风干蒸发的水分</w:t>
                  </w:r>
                </w:p>
              </w:tc>
              <w:tc>
                <w:tcPr>
                  <w:tcW w:w="145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jc w:val="center"/>
                    <w:rPr>
                      <w:rFonts w:hint="default" w:eastAsia="宋体"/>
                      <w:color w:val="auto"/>
                      <w:lang w:val="en-US" w:eastAsia="zh-CN"/>
                    </w:rPr>
                  </w:pPr>
                  <w:r>
                    <w:rPr>
                      <w:rFonts w:hint="eastAsia"/>
                      <w:color w:val="auto"/>
                      <w:lang w:val="en-US" w:eastAsia="zh-CN"/>
                    </w:rPr>
                    <w:t>4172.887</w:t>
                  </w:r>
                </w:p>
              </w:tc>
            </w:tr>
            <w:tr>
              <w:tblPrEx>
                <w:tblCellMar>
                  <w:top w:w="0" w:type="dxa"/>
                  <w:left w:w="0" w:type="dxa"/>
                  <w:bottom w:w="0" w:type="dxa"/>
                  <w:right w:w="0" w:type="dxa"/>
                </w:tblCellMar>
              </w:tblPrEx>
              <w:trPr>
                <w:trHeight w:val="137" w:hRule="atLeast"/>
                <w:jc w:val="center"/>
              </w:trPr>
              <w:tc>
                <w:tcPr>
                  <w:tcW w:w="2465" w:type="dxa"/>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jc w:val="center"/>
                    <w:rPr>
                      <w:rFonts w:hint="eastAsia"/>
                      <w:color w:val="auto"/>
                      <w:lang w:eastAsia="zh-CN"/>
                    </w:rPr>
                  </w:pPr>
                  <w:r>
                    <w:rPr>
                      <w:rFonts w:hint="eastAsia"/>
                      <w:color w:val="auto"/>
                      <w:lang w:eastAsia="zh-CN"/>
                    </w:rPr>
                    <w:t>除尘器收集的粉尘</w:t>
                  </w:r>
                </w:p>
              </w:tc>
              <w:tc>
                <w:tcPr>
                  <w:tcW w:w="2105" w:type="dxa"/>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jc w:val="center"/>
                    <w:rPr>
                      <w:rStyle w:val="28"/>
                      <w:rFonts w:hint="default"/>
                      <w:color w:val="auto"/>
                      <w:kern w:val="0"/>
                      <w:lang w:val="en-US"/>
                    </w:rPr>
                  </w:pPr>
                  <w:r>
                    <w:rPr>
                      <w:rFonts w:hint="eastAsia"/>
                      <w:color w:val="auto"/>
                      <w:lang w:val="en-US" w:eastAsia="zh-CN"/>
                    </w:rPr>
                    <w:t>12.147</w:t>
                  </w:r>
                </w:p>
              </w:tc>
              <w:tc>
                <w:tcPr>
                  <w:tcW w:w="191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jc w:val="center"/>
                    <w:rPr>
                      <w:rFonts w:hint="default"/>
                      <w:color w:val="auto"/>
                      <w:lang w:val="en-US" w:eastAsia="zh-CN"/>
                    </w:rPr>
                  </w:pPr>
                  <w:r>
                    <w:rPr>
                      <w:rFonts w:hint="eastAsia"/>
                      <w:color w:val="auto"/>
                      <w:lang w:val="en-US" w:eastAsia="zh-CN"/>
                    </w:rPr>
                    <w:t>/</w:t>
                  </w:r>
                </w:p>
              </w:tc>
              <w:tc>
                <w:tcPr>
                  <w:tcW w:w="145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jc w:val="center"/>
                    <w:rPr>
                      <w:rFonts w:hint="eastAsia" w:eastAsia="宋体"/>
                      <w:color w:val="auto"/>
                      <w:lang w:val="en-US" w:eastAsia="zh-CN"/>
                    </w:rPr>
                  </w:pPr>
                  <w:r>
                    <w:rPr>
                      <w:rFonts w:hint="eastAsia"/>
                      <w:color w:val="auto"/>
                      <w:lang w:val="en-US" w:eastAsia="zh-CN"/>
                    </w:rPr>
                    <w:t>/</w:t>
                  </w:r>
                </w:p>
              </w:tc>
            </w:tr>
            <w:tr>
              <w:tblPrEx>
                <w:tblCellMar>
                  <w:top w:w="0" w:type="dxa"/>
                  <w:left w:w="0" w:type="dxa"/>
                  <w:bottom w:w="0" w:type="dxa"/>
                  <w:right w:w="0" w:type="dxa"/>
                </w:tblCellMar>
              </w:tblPrEx>
              <w:trPr>
                <w:trHeight w:val="90" w:hRule="atLeast"/>
                <w:jc w:val="center"/>
              </w:trPr>
              <w:tc>
                <w:tcPr>
                  <w:tcW w:w="246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jc w:val="center"/>
                    <w:rPr>
                      <w:color w:val="auto"/>
                    </w:rPr>
                  </w:pPr>
                  <w:r>
                    <w:rPr>
                      <w:color w:val="auto"/>
                    </w:rPr>
                    <w:t>合计</w:t>
                  </w:r>
                </w:p>
              </w:tc>
              <w:tc>
                <w:tcPr>
                  <w:tcW w:w="210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jc w:val="center"/>
                    <w:rPr>
                      <w:rFonts w:hint="default" w:eastAsia="宋体"/>
                      <w:color w:val="auto"/>
                      <w:lang w:val="en-US" w:eastAsia="zh-CN"/>
                    </w:rPr>
                  </w:pPr>
                  <w:r>
                    <w:rPr>
                      <w:rFonts w:hint="eastAsia"/>
                      <w:color w:val="auto"/>
                      <w:lang w:val="en-US" w:eastAsia="zh-CN"/>
                    </w:rPr>
                    <w:t>184212.147</w:t>
                  </w:r>
                </w:p>
              </w:tc>
              <w:tc>
                <w:tcPr>
                  <w:tcW w:w="1915"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jc w:val="center"/>
                    <w:rPr>
                      <w:color w:val="auto"/>
                    </w:rPr>
                  </w:pPr>
                  <w:r>
                    <w:rPr>
                      <w:color w:val="auto"/>
                    </w:rPr>
                    <w:t>合计</w:t>
                  </w:r>
                </w:p>
              </w:tc>
              <w:tc>
                <w:tcPr>
                  <w:tcW w:w="1450" w:type="dxa"/>
                  <w:tcBorders>
                    <w:top w:val="single" w:color="000000" w:sz="8" w:space="0"/>
                    <w:left w:val="single" w:color="000000" w:sz="8" w:space="0"/>
                    <w:bottom w:val="single" w:color="000000" w:sz="8" w:space="0"/>
                    <w:right w:val="single" w:color="000000" w:sz="8" w:space="0"/>
                  </w:tcBorders>
                  <w:tcMar>
                    <w:top w:w="15" w:type="dxa"/>
                    <w:left w:w="15" w:type="dxa"/>
                    <w:right w:w="15" w:type="dxa"/>
                  </w:tcMar>
                  <w:vAlign w:val="center"/>
                </w:tcPr>
                <w:p>
                  <w:pPr>
                    <w:jc w:val="center"/>
                    <w:rPr>
                      <w:rFonts w:hint="default" w:eastAsia="宋体"/>
                      <w:color w:val="auto"/>
                      <w:lang w:val="en-US" w:eastAsia="zh-CN"/>
                    </w:rPr>
                  </w:pPr>
                  <w:r>
                    <w:rPr>
                      <w:rStyle w:val="28"/>
                      <w:rFonts w:hint="eastAsia"/>
                      <w:color w:val="auto"/>
                      <w:kern w:val="0"/>
                      <w:lang w:val="en-US" w:eastAsia="zh-CN"/>
                    </w:rPr>
                    <w:t>184212.147</w:t>
                  </w:r>
                </w:p>
              </w:tc>
            </w:tr>
          </w:tbl>
          <w:p>
            <w:pPr>
              <w:spacing w:line="360" w:lineRule="auto"/>
              <w:ind w:firstLine="482" w:firstLineChars="200"/>
              <w:rPr>
                <w:sz w:val="24"/>
                <w:szCs w:val="24"/>
              </w:rPr>
            </w:pPr>
            <w:r>
              <w:rPr>
                <w:rFonts w:hint="eastAsia" w:cs="宋体"/>
                <w:b/>
                <w:bCs/>
                <w:sz w:val="24"/>
                <w:szCs w:val="24"/>
              </w:rPr>
              <w:t>7、水平衡</w:t>
            </w:r>
          </w:p>
          <w:p>
            <w:pPr>
              <w:adjustRightInd w:val="0"/>
              <w:snapToGrid w:val="0"/>
              <w:spacing w:line="360" w:lineRule="auto"/>
              <w:ind w:firstLine="480" w:firstLineChars="200"/>
              <w:rPr>
                <w:color w:val="auto"/>
                <w:sz w:val="24"/>
                <w:szCs w:val="24"/>
              </w:rPr>
            </w:pPr>
            <w:r>
              <w:rPr>
                <w:rFonts w:hint="eastAsia" w:cs="宋体"/>
                <w:color w:val="auto"/>
                <w:sz w:val="24"/>
                <w:szCs w:val="24"/>
              </w:rPr>
              <w:t>本项目主要用水为员工生活用水、食堂用水、</w:t>
            </w:r>
            <w:r>
              <w:rPr>
                <w:rFonts w:hint="eastAsia" w:cs="宋体"/>
                <w:color w:val="auto"/>
                <w:sz w:val="24"/>
                <w:szCs w:val="24"/>
                <w:lang w:eastAsia="zh-CN"/>
              </w:rPr>
              <w:t>纯水制备系统用水</w:t>
            </w:r>
            <w:r>
              <w:rPr>
                <w:rFonts w:hint="eastAsia" w:cs="宋体"/>
                <w:color w:val="auto"/>
                <w:sz w:val="24"/>
                <w:szCs w:val="24"/>
              </w:rPr>
              <w:t>。</w:t>
            </w:r>
          </w:p>
          <w:p>
            <w:pPr>
              <w:autoSpaceDE w:val="0"/>
              <w:autoSpaceDN w:val="0"/>
              <w:adjustRightInd w:val="0"/>
              <w:spacing w:line="360" w:lineRule="auto"/>
              <w:ind w:firstLine="480" w:firstLineChars="200"/>
              <w:jc w:val="left"/>
              <w:rPr>
                <w:sz w:val="24"/>
                <w:szCs w:val="24"/>
              </w:rPr>
            </w:pPr>
            <w:r>
              <w:rPr>
                <w:rFonts w:hint="eastAsia" w:cs="宋体"/>
                <w:color w:val="auto"/>
                <w:sz w:val="24"/>
                <w:szCs w:val="24"/>
              </w:rPr>
              <w:t>（</w:t>
            </w:r>
            <w:r>
              <w:rPr>
                <w:color w:val="auto"/>
                <w:sz w:val="24"/>
                <w:szCs w:val="24"/>
              </w:rPr>
              <w:t>1</w:t>
            </w:r>
            <w:r>
              <w:rPr>
                <w:rFonts w:hint="eastAsia" w:cs="宋体"/>
                <w:color w:val="auto"/>
                <w:sz w:val="24"/>
                <w:szCs w:val="24"/>
              </w:rPr>
              <w:t>）员工生活</w:t>
            </w:r>
            <w:r>
              <w:rPr>
                <w:rFonts w:hint="eastAsia" w:cs="宋体"/>
                <w:sz w:val="24"/>
                <w:szCs w:val="24"/>
              </w:rPr>
              <w:t>用水：</w:t>
            </w:r>
          </w:p>
          <w:p>
            <w:pPr>
              <w:autoSpaceDE w:val="0"/>
              <w:autoSpaceDN w:val="0"/>
              <w:adjustRightInd w:val="0"/>
              <w:spacing w:line="360" w:lineRule="auto"/>
              <w:ind w:firstLine="480" w:firstLineChars="200"/>
              <w:rPr>
                <w:rFonts w:cs="宋体"/>
                <w:sz w:val="24"/>
                <w:szCs w:val="24"/>
              </w:rPr>
            </w:pPr>
            <w:r>
              <w:rPr>
                <w:rFonts w:hint="eastAsia" w:cs="宋体"/>
                <w:sz w:val="24"/>
                <w:szCs w:val="24"/>
              </w:rPr>
              <w:t>本次项目劳动定员为4</w:t>
            </w:r>
            <w:r>
              <w:rPr>
                <w:rFonts w:hint="eastAsia"/>
                <w:sz w:val="24"/>
                <w:szCs w:val="24"/>
              </w:rPr>
              <w:t>0</w:t>
            </w:r>
            <w:r>
              <w:rPr>
                <w:rFonts w:hint="eastAsia" w:cs="宋体"/>
                <w:sz w:val="24"/>
                <w:szCs w:val="24"/>
              </w:rPr>
              <w:t>人，在项目区内食宿，年工作为</w:t>
            </w:r>
            <w:r>
              <w:rPr>
                <w:rFonts w:hint="eastAsia"/>
                <w:sz w:val="24"/>
                <w:szCs w:val="24"/>
              </w:rPr>
              <w:t>300</w:t>
            </w:r>
            <w:r>
              <w:rPr>
                <w:rFonts w:hint="eastAsia" w:cs="宋体"/>
                <w:sz w:val="24"/>
                <w:szCs w:val="24"/>
              </w:rPr>
              <w:t>天，住宿员工用水标准按150L/人·天计，则住宿员工用水量为1800</w:t>
            </w:r>
            <w:r>
              <w:rPr>
                <w:sz w:val="24"/>
                <w:szCs w:val="24"/>
              </w:rPr>
              <w:t>t/a</w:t>
            </w:r>
            <w:r>
              <w:rPr>
                <w:rFonts w:hint="eastAsia" w:cs="宋体"/>
                <w:sz w:val="24"/>
                <w:szCs w:val="24"/>
              </w:rPr>
              <w:t>（6</w:t>
            </w:r>
            <w:r>
              <w:rPr>
                <w:sz w:val="24"/>
                <w:szCs w:val="24"/>
              </w:rPr>
              <w:t>t/d</w:t>
            </w:r>
            <w:r>
              <w:rPr>
                <w:rFonts w:hint="eastAsia" w:cs="宋体"/>
                <w:sz w:val="24"/>
                <w:szCs w:val="24"/>
              </w:rPr>
              <w:t>），排污系数按</w:t>
            </w:r>
            <w:r>
              <w:rPr>
                <w:sz w:val="24"/>
                <w:szCs w:val="24"/>
              </w:rPr>
              <w:t>0.8</w:t>
            </w:r>
            <w:r>
              <w:rPr>
                <w:rFonts w:hint="eastAsia" w:cs="宋体"/>
                <w:sz w:val="24"/>
                <w:szCs w:val="24"/>
              </w:rPr>
              <w:t>计，则住宿员工生活污水排放量为1440</w:t>
            </w:r>
            <w:r>
              <w:rPr>
                <w:sz w:val="24"/>
                <w:szCs w:val="24"/>
              </w:rPr>
              <w:t>t/a</w:t>
            </w:r>
            <w:r>
              <w:rPr>
                <w:rFonts w:hint="eastAsia" w:cs="宋体"/>
                <w:sz w:val="24"/>
                <w:szCs w:val="24"/>
              </w:rPr>
              <w:t>（4.8</w:t>
            </w:r>
            <w:r>
              <w:rPr>
                <w:sz w:val="24"/>
                <w:szCs w:val="24"/>
              </w:rPr>
              <w:t>t/d</w:t>
            </w:r>
            <w:r>
              <w:rPr>
                <w:rFonts w:hint="eastAsia" w:cs="宋体"/>
                <w:sz w:val="24"/>
                <w:szCs w:val="24"/>
              </w:rPr>
              <w:t>）。</w:t>
            </w:r>
            <w:r>
              <w:rPr>
                <w:sz w:val="24"/>
                <w:szCs w:val="24"/>
              </w:rPr>
              <w:t>评价要求生活污水经化粪池处理后纳管进入宿州市</w:t>
            </w:r>
            <w:r>
              <w:rPr>
                <w:rFonts w:hint="eastAsia"/>
                <w:sz w:val="24"/>
                <w:szCs w:val="24"/>
              </w:rPr>
              <w:t>经济技术开发区</w:t>
            </w:r>
            <w:r>
              <w:rPr>
                <w:sz w:val="24"/>
                <w:szCs w:val="24"/>
              </w:rPr>
              <w:t>污水处理厂处理。</w:t>
            </w:r>
          </w:p>
          <w:p>
            <w:pPr>
              <w:spacing w:line="360" w:lineRule="auto"/>
              <w:ind w:firstLine="480" w:firstLineChars="200"/>
              <w:rPr>
                <w:rFonts w:cs="宋体"/>
                <w:sz w:val="24"/>
                <w:szCs w:val="24"/>
              </w:rPr>
            </w:pPr>
            <w:r>
              <w:rPr>
                <w:rFonts w:hint="eastAsia" w:cs="宋体"/>
                <w:sz w:val="24"/>
                <w:szCs w:val="24"/>
              </w:rPr>
              <w:t>（2）食堂用水</w:t>
            </w:r>
          </w:p>
          <w:p>
            <w:pPr>
              <w:spacing w:line="360" w:lineRule="auto"/>
              <w:ind w:firstLine="480" w:firstLineChars="200"/>
              <w:rPr>
                <w:rFonts w:cs="宋体"/>
                <w:sz w:val="24"/>
                <w:szCs w:val="24"/>
              </w:rPr>
            </w:pPr>
            <w:r>
              <w:rPr>
                <w:rFonts w:hint="eastAsia" w:cs="宋体"/>
                <w:sz w:val="24"/>
                <w:szCs w:val="24"/>
              </w:rPr>
              <w:t>本项目食堂供应员工三餐，就餐人数按40人计算，用水定额取25L/人·天，则食堂用水量为300</w:t>
            </w:r>
            <w:r>
              <w:rPr>
                <w:sz w:val="24"/>
                <w:szCs w:val="24"/>
              </w:rPr>
              <w:t>t/a</w:t>
            </w:r>
            <w:r>
              <w:rPr>
                <w:rFonts w:hint="eastAsia" w:cs="宋体"/>
                <w:sz w:val="24"/>
                <w:szCs w:val="24"/>
              </w:rPr>
              <w:t>（1</w:t>
            </w:r>
            <w:r>
              <w:rPr>
                <w:sz w:val="24"/>
                <w:szCs w:val="24"/>
              </w:rPr>
              <w:t>t/d</w:t>
            </w:r>
            <w:r>
              <w:rPr>
                <w:rFonts w:hint="eastAsia" w:cs="宋体"/>
                <w:sz w:val="24"/>
                <w:szCs w:val="24"/>
              </w:rPr>
              <w:t>），排污系数按</w:t>
            </w:r>
            <w:r>
              <w:rPr>
                <w:sz w:val="24"/>
                <w:szCs w:val="24"/>
              </w:rPr>
              <w:t>0.8</w:t>
            </w:r>
            <w:r>
              <w:rPr>
                <w:rFonts w:hint="eastAsia" w:cs="宋体"/>
                <w:sz w:val="24"/>
                <w:szCs w:val="24"/>
              </w:rPr>
              <w:t>计，则食堂废水排放量为240</w:t>
            </w:r>
            <w:r>
              <w:rPr>
                <w:sz w:val="24"/>
                <w:szCs w:val="24"/>
              </w:rPr>
              <w:t>t/a</w:t>
            </w:r>
            <w:r>
              <w:rPr>
                <w:rFonts w:hint="eastAsia" w:cs="宋体"/>
                <w:sz w:val="24"/>
                <w:szCs w:val="24"/>
              </w:rPr>
              <w:t>（0.8</w:t>
            </w:r>
            <w:r>
              <w:rPr>
                <w:sz w:val="24"/>
                <w:szCs w:val="24"/>
              </w:rPr>
              <w:t>t/d</w:t>
            </w:r>
            <w:r>
              <w:rPr>
                <w:rFonts w:hint="eastAsia" w:cs="宋体"/>
                <w:sz w:val="24"/>
                <w:szCs w:val="24"/>
              </w:rPr>
              <w:t>）。</w:t>
            </w:r>
            <w:r>
              <w:rPr>
                <w:sz w:val="24"/>
                <w:szCs w:val="24"/>
              </w:rPr>
              <w:t>评价要求</w:t>
            </w:r>
            <w:r>
              <w:rPr>
                <w:rFonts w:hint="eastAsia"/>
                <w:sz w:val="24"/>
                <w:szCs w:val="24"/>
              </w:rPr>
              <w:t>食堂废水</w:t>
            </w:r>
            <w:r>
              <w:rPr>
                <w:sz w:val="24"/>
                <w:szCs w:val="24"/>
              </w:rPr>
              <w:t>经</w:t>
            </w:r>
            <w:r>
              <w:rPr>
                <w:rFonts w:hint="eastAsia"/>
                <w:sz w:val="24"/>
                <w:szCs w:val="24"/>
              </w:rPr>
              <w:t>隔油池+</w:t>
            </w:r>
            <w:r>
              <w:rPr>
                <w:sz w:val="24"/>
                <w:szCs w:val="24"/>
              </w:rPr>
              <w:t>化粪池处理后纳管进入宿州市</w:t>
            </w:r>
            <w:r>
              <w:rPr>
                <w:rFonts w:hint="eastAsia"/>
                <w:sz w:val="24"/>
                <w:szCs w:val="24"/>
              </w:rPr>
              <w:t>经济技术开发区</w:t>
            </w:r>
            <w:r>
              <w:rPr>
                <w:sz w:val="24"/>
                <w:szCs w:val="24"/>
              </w:rPr>
              <w:t>污水处理厂处理。</w:t>
            </w:r>
          </w:p>
          <w:p>
            <w:pPr>
              <w:spacing w:line="360" w:lineRule="auto"/>
              <w:ind w:firstLine="480" w:firstLineChars="200"/>
              <w:rPr>
                <w:rFonts w:hint="eastAsia" w:eastAsia="宋体" w:cs="宋体"/>
                <w:color w:val="auto"/>
                <w:sz w:val="24"/>
                <w:szCs w:val="24"/>
                <w:lang w:eastAsia="zh-CN"/>
              </w:rPr>
            </w:pPr>
            <w:r>
              <w:rPr>
                <w:rFonts w:hint="eastAsia" w:cs="宋体"/>
                <w:color w:val="auto"/>
                <w:sz w:val="24"/>
                <w:szCs w:val="24"/>
              </w:rPr>
              <w:t>（3）</w:t>
            </w:r>
            <w:r>
              <w:rPr>
                <w:rFonts w:hint="eastAsia" w:cs="宋体"/>
                <w:color w:val="auto"/>
                <w:sz w:val="24"/>
                <w:szCs w:val="24"/>
                <w:lang w:eastAsia="zh-CN"/>
              </w:rPr>
              <w:t>纯水制备系统用水</w:t>
            </w:r>
          </w:p>
          <w:p>
            <w:pPr>
              <w:spacing w:line="360" w:lineRule="auto"/>
              <w:ind w:firstLine="480" w:firstLineChars="200"/>
              <w:rPr>
                <w:sz w:val="24"/>
              </w:rPr>
            </w:pPr>
            <w:r>
              <w:rPr>
                <w:bCs/>
                <w:color w:val="auto"/>
                <w:sz w:val="24"/>
              </w:rPr>
              <w:t>本项目设置了1台2t/h的蒸汽锅炉，来为饲料制粒过程中提供蒸汽，蒸汽锅炉</w:t>
            </w:r>
            <w:r>
              <w:rPr>
                <w:color w:val="auto"/>
                <w:sz w:val="24"/>
              </w:rPr>
              <w:t>采用管道天然气作为能源。项目锅炉配套设置</w:t>
            </w:r>
            <w:r>
              <w:rPr>
                <w:rFonts w:hint="eastAsia"/>
                <w:color w:val="auto"/>
                <w:sz w:val="24"/>
                <w:lang w:eastAsia="zh-CN"/>
              </w:rPr>
              <w:t>纯</w:t>
            </w:r>
            <w:r>
              <w:rPr>
                <w:color w:val="auto"/>
                <w:sz w:val="24"/>
              </w:rPr>
              <w:t>水制备系统，新鲜水需采</w:t>
            </w:r>
            <w:r>
              <w:rPr>
                <w:color w:val="000000"/>
                <w:sz w:val="24"/>
              </w:rPr>
              <w:t>用</w:t>
            </w:r>
            <w:r>
              <w:rPr>
                <w:rFonts w:hint="eastAsia"/>
                <w:color w:val="000000"/>
                <w:sz w:val="24"/>
                <w:lang w:eastAsia="zh-CN"/>
              </w:rPr>
              <w:t>纯</w:t>
            </w:r>
            <w:r>
              <w:rPr>
                <w:color w:val="000000"/>
                <w:sz w:val="24"/>
              </w:rPr>
              <w:t>水</w:t>
            </w:r>
            <w:r>
              <w:rPr>
                <w:rFonts w:hint="eastAsia"/>
                <w:color w:val="000000"/>
                <w:sz w:val="24"/>
                <w:lang w:eastAsia="zh-CN"/>
              </w:rPr>
              <w:t>制备系统</w:t>
            </w:r>
            <w:r>
              <w:rPr>
                <w:color w:val="000000"/>
                <w:sz w:val="24"/>
              </w:rPr>
              <w:t>处理后使用</w:t>
            </w:r>
            <w:r>
              <w:rPr>
                <w:rFonts w:hint="eastAsia"/>
                <w:color w:val="000000"/>
                <w:sz w:val="24"/>
              </w:rPr>
              <w:t>，</w:t>
            </w:r>
            <w:r>
              <w:rPr>
                <w:color w:val="000000"/>
                <w:sz w:val="24"/>
              </w:rPr>
              <w:t>每天</w:t>
            </w:r>
            <w:r>
              <w:rPr>
                <w:rFonts w:hint="eastAsia"/>
                <w:color w:val="000000"/>
                <w:sz w:val="24"/>
              </w:rPr>
              <w:t>蒸汽</w:t>
            </w:r>
            <w:r>
              <w:rPr>
                <w:color w:val="000000"/>
                <w:sz w:val="24"/>
              </w:rPr>
              <w:t>锅炉</w:t>
            </w:r>
            <w:r>
              <w:rPr>
                <w:rFonts w:hint="eastAsia"/>
                <w:color w:val="000000"/>
                <w:sz w:val="24"/>
              </w:rPr>
              <w:t>的</w:t>
            </w:r>
            <w:r>
              <w:rPr>
                <w:rFonts w:hint="eastAsia"/>
                <w:color w:val="000000"/>
                <w:sz w:val="24"/>
                <w:lang w:eastAsia="zh-CN"/>
              </w:rPr>
              <w:t>纯</w:t>
            </w:r>
            <w:r>
              <w:rPr>
                <w:color w:val="000000"/>
                <w:sz w:val="24"/>
              </w:rPr>
              <w:t>水用量约</w:t>
            </w:r>
            <w:r>
              <w:rPr>
                <w:rFonts w:hint="eastAsia"/>
                <w:color w:val="000000"/>
                <w:sz w:val="24"/>
              </w:rPr>
              <w:t>14</w:t>
            </w:r>
            <w:r>
              <w:rPr>
                <w:color w:val="000000"/>
                <w:sz w:val="24"/>
              </w:rPr>
              <w:t>t/d（</w:t>
            </w:r>
            <w:r>
              <w:rPr>
                <w:rFonts w:hint="eastAsia"/>
                <w:color w:val="000000"/>
                <w:sz w:val="24"/>
              </w:rPr>
              <w:t>4200</w:t>
            </w:r>
            <w:r>
              <w:rPr>
                <w:color w:val="000000"/>
                <w:sz w:val="24"/>
              </w:rPr>
              <w:t>t/a），</w:t>
            </w:r>
            <w:r>
              <w:rPr>
                <w:rFonts w:hint="eastAsia"/>
                <w:color w:val="000000"/>
                <w:sz w:val="24"/>
                <w:lang w:eastAsia="zh-CN"/>
              </w:rPr>
              <w:t>纯</w:t>
            </w:r>
            <w:r>
              <w:rPr>
                <w:color w:val="000000"/>
                <w:sz w:val="24"/>
              </w:rPr>
              <w:t>水</w:t>
            </w:r>
            <w:r>
              <w:rPr>
                <w:rFonts w:hint="eastAsia"/>
                <w:color w:val="000000"/>
                <w:sz w:val="24"/>
                <w:lang w:eastAsia="zh-CN"/>
              </w:rPr>
              <w:t>制备</w:t>
            </w:r>
            <w:r>
              <w:rPr>
                <w:color w:val="000000"/>
                <w:sz w:val="24"/>
              </w:rPr>
              <w:t>系统采用离子交换树脂，</w:t>
            </w:r>
            <w:r>
              <w:rPr>
                <w:rFonts w:hint="eastAsia"/>
                <w:color w:val="000000"/>
                <w:sz w:val="24"/>
                <w:lang w:eastAsia="zh-CN"/>
              </w:rPr>
              <w:t>纯水</w:t>
            </w:r>
            <w:r>
              <w:rPr>
                <w:color w:val="000000"/>
                <w:sz w:val="24"/>
              </w:rPr>
              <w:t>制备效率65%，则锅炉用新鲜水量为</w:t>
            </w:r>
            <w:r>
              <w:rPr>
                <w:rFonts w:hint="eastAsia"/>
                <w:color w:val="000000"/>
                <w:sz w:val="24"/>
              </w:rPr>
              <w:t>21.54</w:t>
            </w:r>
            <w:r>
              <w:rPr>
                <w:color w:val="000000"/>
                <w:sz w:val="24"/>
              </w:rPr>
              <w:t>t/d（</w:t>
            </w:r>
            <w:r>
              <w:rPr>
                <w:rFonts w:hint="eastAsia"/>
                <w:color w:val="000000"/>
                <w:sz w:val="24"/>
              </w:rPr>
              <w:t>6462</w:t>
            </w:r>
            <w:r>
              <w:rPr>
                <w:color w:val="000000"/>
                <w:sz w:val="24"/>
              </w:rPr>
              <w:t>t/a），</w:t>
            </w:r>
            <w:r>
              <w:rPr>
                <w:rFonts w:hint="eastAsia"/>
                <w:color w:val="000000"/>
                <w:sz w:val="24"/>
                <w:lang w:eastAsia="zh-CN"/>
              </w:rPr>
              <w:t>纯</w:t>
            </w:r>
            <w:r>
              <w:rPr>
                <w:color w:val="000000"/>
                <w:sz w:val="24"/>
              </w:rPr>
              <w:t>水</w:t>
            </w:r>
            <w:r>
              <w:rPr>
                <w:rFonts w:hint="eastAsia"/>
                <w:color w:val="000000"/>
                <w:sz w:val="24"/>
                <w:lang w:eastAsia="zh-CN"/>
              </w:rPr>
              <w:t>制备</w:t>
            </w:r>
            <w:r>
              <w:rPr>
                <w:color w:val="000000"/>
                <w:sz w:val="24"/>
              </w:rPr>
              <w:t>系统产生浓水量为</w:t>
            </w:r>
            <w:r>
              <w:rPr>
                <w:rFonts w:hint="eastAsia"/>
                <w:color w:val="000000"/>
                <w:sz w:val="24"/>
              </w:rPr>
              <w:t>7.539</w:t>
            </w:r>
            <w:r>
              <w:rPr>
                <w:color w:val="000000"/>
                <w:sz w:val="24"/>
              </w:rPr>
              <w:t>t/d（</w:t>
            </w:r>
            <w:r>
              <w:rPr>
                <w:rFonts w:hint="eastAsia"/>
                <w:color w:val="000000"/>
                <w:sz w:val="24"/>
              </w:rPr>
              <w:t>226</w:t>
            </w:r>
            <w:r>
              <w:rPr>
                <w:rFonts w:hint="eastAsia"/>
                <w:color w:val="000000"/>
                <w:sz w:val="24"/>
                <w:lang w:val="en-US" w:eastAsia="zh-CN"/>
              </w:rPr>
              <w:t>2</w:t>
            </w:r>
            <w:r>
              <w:rPr>
                <w:color w:val="000000"/>
                <w:sz w:val="24"/>
              </w:rPr>
              <w:t>t/a）。</w:t>
            </w:r>
          </w:p>
          <w:p>
            <w:pPr>
              <w:widowControl/>
              <w:adjustRightInd w:val="0"/>
              <w:snapToGrid w:val="0"/>
              <w:spacing w:line="360" w:lineRule="auto"/>
              <w:ind w:firstLine="480" w:firstLineChars="200"/>
              <w:rPr>
                <w:rFonts w:cs="宋体"/>
                <w:sz w:val="24"/>
                <w:szCs w:val="24"/>
              </w:rPr>
            </w:pPr>
            <w:r>
              <w:rPr>
                <w:rFonts w:hint="eastAsia" w:cs="宋体"/>
                <w:sz w:val="24"/>
              </w:rPr>
              <w:t>根据</w:t>
            </w:r>
            <w:r>
              <w:rPr>
                <w:rFonts w:ascii="宋体" w:hAnsi="宋体" w:cs="宋体"/>
                <w:sz w:val="24"/>
              </w:rPr>
              <w:t>《</w:t>
            </w:r>
            <w:r>
              <w:rPr>
                <w:rFonts w:hint="eastAsia" w:ascii="宋体" w:hAnsi="宋体" w:cs="宋体"/>
                <w:sz w:val="24"/>
              </w:rPr>
              <w:t>排放源统计调查产排污核算方法和系数手册</w:t>
            </w:r>
            <w:r>
              <w:rPr>
                <w:rFonts w:ascii="宋体" w:hAnsi="宋体" w:cs="宋体"/>
                <w:sz w:val="24"/>
              </w:rPr>
              <w:t>》中</w:t>
            </w:r>
            <w:r>
              <w:rPr>
                <w:sz w:val="24"/>
              </w:rPr>
              <w:t>4430</w:t>
            </w:r>
            <w:r>
              <w:rPr>
                <w:rFonts w:ascii="宋体" w:hAnsi="宋体" w:cs="宋体"/>
                <w:sz w:val="24"/>
              </w:rPr>
              <w:t>工业锅炉</w:t>
            </w:r>
            <w:r>
              <w:rPr>
                <w:rFonts w:hint="eastAsia" w:ascii="宋体" w:hAnsi="宋体" w:cs="宋体"/>
                <w:sz w:val="24"/>
              </w:rPr>
              <w:t>（热力生产和供应行业）行业系数手册可知</w:t>
            </w:r>
            <w:r>
              <w:rPr>
                <w:rFonts w:hint="eastAsia" w:cs="宋体"/>
                <w:sz w:val="24"/>
              </w:rPr>
              <w:t>，燃气锅炉</w:t>
            </w:r>
            <w:r>
              <w:rPr>
                <w:rFonts w:hint="eastAsia" w:cs="宋体"/>
                <w:sz w:val="24"/>
                <w:lang w:eastAsia="zh-CN"/>
              </w:rPr>
              <w:t>纯水制备废水</w:t>
            </w:r>
            <w:r>
              <w:rPr>
                <w:rFonts w:hint="eastAsia" w:cs="宋体"/>
                <w:sz w:val="24"/>
              </w:rPr>
              <w:t>中COD产污系数为1080g/万立方米-原料。本项目蒸汽锅炉</w:t>
            </w:r>
            <w:r>
              <w:rPr>
                <w:sz w:val="24"/>
              </w:rPr>
              <w:t>年耗天然气量为</w:t>
            </w:r>
            <w:r>
              <w:rPr>
                <w:rFonts w:hint="eastAsia"/>
                <w:sz w:val="24"/>
              </w:rPr>
              <w:t>33.6</w:t>
            </w:r>
            <w:r>
              <w:rPr>
                <w:rFonts w:hint="eastAsia" w:cs="宋体"/>
                <w:color w:val="000000"/>
                <w:sz w:val="24"/>
              </w:rPr>
              <w:t>万</w:t>
            </w:r>
            <w:r>
              <w:rPr>
                <w:sz w:val="24"/>
              </w:rPr>
              <w:t>Nm</w:t>
            </w:r>
            <w:r>
              <w:rPr>
                <w:sz w:val="24"/>
                <w:vertAlign w:val="superscript"/>
              </w:rPr>
              <w:t>3</w:t>
            </w:r>
            <w:r>
              <w:rPr>
                <w:sz w:val="24"/>
              </w:rPr>
              <w:t>/a</w:t>
            </w:r>
            <w:r>
              <w:rPr>
                <w:rFonts w:hint="eastAsia"/>
                <w:sz w:val="24"/>
              </w:rPr>
              <w:t>，</w:t>
            </w:r>
            <w:r>
              <w:rPr>
                <w:rFonts w:hint="eastAsia" w:cs="宋体"/>
                <w:sz w:val="24"/>
              </w:rPr>
              <w:t>则项目</w:t>
            </w:r>
            <w:r>
              <w:rPr>
                <w:rFonts w:hint="eastAsia" w:cs="宋体"/>
                <w:sz w:val="24"/>
                <w:lang w:eastAsia="zh-CN"/>
              </w:rPr>
              <w:t>纯水制备废水</w:t>
            </w:r>
            <w:r>
              <w:rPr>
                <w:rFonts w:hint="eastAsia" w:cs="宋体"/>
                <w:sz w:val="24"/>
              </w:rPr>
              <w:t>中COD产生量为36.288kg/a。本项目</w:t>
            </w:r>
            <w:r>
              <w:rPr>
                <w:rFonts w:hint="eastAsia" w:cs="宋体"/>
                <w:sz w:val="24"/>
                <w:lang w:eastAsia="zh-CN"/>
              </w:rPr>
              <w:t>纯水制备废水</w:t>
            </w:r>
            <w:r>
              <w:rPr>
                <w:rFonts w:hint="eastAsia" w:cs="宋体"/>
                <w:sz w:val="24"/>
              </w:rPr>
              <w:t>中污染物主要为COD和SS，COD产生浓度约为16.05mg/L，SS产生浓度约为60mg/L，污染物浓度较低，属于清净下水，可直接排入区域污水管网，纳入宿州市经济技术开发区污水处理厂进行处理，处理达标后排入运粮河。</w:t>
            </w:r>
          </w:p>
          <w:p>
            <w:pPr>
              <w:spacing w:line="360" w:lineRule="auto"/>
              <w:ind w:firstLine="480" w:firstLineChars="200"/>
              <w:rPr>
                <w:b/>
                <w:bCs/>
                <w:sz w:val="24"/>
                <w:szCs w:val="24"/>
              </w:rPr>
            </w:pPr>
            <w:r>
              <w:rPr>
                <w:rFonts w:hint="eastAsia" w:cs="宋体"/>
                <w:sz w:val="24"/>
                <w:szCs w:val="24"/>
              </w:rPr>
              <w:t>本次项目用水情况详见表</w:t>
            </w:r>
            <w:r>
              <w:rPr>
                <w:sz w:val="24"/>
                <w:szCs w:val="24"/>
              </w:rPr>
              <w:t>2-</w:t>
            </w:r>
            <w:r>
              <w:rPr>
                <w:rFonts w:hint="eastAsia"/>
                <w:sz w:val="24"/>
                <w:szCs w:val="24"/>
              </w:rPr>
              <w:t>6</w:t>
            </w:r>
            <w:r>
              <w:rPr>
                <w:rFonts w:hint="eastAsia" w:cs="宋体"/>
                <w:sz w:val="24"/>
                <w:szCs w:val="24"/>
              </w:rPr>
              <w:t>：</w:t>
            </w:r>
          </w:p>
          <w:p>
            <w:pPr>
              <w:spacing w:line="360" w:lineRule="auto"/>
              <w:jc w:val="center"/>
              <w:rPr>
                <w:b/>
                <w:bCs/>
                <w:sz w:val="24"/>
                <w:szCs w:val="24"/>
              </w:rPr>
            </w:pPr>
            <w:r>
              <w:rPr>
                <w:rFonts w:hint="eastAsia" w:cs="宋体"/>
                <w:b/>
                <w:bCs/>
                <w:sz w:val="24"/>
                <w:szCs w:val="24"/>
              </w:rPr>
              <w:t>表</w:t>
            </w:r>
            <w:r>
              <w:rPr>
                <w:b/>
                <w:bCs/>
                <w:sz w:val="24"/>
                <w:szCs w:val="24"/>
              </w:rPr>
              <w:t>2-</w:t>
            </w:r>
            <w:r>
              <w:rPr>
                <w:rFonts w:hint="eastAsia"/>
                <w:b/>
                <w:bCs/>
                <w:sz w:val="24"/>
                <w:szCs w:val="24"/>
              </w:rPr>
              <w:t xml:space="preserve">6  </w:t>
            </w:r>
            <w:r>
              <w:rPr>
                <w:rFonts w:hint="eastAsia" w:cs="宋体"/>
                <w:b/>
                <w:bCs/>
                <w:sz w:val="24"/>
                <w:szCs w:val="24"/>
              </w:rPr>
              <w:t>本次项目用水情况一览表单位</w:t>
            </w:r>
            <w:r>
              <w:rPr>
                <w:b/>
                <w:bCs/>
                <w:sz w:val="24"/>
                <w:szCs w:val="24"/>
              </w:rPr>
              <w:t>t/a</w:t>
            </w:r>
          </w:p>
          <w:tbl>
            <w:tblPr>
              <w:tblStyle w:val="23"/>
              <w:tblW w:w="76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7"/>
              <w:gridCol w:w="1198"/>
              <w:gridCol w:w="1117"/>
              <w:gridCol w:w="1180"/>
              <w:gridCol w:w="34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86" w:type="pct"/>
                  <w:tcBorders>
                    <w:top w:val="single" w:color="auto" w:sz="4" w:space="0"/>
                    <w:left w:val="single" w:color="auto" w:sz="4" w:space="0"/>
                    <w:bottom w:val="single" w:color="auto" w:sz="4" w:space="0"/>
                    <w:right w:val="single" w:color="auto" w:sz="4" w:space="0"/>
                  </w:tcBorders>
                  <w:vAlign w:val="center"/>
                </w:tcPr>
                <w:p>
                  <w:pPr>
                    <w:pStyle w:val="17"/>
                  </w:pPr>
                  <w:r>
                    <w:rPr>
                      <w:rFonts w:hint="eastAsia" w:cs="宋体"/>
                    </w:rPr>
                    <w:t>序号</w:t>
                  </w:r>
                </w:p>
              </w:tc>
              <w:tc>
                <w:tcPr>
                  <w:tcW w:w="780" w:type="pct"/>
                  <w:tcBorders>
                    <w:top w:val="single" w:color="auto" w:sz="4" w:space="0"/>
                    <w:left w:val="single" w:color="auto" w:sz="4" w:space="0"/>
                    <w:bottom w:val="single" w:color="auto" w:sz="4" w:space="0"/>
                    <w:right w:val="single" w:color="auto" w:sz="4" w:space="0"/>
                  </w:tcBorders>
                  <w:vAlign w:val="center"/>
                </w:tcPr>
                <w:p>
                  <w:pPr>
                    <w:pStyle w:val="17"/>
                  </w:pPr>
                  <w:r>
                    <w:rPr>
                      <w:rFonts w:hint="eastAsia" w:cs="宋体"/>
                    </w:rPr>
                    <w:t>用水环节</w:t>
                  </w:r>
                </w:p>
              </w:tc>
              <w:tc>
                <w:tcPr>
                  <w:tcW w:w="727" w:type="pct"/>
                  <w:tcBorders>
                    <w:top w:val="single" w:color="auto" w:sz="4" w:space="0"/>
                    <w:left w:val="single" w:color="auto" w:sz="4" w:space="0"/>
                    <w:bottom w:val="single" w:color="auto" w:sz="4" w:space="0"/>
                    <w:right w:val="single" w:color="auto" w:sz="4" w:space="0"/>
                  </w:tcBorders>
                  <w:vAlign w:val="center"/>
                </w:tcPr>
                <w:p>
                  <w:pPr>
                    <w:pStyle w:val="17"/>
                  </w:pPr>
                  <w:r>
                    <w:rPr>
                      <w:rFonts w:hint="eastAsia" w:cs="宋体"/>
                    </w:rPr>
                    <w:t>用水量</w:t>
                  </w:r>
                </w:p>
              </w:tc>
              <w:tc>
                <w:tcPr>
                  <w:tcW w:w="768" w:type="pct"/>
                  <w:tcBorders>
                    <w:top w:val="single" w:color="auto" w:sz="4" w:space="0"/>
                    <w:left w:val="single" w:color="auto" w:sz="4" w:space="0"/>
                    <w:bottom w:val="single" w:color="auto" w:sz="4" w:space="0"/>
                    <w:right w:val="single" w:color="auto" w:sz="4" w:space="0"/>
                  </w:tcBorders>
                  <w:vAlign w:val="center"/>
                </w:tcPr>
                <w:p>
                  <w:pPr>
                    <w:pStyle w:val="17"/>
                  </w:pPr>
                  <w:r>
                    <w:rPr>
                      <w:rFonts w:hint="eastAsia" w:cs="宋体"/>
                    </w:rPr>
                    <w:t>废水量</w:t>
                  </w:r>
                </w:p>
              </w:tc>
              <w:tc>
                <w:tcPr>
                  <w:tcW w:w="2237" w:type="pct"/>
                  <w:tcBorders>
                    <w:top w:val="single" w:color="auto" w:sz="4" w:space="0"/>
                    <w:left w:val="single" w:color="auto" w:sz="4" w:space="0"/>
                    <w:bottom w:val="single" w:color="auto" w:sz="4" w:space="0"/>
                    <w:right w:val="single" w:color="auto" w:sz="4" w:space="0"/>
                  </w:tcBorders>
                  <w:vAlign w:val="center"/>
                </w:tcPr>
                <w:p>
                  <w:pPr>
                    <w:pStyle w:val="17"/>
                  </w:pPr>
                  <w:r>
                    <w:rPr>
                      <w:rFonts w:hint="eastAsia" w:cs="宋体"/>
                    </w:rPr>
                    <w:t>废水排水去向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86" w:type="pct"/>
                  <w:tcBorders>
                    <w:top w:val="single" w:color="auto" w:sz="4" w:space="0"/>
                    <w:left w:val="single" w:color="auto" w:sz="4" w:space="0"/>
                    <w:bottom w:val="single" w:color="auto" w:sz="4" w:space="0"/>
                    <w:right w:val="single" w:color="auto" w:sz="4" w:space="0"/>
                  </w:tcBorders>
                  <w:vAlign w:val="center"/>
                </w:tcPr>
                <w:p>
                  <w:pPr>
                    <w:pStyle w:val="17"/>
                  </w:pPr>
                  <w:r>
                    <w:t>1</w:t>
                  </w:r>
                </w:p>
              </w:tc>
              <w:tc>
                <w:tcPr>
                  <w:tcW w:w="780" w:type="pct"/>
                  <w:tcBorders>
                    <w:top w:val="single" w:color="auto" w:sz="4" w:space="0"/>
                    <w:left w:val="single" w:color="auto" w:sz="4" w:space="0"/>
                    <w:bottom w:val="single" w:color="auto" w:sz="4" w:space="0"/>
                    <w:right w:val="single" w:color="auto" w:sz="4" w:space="0"/>
                  </w:tcBorders>
                  <w:vAlign w:val="center"/>
                </w:tcPr>
                <w:p>
                  <w:pPr>
                    <w:pStyle w:val="17"/>
                  </w:pPr>
                  <w:r>
                    <w:rPr>
                      <w:rFonts w:hint="eastAsia" w:cs="宋体"/>
                    </w:rPr>
                    <w:t>生活用水</w:t>
                  </w:r>
                </w:p>
              </w:tc>
              <w:tc>
                <w:tcPr>
                  <w:tcW w:w="727" w:type="pct"/>
                  <w:tcBorders>
                    <w:top w:val="single" w:color="auto" w:sz="4" w:space="0"/>
                    <w:left w:val="single" w:color="auto" w:sz="4" w:space="0"/>
                    <w:bottom w:val="single" w:color="auto" w:sz="4" w:space="0"/>
                    <w:right w:val="single" w:color="auto" w:sz="4" w:space="0"/>
                  </w:tcBorders>
                  <w:vAlign w:val="center"/>
                </w:tcPr>
                <w:p>
                  <w:pPr>
                    <w:pStyle w:val="17"/>
                  </w:pPr>
                  <w:r>
                    <w:rPr>
                      <w:rFonts w:hint="eastAsia"/>
                    </w:rPr>
                    <w:t>1800</w:t>
                  </w:r>
                </w:p>
              </w:tc>
              <w:tc>
                <w:tcPr>
                  <w:tcW w:w="768" w:type="pct"/>
                  <w:tcBorders>
                    <w:top w:val="single" w:color="auto" w:sz="4" w:space="0"/>
                    <w:left w:val="single" w:color="auto" w:sz="4" w:space="0"/>
                    <w:bottom w:val="single" w:color="auto" w:sz="4" w:space="0"/>
                    <w:right w:val="single" w:color="auto" w:sz="4" w:space="0"/>
                  </w:tcBorders>
                  <w:vAlign w:val="center"/>
                </w:tcPr>
                <w:p>
                  <w:pPr>
                    <w:pStyle w:val="17"/>
                  </w:pPr>
                  <w:r>
                    <w:rPr>
                      <w:rFonts w:hint="eastAsia"/>
                    </w:rPr>
                    <w:t>1440</w:t>
                  </w:r>
                </w:p>
              </w:tc>
              <w:tc>
                <w:tcPr>
                  <w:tcW w:w="2237" w:type="pct"/>
                  <w:tcBorders>
                    <w:top w:val="single" w:color="auto" w:sz="4" w:space="0"/>
                    <w:left w:val="single" w:color="auto" w:sz="4" w:space="0"/>
                    <w:bottom w:val="single" w:color="auto" w:sz="4" w:space="0"/>
                    <w:right w:val="single" w:color="auto" w:sz="4" w:space="0"/>
                  </w:tcBorders>
                  <w:vAlign w:val="center"/>
                </w:tcPr>
                <w:p>
                  <w:pPr>
                    <w:pStyle w:val="17"/>
                  </w:pPr>
                  <w:r>
                    <w:rPr>
                      <w:rFonts w:hint="eastAsia" w:cs="宋体"/>
                    </w:rPr>
                    <w:t>生活污水经化粪池处理后纳管，进入宿州市经济技术开发区污水处理厂集中处理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86" w:type="pct"/>
                  <w:tcBorders>
                    <w:top w:val="single" w:color="auto" w:sz="4" w:space="0"/>
                    <w:left w:val="single" w:color="auto" w:sz="4" w:space="0"/>
                    <w:bottom w:val="single" w:color="auto" w:sz="4" w:space="0"/>
                    <w:right w:val="single" w:color="auto" w:sz="4" w:space="0"/>
                  </w:tcBorders>
                  <w:vAlign w:val="center"/>
                </w:tcPr>
                <w:p>
                  <w:pPr>
                    <w:pStyle w:val="17"/>
                  </w:pPr>
                  <w:r>
                    <w:rPr>
                      <w:rFonts w:hint="eastAsia"/>
                    </w:rPr>
                    <w:t>2</w:t>
                  </w:r>
                </w:p>
              </w:tc>
              <w:tc>
                <w:tcPr>
                  <w:tcW w:w="780" w:type="pct"/>
                  <w:tcBorders>
                    <w:top w:val="single" w:color="auto" w:sz="4" w:space="0"/>
                    <w:left w:val="single" w:color="auto" w:sz="4" w:space="0"/>
                    <w:bottom w:val="single" w:color="auto" w:sz="4" w:space="0"/>
                    <w:right w:val="single" w:color="auto" w:sz="4" w:space="0"/>
                  </w:tcBorders>
                  <w:vAlign w:val="center"/>
                </w:tcPr>
                <w:p>
                  <w:pPr>
                    <w:pStyle w:val="17"/>
                    <w:rPr>
                      <w:rFonts w:cs="宋体"/>
                    </w:rPr>
                  </w:pPr>
                  <w:r>
                    <w:rPr>
                      <w:rFonts w:hint="eastAsia" w:cs="宋体"/>
                    </w:rPr>
                    <w:t>食堂用水</w:t>
                  </w:r>
                </w:p>
              </w:tc>
              <w:tc>
                <w:tcPr>
                  <w:tcW w:w="727" w:type="pct"/>
                  <w:tcBorders>
                    <w:top w:val="single" w:color="auto" w:sz="4" w:space="0"/>
                    <w:left w:val="single" w:color="auto" w:sz="4" w:space="0"/>
                    <w:bottom w:val="single" w:color="auto" w:sz="4" w:space="0"/>
                    <w:right w:val="single" w:color="auto" w:sz="4" w:space="0"/>
                  </w:tcBorders>
                  <w:vAlign w:val="center"/>
                </w:tcPr>
                <w:p>
                  <w:pPr>
                    <w:pStyle w:val="17"/>
                  </w:pPr>
                  <w:r>
                    <w:rPr>
                      <w:rFonts w:hint="eastAsia"/>
                    </w:rPr>
                    <w:t>300</w:t>
                  </w:r>
                </w:p>
              </w:tc>
              <w:tc>
                <w:tcPr>
                  <w:tcW w:w="768" w:type="pct"/>
                  <w:tcBorders>
                    <w:top w:val="single" w:color="auto" w:sz="4" w:space="0"/>
                    <w:left w:val="single" w:color="auto" w:sz="4" w:space="0"/>
                    <w:bottom w:val="single" w:color="auto" w:sz="4" w:space="0"/>
                    <w:right w:val="single" w:color="auto" w:sz="4" w:space="0"/>
                  </w:tcBorders>
                  <w:vAlign w:val="center"/>
                </w:tcPr>
                <w:p>
                  <w:pPr>
                    <w:pStyle w:val="17"/>
                  </w:pPr>
                  <w:r>
                    <w:rPr>
                      <w:rFonts w:hint="eastAsia"/>
                    </w:rPr>
                    <w:t>240</w:t>
                  </w:r>
                </w:p>
              </w:tc>
              <w:tc>
                <w:tcPr>
                  <w:tcW w:w="2237" w:type="pct"/>
                  <w:tcBorders>
                    <w:top w:val="single" w:color="auto" w:sz="4" w:space="0"/>
                    <w:left w:val="single" w:color="auto" w:sz="4" w:space="0"/>
                    <w:bottom w:val="single" w:color="auto" w:sz="4" w:space="0"/>
                    <w:right w:val="single" w:color="auto" w:sz="4" w:space="0"/>
                  </w:tcBorders>
                  <w:vAlign w:val="center"/>
                </w:tcPr>
                <w:p>
                  <w:pPr>
                    <w:pStyle w:val="17"/>
                  </w:pPr>
                  <w:r>
                    <w:rPr>
                      <w:rFonts w:hint="eastAsia" w:cs="宋体"/>
                    </w:rPr>
                    <w:t>食堂废水经隔油池+化粪池处理后纳管，进入宿州市经济技术开发区污水处理厂集中处理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2" w:hRule="atLeast"/>
                <w:jc w:val="center"/>
              </w:trPr>
              <w:tc>
                <w:tcPr>
                  <w:tcW w:w="486" w:type="pct"/>
                  <w:tcBorders>
                    <w:top w:val="single" w:color="auto" w:sz="4" w:space="0"/>
                    <w:left w:val="single" w:color="auto" w:sz="4" w:space="0"/>
                    <w:bottom w:val="single" w:color="auto" w:sz="4" w:space="0"/>
                    <w:right w:val="single" w:color="auto" w:sz="4" w:space="0"/>
                  </w:tcBorders>
                  <w:vAlign w:val="center"/>
                </w:tcPr>
                <w:p>
                  <w:pPr>
                    <w:pStyle w:val="17"/>
                  </w:pPr>
                  <w:r>
                    <w:rPr>
                      <w:rFonts w:hint="eastAsia"/>
                    </w:rPr>
                    <w:t>3</w:t>
                  </w:r>
                </w:p>
              </w:tc>
              <w:tc>
                <w:tcPr>
                  <w:tcW w:w="780" w:type="pct"/>
                  <w:tcBorders>
                    <w:top w:val="single" w:color="auto" w:sz="4" w:space="0"/>
                    <w:left w:val="single" w:color="auto" w:sz="4" w:space="0"/>
                    <w:bottom w:val="single" w:color="auto" w:sz="4" w:space="0"/>
                    <w:right w:val="single" w:color="auto" w:sz="4" w:space="0"/>
                  </w:tcBorders>
                  <w:vAlign w:val="center"/>
                </w:tcPr>
                <w:p>
                  <w:pPr>
                    <w:pStyle w:val="17"/>
                    <w:rPr>
                      <w:rFonts w:hint="eastAsia" w:eastAsia="宋体" w:cs="宋体"/>
                      <w:lang w:eastAsia="zh-CN"/>
                    </w:rPr>
                  </w:pPr>
                  <w:r>
                    <w:rPr>
                      <w:rFonts w:hint="eastAsia" w:cs="宋体"/>
                      <w:color w:val="auto"/>
                      <w:lang w:eastAsia="zh-CN"/>
                    </w:rPr>
                    <w:t>纯水制备系统用水</w:t>
                  </w:r>
                </w:p>
              </w:tc>
              <w:tc>
                <w:tcPr>
                  <w:tcW w:w="727" w:type="pct"/>
                  <w:tcBorders>
                    <w:top w:val="single" w:color="auto" w:sz="4" w:space="0"/>
                    <w:left w:val="single" w:color="auto" w:sz="4" w:space="0"/>
                    <w:bottom w:val="single" w:color="auto" w:sz="4" w:space="0"/>
                    <w:right w:val="single" w:color="auto" w:sz="4" w:space="0"/>
                  </w:tcBorders>
                  <w:vAlign w:val="center"/>
                </w:tcPr>
                <w:p>
                  <w:pPr>
                    <w:pStyle w:val="17"/>
                  </w:pPr>
                  <w:r>
                    <w:rPr>
                      <w:rFonts w:hint="eastAsia"/>
                    </w:rPr>
                    <w:t>6462</w:t>
                  </w:r>
                </w:p>
              </w:tc>
              <w:tc>
                <w:tcPr>
                  <w:tcW w:w="768" w:type="pct"/>
                  <w:tcBorders>
                    <w:top w:val="single" w:color="auto" w:sz="4" w:space="0"/>
                    <w:left w:val="single" w:color="auto" w:sz="4" w:space="0"/>
                    <w:bottom w:val="single" w:color="auto" w:sz="4" w:space="0"/>
                    <w:right w:val="single" w:color="auto" w:sz="4" w:space="0"/>
                  </w:tcBorders>
                  <w:vAlign w:val="center"/>
                </w:tcPr>
                <w:p>
                  <w:pPr>
                    <w:pStyle w:val="17"/>
                    <w:rPr>
                      <w:rFonts w:hint="eastAsia" w:eastAsia="宋体"/>
                      <w:lang w:val="en-US" w:eastAsia="zh-CN"/>
                    </w:rPr>
                  </w:pPr>
                  <w:r>
                    <w:rPr>
                      <w:rFonts w:hint="eastAsia"/>
                    </w:rPr>
                    <w:t>226</w:t>
                  </w:r>
                  <w:r>
                    <w:rPr>
                      <w:rFonts w:hint="eastAsia"/>
                      <w:lang w:val="en-US" w:eastAsia="zh-CN"/>
                    </w:rPr>
                    <w:t>2</w:t>
                  </w:r>
                </w:p>
              </w:tc>
              <w:tc>
                <w:tcPr>
                  <w:tcW w:w="2237" w:type="pct"/>
                  <w:tcBorders>
                    <w:top w:val="single" w:color="auto" w:sz="4" w:space="0"/>
                    <w:left w:val="single" w:color="auto" w:sz="4" w:space="0"/>
                    <w:bottom w:val="single" w:color="auto" w:sz="4" w:space="0"/>
                    <w:right w:val="single" w:color="auto" w:sz="4" w:space="0"/>
                  </w:tcBorders>
                  <w:vAlign w:val="center"/>
                </w:tcPr>
                <w:p>
                  <w:pPr>
                    <w:pStyle w:val="17"/>
                    <w:rPr>
                      <w:rFonts w:cs="宋体"/>
                    </w:rPr>
                  </w:pPr>
                  <w:r>
                    <w:rPr>
                      <w:rFonts w:hint="eastAsia" w:cs="宋体"/>
                      <w:lang w:eastAsia="zh-CN"/>
                    </w:rPr>
                    <w:t>纯水制备废水</w:t>
                  </w:r>
                  <w:r>
                    <w:rPr>
                      <w:rFonts w:hint="eastAsia" w:cs="宋体"/>
                    </w:rPr>
                    <w:t>污染物浓度较低，可直接排入区域污水管网，进入宿州市经济技术开发区污水处理厂集中处理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66" w:type="pct"/>
                  <w:gridSpan w:val="2"/>
                  <w:tcBorders>
                    <w:top w:val="single" w:color="auto" w:sz="4" w:space="0"/>
                    <w:left w:val="single" w:color="auto" w:sz="4" w:space="0"/>
                    <w:bottom w:val="single" w:color="auto" w:sz="4" w:space="0"/>
                    <w:right w:val="single" w:color="auto" w:sz="4" w:space="0"/>
                  </w:tcBorders>
                  <w:vAlign w:val="center"/>
                </w:tcPr>
                <w:p>
                  <w:pPr>
                    <w:pStyle w:val="17"/>
                    <w:rPr>
                      <w:rFonts w:cs="宋体"/>
                    </w:rPr>
                  </w:pPr>
                  <w:r>
                    <w:rPr>
                      <w:rFonts w:hint="eastAsia" w:cs="宋体"/>
                    </w:rPr>
                    <w:t>合计</w:t>
                  </w:r>
                </w:p>
              </w:tc>
              <w:tc>
                <w:tcPr>
                  <w:tcW w:w="727" w:type="pct"/>
                  <w:tcBorders>
                    <w:top w:val="single" w:color="auto" w:sz="4" w:space="0"/>
                    <w:left w:val="single" w:color="auto" w:sz="4" w:space="0"/>
                    <w:bottom w:val="single" w:color="auto" w:sz="4" w:space="0"/>
                    <w:right w:val="single" w:color="auto" w:sz="4" w:space="0"/>
                  </w:tcBorders>
                  <w:vAlign w:val="center"/>
                </w:tcPr>
                <w:p>
                  <w:pPr>
                    <w:pStyle w:val="17"/>
                  </w:pPr>
                  <w:r>
                    <w:rPr>
                      <w:rFonts w:hint="eastAsia"/>
                    </w:rPr>
                    <w:t>8562</w:t>
                  </w:r>
                </w:p>
              </w:tc>
              <w:tc>
                <w:tcPr>
                  <w:tcW w:w="768" w:type="pct"/>
                  <w:tcBorders>
                    <w:top w:val="single" w:color="auto" w:sz="4" w:space="0"/>
                    <w:left w:val="single" w:color="auto" w:sz="4" w:space="0"/>
                    <w:bottom w:val="single" w:color="auto" w:sz="4" w:space="0"/>
                    <w:right w:val="single" w:color="auto" w:sz="4" w:space="0"/>
                  </w:tcBorders>
                  <w:vAlign w:val="center"/>
                </w:tcPr>
                <w:p>
                  <w:pPr>
                    <w:pStyle w:val="17"/>
                    <w:rPr>
                      <w:rFonts w:hint="eastAsia" w:eastAsia="宋体"/>
                      <w:lang w:val="en-US" w:eastAsia="zh-CN"/>
                    </w:rPr>
                  </w:pPr>
                  <w:r>
                    <w:rPr>
                      <w:rFonts w:hint="eastAsia"/>
                    </w:rPr>
                    <w:t>394</w:t>
                  </w:r>
                  <w:r>
                    <w:rPr>
                      <w:rFonts w:hint="eastAsia"/>
                      <w:lang w:val="en-US" w:eastAsia="zh-CN"/>
                    </w:rPr>
                    <w:t>2</w:t>
                  </w:r>
                </w:p>
              </w:tc>
              <w:tc>
                <w:tcPr>
                  <w:tcW w:w="2237" w:type="pct"/>
                  <w:tcBorders>
                    <w:top w:val="single" w:color="auto" w:sz="4" w:space="0"/>
                    <w:left w:val="single" w:color="auto" w:sz="4" w:space="0"/>
                    <w:bottom w:val="single" w:color="auto" w:sz="4" w:space="0"/>
                    <w:right w:val="single" w:color="auto" w:sz="4" w:space="0"/>
                  </w:tcBorders>
                  <w:vAlign w:val="center"/>
                </w:tcPr>
                <w:p>
                  <w:pPr>
                    <w:pStyle w:val="17"/>
                    <w:rPr>
                      <w:rFonts w:cs="宋体"/>
                    </w:rPr>
                  </w:pPr>
                  <w:r>
                    <w:rPr>
                      <w:rFonts w:hint="eastAsia" w:cs="宋体"/>
                    </w:rPr>
                    <w:t>/</w:t>
                  </w:r>
                </w:p>
              </w:tc>
            </w:tr>
          </w:tbl>
          <w:p>
            <w:pPr>
              <w:spacing w:line="360" w:lineRule="auto"/>
              <w:ind w:firstLine="480" w:firstLineChars="200"/>
              <w:rPr>
                <w:sz w:val="24"/>
                <w:szCs w:val="24"/>
              </w:rPr>
            </w:pPr>
            <w:r>
              <w:rPr>
                <w:rFonts w:hint="eastAsia" w:cs="宋体"/>
                <w:sz w:val="24"/>
                <w:szCs w:val="24"/>
              </w:rPr>
              <w:t>本项目水平衡图如下：</w:t>
            </w:r>
          </w:p>
          <w:p>
            <w:pPr>
              <w:jc w:val="center"/>
              <w:rPr>
                <w:rFonts w:hint="eastAsia" w:eastAsia="宋体"/>
                <w:lang w:eastAsia="zh-CN"/>
              </w:rPr>
            </w:pPr>
            <w:r>
              <w:rPr>
                <w:rFonts w:hint="eastAsia" w:eastAsia="宋体"/>
                <w:lang w:eastAsia="zh-CN"/>
              </w:rPr>
              <w:drawing>
                <wp:inline distT="0" distB="0" distL="114300" distR="114300">
                  <wp:extent cx="4810125" cy="3314700"/>
                  <wp:effectExtent l="0" t="0" r="9525" b="0"/>
                  <wp:docPr id="3" name="图片 3" descr="20220426162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20220426162200"/>
                          <pic:cNvPicPr>
                            <a:picLocks noChangeAspect="1"/>
                          </pic:cNvPicPr>
                        </pic:nvPicPr>
                        <pic:blipFill>
                          <a:blip r:embed="rId8"/>
                          <a:stretch>
                            <a:fillRect/>
                          </a:stretch>
                        </pic:blipFill>
                        <pic:spPr>
                          <a:xfrm>
                            <a:off x="0" y="0"/>
                            <a:ext cx="4810125" cy="3314700"/>
                          </a:xfrm>
                          <a:prstGeom prst="rect">
                            <a:avLst/>
                          </a:prstGeom>
                        </pic:spPr>
                      </pic:pic>
                    </a:graphicData>
                  </a:graphic>
                </wp:inline>
              </w:drawing>
            </w:r>
          </w:p>
          <w:p>
            <w:pPr>
              <w:spacing w:line="360" w:lineRule="auto"/>
              <w:jc w:val="center"/>
              <w:rPr>
                <w:b/>
                <w:bCs/>
                <w:sz w:val="24"/>
                <w:szCs w:val="24"/>
              </w:rPr>
            </w:pPr>
            <w:r>
              <w:rPr>
                <w:rFonts w:hint="eastAsia" w:cs="宋体"/>
                <w:b/>
                <w:bCs/>
                <w:sz w:val="24"/>
                <w:szCs w:val="24"/>
              </w:rPr>
              <w:t>图</w:t>
            </w:r>
            <w:r>
              <w:rPr>
                <w:b/>
                <w:bCs/>
                <w:sz w:val="24"/>
                <w:szCs w:val="24"/>
              </w:rPr>
              <w:t xml:space="preserve">2-1  </w:t>
            </w:r>
            <w:r>
              <w:rPr>
                <w:rFonts w:hint="eastAsia" w:cs="宋体"/>
                <w:b/>
                <w:bCs/>
                <w:sz w:val="24"/>
                <w:szCs w:val="24"/>
              </w:rPr>
              <w:t>本项目水平衡图（单位：</w:t>
            </w:r>
            <w:r>
              <w:rPr>
                <w:b/>
                <w:bCs/>
                <w:sz w:val="24"/>
                <w:szCs w:val="24"/>
              </w:rPr>
              <w:t>t/a</w:t>
            </w:r>
            <w:r>
              <w:rPr>
                <w:rFonts w:hint="eastAsia" w:cs="宋体"/>
                <w:b/>
                <w:bCs/>
                <w:sz w:val="24"/>
                <w:szCs w:val="24"/>
              </w:rPr>
              <w:t>）</w:t>
            </w:r>
          </w:p>
          <w:p>
            <w:pPr>
              <w:spacing w:line="360" w:lineRule="auto"/>
              <w:ind w:firstLine="482" w:firstLineChars="200"/>
              <w:rPr>
                <w:sz w:val="24"/>
                <w:szCs w:val="24"/>
              </w:rPr>
            </w:pPr>
            <w:r>
              <w:rPr>
                <w:rFonts w:hint="eastAsia" w:cs="宋体"/>
                <w:b/>
                <w:bCs/>
                <w:sz w:val="24"/>
                <w:szCs w:val="24"/>
              </w:rPr>
              <w:t>8、公用工程</w:t>
            </w:r>
          </w:p>
          <w:p>
            <w:pPr>
              <w:spacing w:line="360" w:lineRule="auto"/>
              <w:ind w:firstLine="480" w:firstLineChars="200"/>
              <w:rPr>
                <w:rFonts w:cs="宋体"/>
                <w:sz w:val="24"/>
                <w:szCs w:val="24"/>
              </w:rPr>
            </w:pPr>
            <w:r>
              <w:rPr>
                <w:rFonts w:hint="eastAsia" w:cs="宋体"/>
                <w:sz w:val="24"/>
                <w:szCs w:val="24"/>
              </w:rPr>
              <w:t>给水：本项目供水由市政管网供给，年用量约为8562</w:t>
            </w:r>
            <w:r>
              <w:rPr>
                <w:sz w:val="24"/>
                <w:szCs w:val="24"/>
              </w:rPr>
              <w:t>t/a</w:t>
            </w:r>
            <w:r>
              <w:rPr>
                <w:rFonts w:hint="eastAsia"/>
                <w:sz w:val="24"/>
                <w:szCs w:val="24"/>
              </w:rPr>
              <w:t>。</w:t>
            </w:r>
          </w:p>
          <w:p>
            <w:pPr>
              <w:spacing w:line="360" w:lineRule="auto"/>
              <w:ind w:firstLine="480" w:firstLineChars="200"/>
              <w:rPr>
                <w:sz w:val="24"/>
                <w:szCs w:val="24"/>
              </w:rPr>
            </w:pPr>
            <w:r>
              <w:rPr>
                <w:rFonts w:hint="eastAsia" w:cs="宋体"/>
                <w:sz w:val="24"/>
                <w:szCs w:val="24"/>
              </w:rPr>
              <w:t>排水：项目排水实行雨污分流制。雨水进入区域雨水管网；</w:t>
            </w:r>
            <w:r>
              <w:rPr>
                <w:rFonts w:ascii="宋体" w:hAnsi="宋体" w:cs="宋体"/>
                <w:sz w:val="24"/>
                <w:szCs w:val="24"/>
              </w:rPr>
              <w:t>食堂废水经隔油池预处理后，与生活污水一同经化粪池处理后纳管，</w:t>
            </w:r>
            <w:r>
              <w:rPr>
                <w:rFonts w:hint="eastAsia" w:ascii="宋体" w:hAnsi="宋体" w:cs="宋体"/>
                <w:sz w:val="24"/>
                <w:szCs w:val="24"/>
                <w:lang w:eastAsia="zh-CN"/>
              </w:rPr>
              <w:t>纯水制备废水</w:t>
            </w:r>
            <w:r>
              <w:rPr>
                <w:rFonts w:ascii="宋体" w:hAnsi="宋体" w:cs="宋体"/>
                <w:sz w:val="24"/>
                <w:szCs w:val="24"/>
              </w:rPr>
              <w:t>浓度满足宿州市经济技术开发区污水处理厂接管标准，可直接纳管排入区域管网，所有废水均进入宿州市经济技术开发区污水处理厂集中处理，达标后排入运粮河</w:t>
            </w:r>
            <w:r>
              <w:rPr>
                <w:rFonts w:hint="eastAsia" w:cs="宋体"/>
                <w:sz w:val="24"/>
                <w:szCs w:val="24"/>
              </w:rPr>
              <w:t>。</w:t>
            </w:r>
          </w:p>
          <w:p>
            <w:pPr>
              <w:spacing w:line="360" w:lineRule="auto"/>
              <w:ind w:firstLine="480" w:firstLineChars="200"/>
              <w:rPr>
                <w:sz w:val="24"/>
                <w:szCs w:val="24"/>
              </w:rPr>
            </w:pPr>
            <w:r>
              <w:rPr>
                <w:rFonts w:hint="eastAsia" w:cs="宋体"/>
                <w:sz w:val="24"/>
                <w:szCs w:val="24"/>
              </w:rPr>
              <w:t>供电：项目用电由区域供电系统提供。</w:t>
            </w:r>
          </w:p>
          <w:p>
            <w:pPr>
              <w:spacing w:line="360" w:lineRule="auto"/>
              <w:ind w:firstLine="480" w:firstLineChars="200"/>
              <w:rPr>
                <w:sz w:val="24"/>
                <w:szCs w:val="24"/>
              </w:rPr>
            </w:pPr>
            <w:r>
              <w:rPr>
                <w:rFonts w:hint="eastAsia" w:cs="宋体"/>
                <w:sz w:val="24"/>
                <w:szCs w:val="24"/>
              </w:rPr>
              <w:t>消防：项目消防按《建筑设计防火规范》（</w:t>
            </w:r>
            <w:r>
              <w:rPr>
                <w:sz w:val="24"/>
                <w:szCs w:val="24"/>
              </w:rPr>
              <w:t>GB50016-2014</w:t>
            </w:r>
            <w:r>
              <w:rPr>
                <w:rFonts w:hint="eastAsia" w:cs="宋体"/>
                <w:sz w:val="24"/>
                <w:szCs w:val="24"/>
              </w:rPr>
              <w:t>）有关规定实施。室外设置消火栓，火灾时市政消防车从室外消火栓取水灭火；室内消火栓管网布置成环状。消火栓系统设消防水泵接合器。</w:t>
            </w:r>
          </w:p>
          <w:p>
            <w:pPr>
              <w:spacing w:line="360" w:lineRule="auto"/>
              <w:ind w:firstLine="480" w:firstLineChars="200"/>
              <w:rPr>
                <w:sz w:val="24"/>
                <w:szCs w:val="24"/>
              </w:rPr>
            </w:pPr>
            <w:r>
              <w:rPr>
                <w:rFonts w:hint="eastAsia" w:cs="宋体"/>
                <w:sz w:val="24"/>
                <w:szCs w:val="24"/>
              </w:rPr>
              <w:t>厂内运输：厂内运输主要为原料及成品从生产场所到堆存场所之间的运输，项目原料和产品主要采用人力、叉车进行运输。</w:t>
            </w:r>
          </w:p>
          <w:p>
            <w:pPr>
              <w:spacing w:line="360" w:lineRule="auto"/>
              <w:ind w:firstLine="480" w:firstLineChars="200"/>
              <w:rPr>
                <w:sz w:val="24"/>
                <w:szCs w:val="24"/>
              </w:rPr>
            </w:pPr>
            <w:r>
              <w:rPr>
                <w:rFonts w:hint="eastAsia" w:cs="宋体"/>
                <w:sz w:val="24"/>
                <w:szCs w:val="24"/>
              </w:rPr>
              <w:t>厂外运输：主要为原材料及成品的进出厂运输。项目原辅料由供货单位送货上门，通过公路运输的方法解决。成品运出主要依托社会运输力量承担。</w:t>
            </w:r>
          </w:p>
          <w:p>
            <w:pPr>
              <w:spacing w:line="360" w:lineRule="auto"/>
              <w:ind w:firstLine="482" w:firstLineChars="200"/>
              <w:rPr>
                <w:sz w:val="24"/>
                <w:szCs w:val="24"/>
              </w:rPr>
            </w:pPr>
            <w:r>
              <w:rPr>
                <w:rFonts w:hint="eastAsia" w:cs="宋体"/>
                <w:b/>
                <w:bCs/>
                <w:sz w:val="24"/>
                <w:szCs w:val="24"/>
              </w:rPr>
              <w:t>9、工作制度和劳动定员</w:t>
            </w:r>
          </w:p>
          <w:p>
            <w:pPr>
              <w:spacing w:line="360" w:lineRule="auto"/>
              <w:ind w:firstLine="480" w:firstLineChars="200"/>
              <w:rPr>
                <w:sz w:val="24"/>
                <w:szCs w:val="24"/>
              </w:rPr>
            </w:pPr>
            <w:r>
              <w:rPr>
                <w:rFonts w:hint="eastAsia" w:cs="宋体"/>
                <w:sz w:val="24"/>
                <w:szCs w:val="24"/>
              </w:rPr>
              <w:t>工作制度：年工作</w:t>
            </w:r>
            <w:r>
              <w:rPr>
                <w:rFonts w:hint="eastAsia"/>
                <w:sz w:val="24"/>
                <w:szCs w:val="24"/>
              </w:rPr>
              <w:t>300</w:t>
            </w:r>
            <w:r>
              <w:rPr>
                <w:rFonts w:hint="eastAsia" w:cs="宋体"/>
                <w:sz w:val="24"/>
                <w:szCs w:val="24"/>
              </w:rPr>
              <w:t>天，两班制，单班8小时。</w:t>
            </w:r>
          </w:p>
          <w:p>
            <w:pPr>
              <w:adjustRightInd w:val="0"/>
              <w:snapToGrid w:val="0"/>
              <w:spacing w:line="360" w:lineRule="auto"/>
              <w:ind w:firstLine="480" w:firstLineChars="200"/>
              <w:rPr>
                <w:sz w:val="24"/>
                <w:szCs w:val="24"/>
              </w:rPr>
            </w:pPr>
            <w:r>
              <w:rPr>
                <w:rFonts w:hint="eastAsia" w:cs="宋体"/>
                <w:sz w:val="24"/>
                <w:szCs w:val="24"/>
              </w:rPr>
              <w:t>劳动定员：本项目劳动定员为40人，均在厂区内食宿。</w:t>
            </w:r>
          </w:p>
          <w:p>
            <w:pPr>
              <w:adjustRightInd w:val="0"/>
              <w:snapToGrid w:val="0"/>
              <w:spacing w:line="360" w:lineRule="auto"/>
              <w:ind w:firstLine="482" w:firstLineChars="200"/>
              <w:rPr>
                <w:sz w:val="24"/>
                <w:szCs w:val="24"/>
              </w:rPr>
            </w:pPr>
            <w:r>
              <w:rPr>
                <w:rFonts w:hint="eastAsia" w:cs="宋体"/>
                <w:b/>
                <w:bCs/>
                <w:sz w:val="24"/>
                <w:szCs w:val="24"/>
              </w:rPr>
              <w:t>10、总平面布置</w:t>
            </w:r>
          </w:p>
          <w:p>
            <w:pPr>
              <w:adjustRightInd w:val="0"/>
              <w:snapToGrid w:val="0"/>
              <w:spacing w:line="360" w:lineRule="auto"/>
              <w:ind w:firstLine="480" w:firstLineChars="200"/>
              <w:rPr>
                <w:rFonts w:cs="宋体"/>
                <w:sz w:val="24"/>
                <w:szCs w:val="24"/>
              </w:rPr>
            </w:pPr>
            <w:r>
              <w:rPr>
                <w:rFonts w:hint="eastAsia" w:cs="宋体"/>
                <w:sz w:val="24"/>
                <w:szCs w:val="24"/>
              </w:rPr>
              <w:t>根据厂区平面布局图可知，本项目原料库位于厂区内西侧，成品库位于厂区内东侧，主车间位于成品库西侧，锅炉房、机修间、危废暂存间位于厂区内北侧，综合楼位于厂区内东南侧；项目办公区域和生产区域分开设置，高噪声设备远离办公区设置，减少了项目噪声对办公生活的影响。项目危险固废暂存房放置在项目区人员活动较少的区域，同时项目生产车间相对封闭，所有生产设备均加装减震措施，最大程度的减少了环境影响，厂区人流物流线路短捷顺畅、建筑布置紧凑，因此项目平面布局相对合理。</w:t>
            </w:r>
          </w:p>
          <w:p>
            <w:pPr>
              <w:adjustRightInd w:val="0"/>
              <w:snapToGrid w:val="0"/>
              <w:spacing w:line="360" w:lineRule="auto"/>
              <w:rPr>
                <w:rFonts w:cs="宋体"/>
                <w:sz w:val="24"/>
                <w:szCs w:val="24"/>
              </w:rPr>
            </w:pPr>
          </w:p>
          <w:p>
            <w:pPr>
              <w:adjustRightInd w:val="0"/>
              <w:snapToGrid w:val="0"/>
              <w:spacing w:line="360" w:lineRule="auto"/>
              <w:rPr>
                <w:rFonts w:cs="宋体"/>
                <w:sz w:val="24"/>
                <w:szCs w:val="24"/>
              </w:rPr>
            </w:pPr>
          </w:p>
          <w:p>
            <w:pPr>
              <w:adjustRightInd w:val="0"/>
              <w:snapToGrid w:val="0"/>
              <w:spacing w:line="360" w:lineRule="auto"/>
              <w:rPr>
                <w:rFonts w:cs="宋体"/>
                <w:sz w:val="24"/>
                <w:szCs w:val="24"/>
              </w:rPr>
            </w:pPr>
          </w:p>
          <w:p>
            <w:pPr>
              <w:adjustRightInd w:val="0"/>
              <w:snapToGrid w:val="0"/>
              <w:spacing w:line="360" w:lineRule="auto"/>
              <w:rPr>
                <w:rFonts w:cs="宋体"/>
                <w:sz w:val="24"/>
                <w:szCs w:val="24"/>
              </w:rPr>
            </w:pPr>
          </w:p>
          <w:p>
            <w:pPr>
              <w:adjustRightInd w:val="0"/>
              <w:snapToGrid w:val="0"/>
              <w:spacing w:line="360" w:lineRule="auto"/>
              <w:rPr>
                <w:rFonts w:cs="宋体"/>
                <w:sz w:val="24"/>
                <w:szCs w:val="24"/>
              </w:rPr>
            </w:pPr>
          </w:p>
          <w:p>
            <w:pPr>
              <w:adjustRightInd w:val="0"/>
              <w:snapToGrid w:val="0"/>
              <w:spacing w:line="360" w:lineRule="auto"/>
              <w:rPr>
                <w:rFonts w:cs="宋体"/>
                <w:sz w:val="24"/>
                <w:szCs w:val="24"/>
              </w:rPr>
            </w:pPr>
          </w:p>
          <w:p>
            <w:pPr>
              <w:adjustRightInd w:val="0"/>
              <w:snapToGrid w:val="0"/>
              <w:spacing w:line="360" w:lineRule="auto"/>
              <w:rPr>
                <w:rFonts w:cs="宋体"/>
                <w:sz w:val="24"/>
                <w:szCs w:val="24"/>
              </w:rPr>
            </w:pPr>
          </w:p>
          <w:p>
            <w:pPr>
              <w:adjustRightInd w:val="0"/>
              <w:snapToGrid w:val="0"/>
              <w:spacing w:line="360" w:lineRule="auto"/>
              <w:rPr>
                <w:sz w:val="24"/>
                <w:szCs w:val="24"/>
              </w:rPr>
            </w:pPr>
          </w:p>
          <w:p>
            <w:pPr>
              <w:adjustRightInd w:val="0"/>
              <w:snapToGrid w:val="0"/>
              <w:spacing w:line="360" w:lineRule="auto"/>
              <w:rPr>
                <w:sz w:val="24"/>
                <w:szCs w:val="24"/>
              </w:rPr>
            </w:pPr>
          </w:p>
          <w:p>
            <w:pPr>
              <w:adjustRightInd w:val="0"/>
              <w:snapToGrid w:val="0"/>
              <w:spacing w:line="360" w:lineRule="auto"/>
              <w:rPr>
                <w:sz w:val="24"/>
                <w:szCs w:val="24"/>
              </w:rPr>
            </w:pPr>
          </w:p>
          <w:p>
            <w:pPr>
              <w:adjustRightInd w:val="0"/>
              <w:snapToGrid w:val="0"/>
              <w:spacing w:line="360" w:lineRule="auto"/>
              <w:rPr>
                <w:sz w:val="24"/>
                <w:szCs w:val="24"/>
              </w:rPr>
            </w:pPr>
          </w:p>
          <w:p>
            <w:pPr>
              <w:adjustRightInd w:val="0"/>
              <w:snapToGrid w:val="0"/>
              <w:spacing w:line="360" w:lineRule="auto"/>
              <w:rPr>
                <w:sz w:val="24"/>
                <w:szCs w:val="24"/>
              </w:rPr>
            </w:pPr>
          </w:p>
          <w:p>
            <w:pPr>
              <w:adjustRightInd w:val="0"/>
              <w:snapToGrid w:val="0"/>
              <w:spacing w:line="360" w:lineRule="auto"/>
              <w:rPr>
                <w:rFonts w:hint="eastAsia"/>
                <w:sz w:val="24"/>
                <w:szCs w:val="24"/>
                <w:lang w:eastAsia="zh-CN"/>
              </w:rPr>
            </w:pPr>
          </w:p>
          <w:p>
            <w:pPr>
              <w:adjustRightInd w:val="0"/>
              <w:snapToGrid w:val="0"/>
              <w:spacing w:line="360" w:lineRule="auto"/>
              <w:rPr>
                <w:rFonts w:hint="eastAsia"/>
                <w:sz w:val="24"/>
                <w:szCs w:val="24"/>
                <w:lang w:eastAsia="zh-CN"/>
              </w:rPr>
            </w:pPr>
          </w:p>
          <w:p>
            <w:pPr>
              <w:adjustRightInd w:val="0"/>
              <w:snapToGrid w:val="0"/>
              <w:spacing w:line="360" w:lineRule="auto"/>
              <w:rPr>
                <w:rFonts w:hint="eastAsia"/>
                <w:sz w:val="24"/>
                <w:szCs w:val="24"/>
                <w:lang w:eastAsia="zh-CN"/>
              </w:rPr>
            </w:pPr>
          </w:p>
          <w:p>
            <w:pPr>
              <w:adjustRightInd w:val="0"/>
              <w:snapToGrid w:val="0"/>
              <w:spacing w:line="360" w:lineRule="auto"/>
              <w:rPr>
                <w:rFonts w:hint="eastAsia" w:eastAsia="宋体"/>
                <w:sz w:val="24"/>
                <w:szCs w:val="24"/>
                <w:lang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256" w:hRule="atLeast"/>
          <w:jc w:val="center"/>
        </w:trPr>
        <w:tc>
          <w:tcPr>
            <w:tcW w:w="823" w:type="dxa"/>
            <w:vAlign w:val="center"/>
          </w:tcPr>
          <w:p>
            <w:pPr>
              <w:pStyle w:val="20"/>
              <w:adjustRightInd w:val="0"/>
              <w:snapToGrid w:val="0"/>
              <w:spacing w:before="0" w:beforeAutospacing="0" w:after="0" w:afterAutospacing="0"/>
              <w:jc w:val="center"/>
              <w:rPr>
                <w:sz w:val="21"/>
                <w:szCs w:val="21"/>
              </w:rPr>
            </w:pPr>
            <w:r>
              <w:rPr>
                <w:rFonts w:hint="eastAsia" w:cs="宋体"/>
                <w:sz w:val="21"/>
                <w:szCs w:val="21"/>
              </w:rPr>
              <w:t>工艺流程和产排污环节</w:t>
            </w:r>
          </w:p>
        </w:tc>
        <w:tc>
          <w:tcPr>
            <w:tcW w:w="8161" w:type="dxa"/>
          </w:tcPr>
          <w:p>
            <w:pPr>
              <w:widowControl/>
              <w:spacing w:line="360" w:lineRule="auto"/>
              <w:ind w:firstLine="482" w:firstLineChars="200"/>
              <w:rPr>
                <w:b/>
                <w:color w:val="auto"/>
                <w:sz w:val="24"/>
              </w:rPr>
            </w:pPr>
            <w:r>
              <w:rPr>
                <w:rFonts w:hint="eastAsia"/>
                <w:b/>
                <w:color w:val="auto"/>
                <w:sz w:val="24"/>
              </w:rPr>
              <w:t>1、</w:t>
            </w:r>
            <w:r>
              <w:rPr>
                <w:b/>
                <w:color w:val="auto"/>
                <w:sz w:val="24"/>
              </w:rPr>
              <w:t>施工期工程分析</w:t>
            </w:r>
          </w:p>
          <w:p>
            <w:pPr>
              <w:spacing w:line="360" w:lineRule="auto"/>
              <w:ind w:firstLine="361" w:firstLineChars="150"/>
              <w:rPr>
                <w:b/>
                <w:color w:val="auto"/>
                <w:sz w:val="24"/>
              </w:rPr>
            </w:pPr>
            <w:r>
              <w:rPr>
                <w:b/>
                <w:color w:val="auto"/>
                <w:sz w:val="24"/>
              </w:rPr>
              <w:t>（1）施工期工艺流程及产污环节</w:t>
            </w:r>
          </w:p>
          <w:p>
            <w:pPr>
              <w:pStyle w:val="2"/>
              <w:spacing w:line="360" w:lineRule="auto"/>
              <w:jc w:val="center"/>
            </w:pPr>
            <w:r>
              <w:drawing>
                <wp:inline distT="0" distB="0" distL="0" distR="0">
                  <wp:extent cx="4641215" cy="1785620"/>
                  <wp:effectExtent l="0" t="0" r="6985" b="508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4641215" cy="1785620"/>
                          </a:xfrm>
                          <a:prstGeom prst="rect">
                            <a:avLst/>
                          </a:prstGeom>
                          <a:noFill/>
                          <a:ln>
                            <a:noFill/>
                          </a:ln>
                        </pic:spPr>
                      </pic:pic>
                    </a:graphicData>
                  </a:graphic>
                </wp:inline>
              </w:drawing>
            </w:r>
          </w:p>
          <w:p>
            <w:pPr>
              <w:spacing w:line="360" w:lineRule="auto"/>
              <w:ind w:firstLine="361" w:firstLineChars="150"/>
              <w:jc w:val="center"/>
              <w:rPr>
                <w:b/>
                <w:sz w:val="24"/>
              </w:rPr>
            </w:pPr>
            <w:r>
              <w:rPr>
                <w:rFonts w:hint="eastAsia"/>
                <w:b/>
                <w:sz w:val="24"/>
              </w:rPr>
              <w:t>图2-2  施工期工艺流程及产污环节图</w:t>
            </w:r>
          </w:p>
          <w:p>
            <w:pPr>
              <w:spacing w:line="360" w:lineRule="auto"/>
              <w:ind w:firstLine="361" w:firstLineChars="150"/>
              <w:rPr>
                <w:b/>
                <w:color w:val="auto"/>
                <w:sz w:val="24"/>
              </w:rPr>
            </w:pPr>
            <w:r>
              <w:rPr>
                <w:b/>
                <w:color w:val="auto"/>
                <w:sz w:val="24"/>
              </w:rPr>
              <w:t>（2）施工期污染物排放情况</w:t>
            </w:r>
          </w:p>
          <w:p>
            <w:pPr>
              <w:pStyle w:val="18"/>
              <w:spacing w:after="0" w:line="360" w:lineRule="auto"/>
              <w:ind w:left="0" w:leftChars="0" w:firstLine="480" w:firstLineChars="200"/>
              <w:rPr>
                <w:bCs/>
                <w:color w:val="auto"/>
                <w:sz w:val="24"/>
                <w:lang w:val="en-US"/>
              </w:rPr>
            </w:pPr>
            <w:r>
              <w:rPr>
                <w:bCs/>
                <w:color w:val="auto"/>
                <w:sz w:val="24"/>
                <w:lang w:val="en-US"/>
              </w:rPr>
              <w:t>本项目施工期主要内容为建设</w:t>
            </w:r>
            <w:r>
              <w:rPr>
                <w:rFonts w:hint="eastAsia"/>
                <w:bCs/>
                <w:color w:val="auto"/>
                <w:sz w:val="24"/>
                <w:lang w:val="en-US"/>
              </w:rPr>
              <w:t>原料库、成品库、主车间、综合楼、锅炉房和其他辅助用房。</w:t>
            </w:r>
            <w:r>
              <w:rPr>
                <w:bCs/>
                <w:color w:val="auto"/>
                <w:sz w:val="24"/>
                <w:lang w:val="en-US"/>
              </w:rPr>
              <w:t>在建设实施过程中不可避免地会对周围环境产生一定的影响，主要是建筑机械的施工噪声、扬尘、施工废水及施工过程产生的各种固体废物，其次是施工人员产生的生活污水与生活垃圾。</w:t>
            </w:r>
          </w:p>
          <w:p>
            <w:pPr>
              <w:pStyle w:val="18"/>
              <w:spacing w:after="0" w:line="360" w:lineRule="auto"/>
              <w:ind w:left="0" w:leftChars="0" w:firstLine="480" w:firstLineChars="200"/>
              <w:rPr>
                <w:bCs/>
                <w:color w:val="auto"/>
                <w:sz w:val="24"/>
                <w:lang w:val="en-US"/>
              </w:rPr>
            </w:pPr>
            <w:r>
              <w:rPr>
                <w:bCs/>
                <w:color w:val="auto"/>
                <w:sz w:val="24"/>
                <w:lang w:val="en-US"/>
              </w:rPr>
              <w:t>①废气</w:t>
            </w:r>
          </w:p>
          <w:p>
            <w:pPr>
              <w:pStyle w:val="18"/>
              <w:spacing w:after="0" w:line="360" w:lineRule="auto"/>
              <w:ind w:left="0" w:leftChars="0" w:firstLine="480" w:firstLineChars="200"/>
              <w:rPr>
                <w:bCs/>
                <w:color w:val="auto"/>
                <w:sz w:val="24"/>
                <w:lang w:val="en-US"/>
              </w:rPr>
            </w:pPr>
            <w:r>
              <w:rPr>
                <w:bCs/>
                <w:color w:val="auto"/>
                <w:sz w:val="24"/>
                <w:lang w:val="en-US"/>
              </w:rPr>
              <w:t>本项目施工期的大气污染物主要是扬尘，一般由土地平整、土方填挖、物料装卸和车辆运输等过程造成的。对整个施工期而言，施工产生的扬尘主要集中在土建施工阶段，按起尘的原因可分为风力起尘和动力扬尘，其中风力起尘主要是由于露天堆放的建材（如黄沙、水泥等）及裸露的施工区表层浮尘因天气干燥及大风，产生风尘扬尘；而动力扬尘主要是在建材的装卸、搅拌过程中，由于外力而产生的尘粒再悬浮而造成。</w:t>
            </w:r>
          </w:p>
          <w:p>
            <w:pPr>
              <w:pStyle w:val="18"/>
              <w:spacing w:after="0" w:line="360" w:lineRule="auto"/>
              <w:ind w:left="0" w:leftChars="0" w:firstLine="480" w:firstLineChars="200"/>
              <w:rPr>
                <w:bCs/>
                <w:color w:val="auto"/>
                <w:sz w:val="24"/>
                <w:lang w:val="en-US"/>
              </w:rPr>
            </w:pPr>
            <w:r>
              <w:rPr>
                <w:bCs/>
                <w:color w:val="auto"/>
                <w:sz w:val="24"/>
                <w:lang w:val="en-US"/>
              </w:rPr>
              <w:t>②废水</w:t>
            </w:r>
          </w:p>
          <w:p>
            <w:pPr>
              <w:spacing w:line="360" w:lineRule="auto"/>
              <w:ind w:firstLine="480" w:firstLineChars="200"/>
              <w:rPr>
                <w:color w:val="auto"/>
                <w:sz w:val="24"/>
              </w:rPr>
            </w:pPr>
            <w:r>
              <w:rPr>
                <w:color w:val="auto"/>
                <w:sz w:val="24"/>
              </w:rPr>
              <w:t>本项目施工废水排放主要包括建筑施工人员的生活污水和施工废水（泥浆水、机械清洗水等），因不同阶段用水和排水差异很大，废水排放量不稳定，其成分一般为SS和石油类。</w:t>
            </w:r>
            <w:r>
              <w:rPr>
                <w:rFonts w:cs="Arial"/>
                <w:color w:val="auto"/>
                <w:sz w:val="24"/>
              </w:rPr>
              <w:t>施工期的施工废水经沉淀和除渣后用于洒水抑尘。</w:t>
            </w:r>
          </w:p>
          <w:p>
            <w:pPr>
              <w:spacing w:line="360" w:lineRule="auto"/>
              <w:ind w:firstLine="480" w:firstLineChars="200"/>
              <w:rPr>
                <w:color w:val="auto"/>
                <w:sz w:val="24"/>
              </w:rPr>
            </w:pPr>
            <w:r>
              <w:rPr>
                <w:color w:val="auto"/>
                <w:sz w:val="24"/>
              </w:rPr>
              <w:t>施工中较稳定部分用水为施工人员生活用水，其主要污染因子为COD、SS。根据本项目的性质和规模，初步估计本项目的施工人员较少，因此污水产生量较少，施工人员生活污水经化粪池处理后委托环卫部门清掏。</w:t>
            </w:r>
          </w:p>
          <w:p>
            <w:pPr>
              <w:pStyle w:val="18"/>
              <w:spacing w:after="0" w:line="360" w:lineRule="auto"/>
              <w:ind w:left="0" w:leftChars="0" w:firstLine="480" w:firstLineChars="200"/>
              <w:rPr>
                <w:bCs/>
                <w:color w:val="auto"/>
                <w:sz w:val="24"/>
                <w:lang w:val="en-US"/>
              </w:rPr>
            </w:pPr>
            <w:r>
              <w:rPr>
                <w:bCs/>
                <w:color w:val="auto"/>
                <w:sz w:val="24"/>
                <w:lang w:val="en-US"/>
              </w:rPr>
              <w:t>③噪声</w:t>
            </w:r>
          </w:p>
          <w:p>
            <w:pPr>
              <w:widowControl/>
              <w:spacing w:line="360" w:lineRule="auto"/>
              <w:ind w:firstLine="480" w:firstLineChars="200"/>
              <w:rPr>
                <w:color w:val="auto"/>
                <w:sz w:val="24"/>
              </w:rPr>
            </w:pPr>
            <w:r>
              <w:rPr>
                <w:color w:val="auto"/>
                <w:sz w:val="24"/>
              </w:rPr>
              <w:t>施工噪声主要可分为机械噪声、施工作业噪声和施工车辆噪声。机械噪声主要由施工机械所造成，如挖土机、升降机等，多为点声源；施工作业噪声主要指一些零星的敲打声、装卸车辆的撞击声、吆喝声、拆卸模板的撞击声等，多为瞬时噪声；施工车辆的噪声属于交通噪声。在这些施工噪声中，对声环境影响最大的是机械噪声。机械</w:t>
            </w:r>
            <w:r>
              <w:rPr>
                <w:rFonts w:cs="宋体"/>
                <w:color w:val="auto"/>
                <w:sz w:val="24"/>
              </w:rPr>
              <w:t>设备单机噪声在8</w:t>
            </w:r>
            <w:r>
              <w:rPr>
                <w:rFonts w:hint="eastAsia" w:cs="宋体"/>
                <w:color w:val="auto"/>
                <w:sz w:val="24"/>
              </w:rPr>
              <w:t>0~</w:t>
            </w:r>
            <w:r>
              <w:rPr>
                <w:rFonts w:cs="宋体"/>
                <w:color w:val="auto"/>
                <w:sz w:val="24"/>
              </w:rPr>
              <w:t>105dB</w:t>
            </w:r>
            <w:r>
              <w:rPr>
                <w:rFonts w:hint="eastAsia" w:cs="宋体"/>
                <w:color w:val="auto"/>
                <w:sz w:val="24"/>
              </w:rPr>
              <w:t>（</w:t>
            </w:r>
            <w:r>
              <w:rPr>
                <w:rFonts w:cs="宋体"/>
                <w:color w:val="auto"/>
                <w:sz w:val="24"/>
              </w:rPr>
              <w:t>A</w:t>
            </w:r>
            <w:r>
              <w:rPr>
                <w:rFonts w:hint="eastAsia" w:cs="宋体"/>
                <w:color w:val="auto"/>
                <w:sz w:val="24"/>
              </w:rPr>
              <w:t>）</w:t>
            </w:r>
            <w:r>
              <w:rPr>
                <w:rFonts w:cs="宋体"/>
                <w:color w:val="auto"/>
                <w:sz w:val="24"/>
              </w:rPr>
              <w:t>之间</w:t>
            </w:r>
            <w:r>
              <w:rPr>
                <w:color w:val="auto"/>
                <w:sz w:val="24"/>
              </w:rPr>
              <w:t>。</w:t>
            </w:r>
          </w:p>
          <w:p>
            <w:pPr>
              <w:adjustRightInd w:val="0"/>
              <w:spacing w:line="360" w:lineRule="auto"/>
              <w:ind w:firstLine="480" w:firstLineChars="200"/>
              <w:textAlignment w:val="baseline"/>
              <w:rPr>
                <w:color w:val="auto"/>
                <w:sz w:val="24"/>
              </w:rPr>
            </w:pPr>
            <w:r>
              <w:rPr>
                <w:color w:val="auto"/>
                <w:sz w:val="24"/>
              </w:rPr>
              <w:t>施工期噪声具有临时性、阶段性和不固定性等特点，不同的施工设备产生的噪声不同，在多台机械设备同时作业时，各台设备产生的噪声会产生叠加，使噪声值增加3</w:t>
            </w:r>
            <w:r>
              <w:rPr>
                <w:rFonts w:hint="eastAsia"/>
                <w:color w:val="auto"/>
                <w:sz w:val="24"/>
              </w:rPr>
              <w:t>~</w:t>
            </w:r>
            <w:r>
              <w:rPr>
                <w:color w:val="auto"/>
                <w:sz w:val="24"/>
              </w:rPr>
              <w:t>8dB(A)，并在空旷地带的传播距离较远。夜间禁止施工，如需施工，必须经当地环保部门同意方可施工，并告知周围居民。</w:t>
            </w:r>
          </w:p>
          <w:p>
            <w:pPr>
              <w:pStyle w:val="18"/>
              <w:spacing w:after="0" w:line="360" w:lineRule="auto"/>
              <w:ind w:left="0" w:leftChars="0" w:firstLine="480" w:firstLineChars="200"/>
              <w:rPr>
                <w:bCs/>
                <w:color w:val="auto"/>
                <w:sz w:val="24"/>
                <w:lang w:val="en-US"/>
              </w:rPr>
            </w:pPr>
            <w:r>
              <w:rPr>
                <w:bCs/>
                <w:color w:val="auto"/>
                <w:sz w:val="24"/>
                <w:lang w:val="en-US"/>
              </w:rPr>
              <w:t>④固废</w:t>
            </w:r>
          </w:p>
          <w:p>
            <w:pPr>
              <w:snapToGrid w:val="0"/>
              <w:spacing w:line="360" w:lineRule="auto"/>
              <w:ind w:firstLine="480" w:firstLineChars="200"/>
              <w:rPr>
                <w:color w:val="auto"/>
                <w:sz w:val="24"/>
              </w:rPr>
            </w:pPr>
            <w:r>
              <w:rPr>
                <w:color w:val="auto"/>
                <w:sz w:val="24"/>
              </w:rPr>
              <w:t>施工期产生的固废主要为建筑废弃物及施工人员日常生活产生的生活垃圾。建设施工期间需要挖土、运输弃土，运输各种土筑材料如砂石、水泥、砖瓦、木料等，工程完成后，会残留部分废弃的建筑材料，若处置不当，遇暴雨降水等会被冲刷流失到水环境中造成水体污染。对于建筑垃圾，其中的钢筋可以回收利用，其它的混凝土块连同弃渣等均为无机物，可送至当地指定的建筑垃圾堆放场或用于回填低洼地带。</w:t>
            </w:r>
          </w:p>
          <w:p>
            <w:pPr>
              <w:spacing w:line="360" w:lineRule="auto"/>
              <w:ind w:firstLine="480" w:firstLineChars="200"/>
              <w:rPr>
                <w:color w:val="auto"/>
              </w:rPr>
            </w:pPr>
            <w:r>
              <w:rPr>
                <w:color w:val="auto"/>
                <w:sz w:val="24"/>
              </w:rPr>
              <w:t>施工期间</w:t>
            </w:r>
            <w:r>
              <w:rPr>
                <w:rFonts w:hint="eastAsia"/>
                <w:color w:val="auto"/>
                <w:sz w:val="24"/>
              </w:rPr>
              <w:t>，</w:t>
            </w:r>
            <w:r>
              <w:rPr>
                <w:color w:val="auto"/>
                <w:sz w:val="24"/>
              </w:rPr>
              <w:t>施工人员将产生一定量的生活垃圾，应及时收集，由环卫部门统一清运处理，对周边环境影响较小。</w:t>
            </w:r>
          </w:p>
          <w:p>
            <w:pPr>
              <w:adjustRightInd w:val="0"/>
              <w:snapToGrid w:val="0"/>
              <w:spacing w:line="360" w:lineRule="auto"/>
              <w:ind w:firstLine="482" w:firstLineChars="200"/>
              <w:rPr>
                <w:rFonts w:cs="宋体"/>
                <w:b/>
                <w:bCs/>
                <w:color w:val="auto"/>
                <w:sz w:val="24"/>
                <w:szCs w:val="24"/>
              </w:rPr>
            </w:pPr>
            <w:r>
              <w:rPr>
                <w:b/>
                <w:bCs/>
                <w:color w:val="auto"/>
                <w:sz w:val="24"/>
                <w:szCs w:val="24"/>
              </w:rPr>
              <w:t>2、运营期主要工艺流程和产污环节</w:t>
            </w:r>
          </w:p>
          <w:p>
            <w:pPr>
              <w:spacing w:line="360" w:lineRule="auto"/>
              <w:ind w:firstLine="482" w:firstLineChars="200"/>
              <w:rPr>
                <w:rFonts w:cs="宋体"/>
                <w:b/>
                <w:bCs/>
                <w:color w:val="auto"/>
                <w:sz w:val="24"/>
                <w:szCs w:val="24"/>
              </w:rPr>
            </w:pPr>
            <w:r>
              <w:rPr>
                <w:rFonts w:hint="eastAsia" w:cs="宋体"/>
                <w:b/>
                <w:bCs/>
                <w:color w:val="auto"/>
                <w:sz w:val="24"/>
                <w:szCs w:val="24"/>
              </w:rPr>
              <w:t>（1）生产工艺流程</w:t>
            </w:r>
          </w:p>
          <w:p>
            <w:pPr>
              <w:spacing w:line="360" w:lineRule="auto"/>
              <w:ind w:firstLine="480" w:firstLineChars="200"/>
              <w:rPr>
                <w:sz w:val="24"/>
                <w:szCs w:val="24"/>
              </w:rPr>
            </w:pPr>
            <w:r>
              <w:rPr>
                <w:rFonts w:hint="eastAsia"/>
                <w:color w:val="auto"/>
                <w:sz w:val="24"/>
                <w:szCs w:val="24"/>
              </w:rPr>
              <w:t>本项目为饲料生产项目，生产过程主</w:t>
            </w:r>
            <w:r>
              <w:rPr>
                <w:rFonts w:hint="eastAsia"/>
                <w:sz w:val="24"/>
                <w:szCs w:val="24"/>
              </w:rPr>
              <w:t>要包括5个工段：（1）原料接受初清筛工段；（2）粉碎工段；（3）配料混合工段；（4）制粒工段；（5）打包工段。生产工艺流程及产污节点示意图，见图2-2。（注：图中G1为投料粉尘，G2为初清筛、筛分粉尘，G3为粉碎粉尘，G4为配料粉尘，G5为打包粉尘；S1为废包装袋，S2为初清筛杂质，S3为磁选杂质；N为噪声）。</w:t>
            </w:r>
          </w:p>
          <w:p>
            <w:pPr>
              <w:spacing w:line="360" w:lineRule="auto"/>
              <w:jc w:val="center"/>
              <w:rPr>
                <w:color w:val="FF0000"/>
                <w:sz w:val="24"/>
                <w:szCs w:val="24"/>
              </w:rPr>
            </w:pPr>
            <w:r>
              <w:rPr>
                <w:color w:val="FF0000"/>
                <w:sz w:val="24"/>
                <w:szCs w:val="24"/>
              </w:rPr>
              <w:drawing>
                <wp:inline distT="0" distB="0" distL="114300" distR="114300">
                  <wp:extent cx="5038725" cy="2895600"/>
                  <wp:effectExtent l="0" t="0" r="9525" b="0"/>
                  <wp:docPr id="2" name="图片 2" descr="20220414100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20220414100736"/>
                          <pic:cNvPicPr>
                            <a:picLocks noChangeAspect="1"/>
                          </pic:cNvPicPr>
                        </pic:nvPicPr>
                        <pic:blipFill>
                          <a:blip r:embed="rId10"/>
                          <a:stretch>
                            <a:fillRect/>
                          </a:stretch>
                        </pic:blipFill>
                        <pic:spPr>
                          <a:xfrm>
                            <a:off x="0" y="0"/>
                            <a:ext cx="5038725" cy="2895600"/>
                          </a:xfrm>
                          <a:prstGeom prst="rect">
                            <a:avLst/>
                          </a:prstGeom>
                          <a:noFill/>
                          <a:ln>
                            <a:noFill/>
                          </a:ln>
                        </pic:spPr>
                      </pic:pic>
                    </a:graphicData>
                  </a:graphic>
                </wp:inline>
              </w:drawing>
            </w:r>
          </w:p>
          <w:p>
            <w:pPr>
              <w:adjustRightInd w:val="0"/>
              <w:snapToGrid w:val="0"/>
              <w:spacing w:line="360" w:lineRule="auto"/>
              <w:jc w:val="center"/>
              <w:rPr>
                <w:b/>
                <w:bCs/>
                <w:color w:val="FF0000"/>
                <w:sz w:val="24"/>
                <w:szCs w:val="24"/>
              </w:rPr>
            </w:pPr>
            <w:r>
              <w:rPr>
                <w:rFonts w:hint="eastAsia" w:cs="宋体"/>
                <w:b/>
                <w:bCs/>
                <w:sz w:val="24"/>
                <w:szCs w:val="24"/>
              </w:rPr>
              <w:t>图</w:t>
            </w:r>
            <w:r>
              <w:rPr>
                <w:b/>
                <w:bCs/>
                <w:sz w:val="24"/>
                <w:szCs w:val="24"/>
              </w:rPr>
              <w:t>2-</w:t>
            </w:r>
            <w:r>
              <w:rPr>
                <w:rFonts w:hint="eastAsia"/>
                <w:b/>
                <w:bCs/>
                <w:sz w:val="24"/>
                <w:szCs w:val="24"/>
              </w:rPr>
              <w:t xml:space="preserve">3  </w:t>
            </w:r>
            <w:r>
              <w:rPr>
                <w:rFonts w:hint="eastAsia" w:cs="宋体"/>
                <w:b/>
                <w:bCs/>
                <w:sz w:val="24"/>
                <w:szCs w:val="24"/>
              </w:rPr>
              <w:t>饲料生产工艺流程及产污环节图</w:t>
            </w:r>
          </w:p>
          <w:p>
            <w:pPr>
              <w:spacing w:line="360" w:lineRule="auto"/>
              <w:ind w:firstLine="482" w:firstLineChars="200"/>
              <w:rPr>
                <w:b/>
                <w:bCs/>
                <w:sz w:val="24"/>
                <w:szCs w:val="24"/>
              </w:rPr>
            </w:pPr>
            <w:r>
              <w:rPr>
                <w:b/>
                <w:bCs/>
                <w:sz w:val="24"/>
                <w:szCs w:val="24"/>
              </w:rPr>
              <w:t>生产工艺说明：</w:t>
            </w:r>
          </w:p>
          <w:p>
            <w:pPr>
              <w:spacing w:line="360" w:lineRule="auto"/>
              <w:ind w:firstLine="480" w:firstLineChars="200"/>
              <w:rPr>
                <w:color w:val="FF0000"/>
                <w:sz w:val="24"/>
                <w:szCs w:val="24"/>
              </w:rPr>
            </w:pPr>
            <w:r>
              <w:rPr>
                <w:sz w:val="24"/>
                <w:szCs w:val="24"/>
              </w:rPr>
              <w:t>①</w:t>
            </w:r>
            <w:r>
              <w:rPr>
                <w:rFonts w:hint="eastAsia"/>
                <w:sz w:val="24"/>
                <w:szCs w:val="24"/>
              </w:rPr>
              <w:t>原料接受初清筛工段</w:t>
            </w:r>
            <w:r>
              <w:rPr>
                <w:sz w:val="24"/>
                <w:szCs w:val="24"/>
              </w:rPr>
              <w:t>：</w:t>
            </w:r>
            <w:r>
              <w:rPr>
                <w:rFonts w:ascii="宋体" w:hAnsi="宋体" w:cs="宋体"/>
                <w:sz w:val="24"/>
                <w:szCs w:val="24"/>
              </w:rPr>
              <w:t>项目原料主要包括小麦、玉米、</w:t>
            </w:r>
            <w:r>
              <w:rPr>
                <w:rFonts w:hint="eastAsia" w:ascii="宋体" w:hAnsi="宋体" w:cs="宋体"/>
                <w:sz w:val="24"/>
                <w:szCs w:val="24"/>
              </w:rPr>
              <w:t>豆粕等粒</w:t>
            </w:r>
            <w:r>
              <w:rPr>
                <w:rFonts w:ascii="宋体" w:hAnsi="宋体" w:cs="宋体"/>
                <w:sz w:val="24"/>
                <w:szCs w:val="24"/>
              </w:rPr>
              <w:t>料及麸皮</w:t>
            </w:r>
            <w:r>
              <w:rPr>
                <w:rFonts w:hint="eastAsia" w:ascii="宋体" w:hAnsi="宋体" w:cs="宋体"/>
                <w:sz w:val="24"/>
                <w:szCs w:val="24"/>
              </w:rPr>
              <w:t>、面粉</w:t>
            </w:r>
            <w:r>
              <w:rPr>
                <w:rFonts w:ascii="宋体" w:hAnsi="宋体" w:cs="宋体"/>
                <w:sz w:val="24"/>
                <w:szCs w:val="24"/>
              </w:rPr>
              <w:t>等粉料。原料全部为袋装原料，原料购进以后暂存于原料库中。小麦、玉米、</w:t>
            </w:r>
            <w:r>
              <w:rPr>
                <w:rFonts w:hint="eastAsia" w:ascii="宋体" w:hAnsi="宋体" w:cs="宋体"/>
                <w:sz w:val="24"/>
                <w:szCs w:val="24"/>
              </w:rPr>
              <w:t>豆粕</w:t>
            </w:r>
            <w:r>
              <w:rPr>
                <w:rFonts w:ascii="宋体" w:hAnsi="宋体" w:cs="宋体"/>
                <w:sz w:val="24"/>
                <w:szCs w:val="24"/>
              </w:rPr>
              <w:t>等原料需要粉碎处理，麸皮</w:t>
            </w:r>
            <w:r>
              <w:rPr>
                <w:rFonts w:hint="eastAsia" w:ascii="宋体" w:hAnsi="宋体" w:cs="宋体"/>
                <w:sz w:val="24"/>
                <w:szCs w:val="24"/>
              </w:rPr>
              <w:t>、面粉</w:t>
            </w:r>
            <w:r>
              <w:rPr>
                <w:rFonts w:ascii="宋体" w:hAnsi="宋体" w:cs="宋体"/>
                <w:sz w:val="24"/>
                <w:szCs w:val="24"/>
              </w:rPr>
              <w:t>等粉料不需要粉碎处理。麸皮</w:t>
            </w:r>
            <w:r>
              <w:rPr>
                <w:rFonts w:hint="eastAsia" w:ascii="宋体" w:hAnsi="宋体" w:cs="宋体"/>
                <w:sz w:val="24"/>
                <w:szCs w:val="24"/>
              </w:rPr>
              <w:t>、面粉</w:t>
            </w:r>
            <w:r>
              <w:rPr>
                <w:rFonts w:ascii="宋体" w:hAnsi="宋体" w:cs="宋体"/>
                <w:sz w:val="24"/>
                <w:szCs w:val="24"/>
              </w:rPr>
              <w:t>等粉状原料经人工拆除包装后通过人工投料的方式从投料斗及投料栅栏投料</w:t>
            </w:r>
            <w:r>
              <w:rPr>
                <w:rFonts w:hint="eastAsia" w:ascii="宋体" w:hAnsi="宋体" w:cs="宋体"/>
                <w:sz w:val="24"/>
                <w:szCs w:val="24"/>
              </w:rPr>
              <w:t>；</w:t>
            </w:r>
            <w:r>
              <w:rPr>
                <w:rFonts w:ascii="宋体" w:hAnsi="宋体" w:cs="宋体"/>
                <w:sz w:val="24"/>
                <w:szCs w:val="24"/>
              </w:rPr>
              <w:t>小麦、玉米、</w:t>
            </w:r>
            <w:r>
              <w:rPr>
                <w:rFonts w:hint="eastAsia" w:ascii="宋体" w:hAnsi="宋体" w:cs="宋体"/>
                <w:sz w:val="24"/>
                <w:szCs w:val="24"/>
              </w:rPr>
              <w:t>豆粕</w:t>
            </w:r>
            <w:r>
              <w:rPr>
                <w:rFonts w:ascii="宋体" w:hAnsi="宋体" w:cs="宋体"/>
                <w:sz w:val="24"/>
                <w:szCs w:val="24"/>
              </w:rPr>
              <w:t>等直接从投料斗及投料栅栏投料，原料投加后通过刮板输送机及提升机提升后进入下一道工序。粒料经过圆筒初清筛的筛选及永磁筒的磁选后进入待粉碎仓，初清筛主要为了清除</w:t>
            </w:r>
            <w:r>
              <w:rPr>
                <w:rFonts w:hint="eastAsia" w:ascii="宋体" w:hAnsi="宋体" w:cs="宋体"/>
                <w:sz w:val="24"/>
                <w:szCs w:val="24"/>
              </w:rPr>
              <w:t>一</w:t>
            </w:r>
            <w:r>
              <w:rPr>
                <w:rFonts w:ascii="宋体" w:hAnsi="宋体" w:cs="宋体"/>
                <w:sz w:val="24"/>
                <w:szCs w:val="24"/>
              </w:rPr>
              <w:t>些大的杂质，磁选主要为了除去原料中的</w:t>
            </w:r>
            <w:r>
              <w:rPr>
                <w:rFonts w:hint="eastAsia" w:ascii="宋体" w:hAnsi="宋体" w:cs="宋体"/>
                <w:sz w:val="24"/>
                <w:szCs w:val="24"/>
              </w:rPr>
              <w:t>一</w:t>
            </w:r>
            <w:r>
              <w:rPr>
                <w:rFonts w:ascii="宋体" w:hAnsi="宋体" w:cs="宋体"/>
                <w:sz w:val="24"/>
                <w:szCs w:val="24"/>
              </w:rPr>
              <w:t>些磁性杂质，保护设备和饲料的安全</w:t>
            </w:r>
            <w:r>
              <w:rPr>
                <w:rFonts w:hint="eastAsia" w:ascii="宋体" w:hAnsi="宋体" w:cs="宋体"/>
                <w:sz w:val="24"/>
                <w:szCs w:val="24"/>
              </w:rPr>
              <w:t>；</w:t>
            </w:r>
            <w:r>
              <w:rPr>
                <w:rFonts w:ascii="宋体" w:hAnsi="宋体" w:cs="宋体"/>
                <w:sz w:val="24"/>
                <w:szCs w:val="24"/>
              </w:rPr>
              <w:t>不需要粉碎的粉料经过圆锥粉料筛的筛选及永磁简的磁选后直接进入配料仓中。</w:t>
            </w:r>
          </w:p>
          <w:p>
            <w:pPr>
              <w:widowControl/>
              <w:tabs>
                <w:tab w:val="left" w:pos="1812"/>
              </w:tabs>
              <w:snapToGrid w:val="0"/>
              <w:spacing w:line="360" w:lineRule="auto"/>
              <w:ind w:firstLine="480" w:firstLineChars="200"/>
              <w:rPr>
                <w:sz w:val="24"/>
                <w:szCs w:val="24"/>
              </w:rPr>
            </w:pPr>
            <w:r>
              <w:rPr>
                <w:sz w:val="24"/>
                <w:szCs w:val="24"/>
              </w:rPr>
              <w:t>②</w:t>
            </w:r>
            <w:r>
              <w:rPr>
                <w:rFonts w:hint="eastAsia"/>
                <w:sz w:val="24"/>
                <w:szCs w:val="24"/>
              </w:rPr>
              <w:t>粉碎工段</w:t>
            </w:r>
            <w:r>
              <w:rPr>
                <w:sz w:val="24"/>
                <w:szCs w:val="24"/>
              </w:rPr>
              <w:t>：</w:t>
            </w:r>
            <w:r>
              <w:rPr>
                <w:rFonts w:ascii="宋体" w:hAnsi="宋体" w:cs="宋体"/>
                <w:sz w:val="24"/>
                <w:szCs w:val="24"/>
              </w:rPr>
              <w:t>该过程主要针对需要粉碎的粒料进行，待粉碎仓中的粒料进入超越粉碎机中进行粉碎</w:t>
            </w:r>
            <w:r>
              <w:rPr>
                <w:rFonts w:hint="eastAsia" w:ascii="宋体" w:hAnsi="宋体" w:cs="宋体"/>
                <w:sz w:val="24"/>
                <w:szCs w:val="24"/>
              </w:rPr>
              <w:t>，</w:t>
            </w:r>
            <w:r>
              <w:rPr>
                <w:rFonts w:ascii="宋体" w:hAnsi="宋体" w:cs="宋体"/>
                <w:sz w:val="24"/>
                <w:szCs w:val="24"/>
              </w:rPr>
              <w:t>粉碎过程包括微粉碎及细粉碎,根据不同产品的要求调节微粉碎及细粉碎原料的量,粉碎后的原料经过提升机的提升后进入配料仓中。</w:t>
            </w:r>
          </w:p>
          <w:p>
            <w:pPr>
              <w:spacing w:line="360" w:lineRule="auto"/>
              <w:ind w:firstLine="480" w:firstLineChars="200"/>
              <w:rPr>
                <w:sz w:val="24"/>
                <w:szCs w:val="24"/>
              </w:rPr>
            </w:pPr>
            <w:r>
              <w:rPr>
                <w:sz w:val="24"/>
                <w:szCs w:val="24"/>
              </w:rPr>
              <w:t>③</w:t>
            </w:r>
            <w:r>
              <w:rPr>
                <w:rFonts w:hint="eastAsia"/>
                <w:sz w:val="24"/>
                <w:szCs w:val="24"/>
              </w:rPr>
              <w:t>配料混合工段</w:t>
            </w:r>
            <w:r>
              <w:rPr>
                <w:sz w:val="24"/>
                <w:szCs w:val="24"/>
              </w:rPr>
              <w:t>：</w:t>
            </w:r>
            <w:r>
              <w:rPr>
                <w:rFonts w:ascii="宋体" w:hAnsi="宋体" w:cs="宋体"/>
                <w:sz w:val="24"/>
                <w:szCs w:val="24"/>
              </w:rPr>
              <w:t>原料按照系统设定的配方量和配料顺序，通过旋转分配器的输送、进入到配料秤累加式计量，小料通过小料添加机从小料口加入，两者</w:t>
            </w:r>
            <w:r>
              <w:rPr>
                <w:rFonts w:hint="eastAsia" w:ascii="宋体" w:hAnsi="宋体" w:cs="宋体"/>
                <w:sz w:val="24"/>
                <w:szCs w:val="24"/>
              </w:rPr>
              <w:t>一</w:t>
            </w:r>
            <w:r>
              <w:rPr>
                <w:rFonts w:ascii="宋体" w:hAnsi="宋体" w:cs="宋体"/>
                <w:sz w:val="24"/>
                <w:szCs w:val="24"/>
              </w:rPr>
              <w:t>起进入混合机混合。混合主要采用双轴桨叶式混合机混合，各物料进入混合机后，通过桨叶的机械作用，使各物料逐渐的混合均匀。</w:t>
            </w:r>
          </w:p>
          <w:p>
            <w:pPr>
              <w:spacing w:line="360" w:lineRule="auto"/>
              <w:ind w:firstLine="480" w:firstLineChars="200"/>
              <w:rPr>
                <w:sz w:val="24"/>
                <w:szCs w:val="24"/>
              </w:rPr>
            </w:pPr>
            <w:r>
              <w:rPr>
                <w:sz w:val="24"/>
                <w:szCs w:val="24"/>
              </w:rPr>
              <w:t>④</w:t>
            </w:r>
            <w:r>
              <w:rPr>
                <w:rFonts w:hint="eastAsia"/>
                <w:sz w:val="24"/>
                <w:szCs w:val="24"/>
              </w:rPr>
              <w:t>制粒工段</w:t>
            </w:r>
            <w:r>
              <w:rPr>
                <w:sz w:val="24"/>
                <w:szCs w:val="24"/>
              </w:rPr>
              <w:t>：</w:t>
            </w:r>
            <w:r>
              <w:rPr>
                <w:rFonts w:ascii="宋体" w:hAnsi="宋体" w:cs="宋体"/>
                <w:sz w:val="24"/>
                <w:szCs w:val="24"/>
              </w:rPr>
              <w:t>项目产品为粒状形态。配料混合后经造粒、冷却工序方可得到粒状产品。项目采用热造粒的方式造粒，造粒过程使用蒸汽调制，项目使用</w:t>
            </w:r>
            <w:r>
              <w:rPr>
                <w:sz w:val="24"/>
                <w:szCs w:val="24"/>
              </w:rPr>
              <w:t>1台2</w:t>
            </w:r>
            <w:r>
              <w:rPr>
                <w:rFonts w:hint="eastAsia"/>
                <w:sz w:val="24"/>
                <w:szCs w:val="24"/>
              </w:rPr>
              <w:t>t/h</w:t>
            </w:r>
            <w:r>
              <w:rPr>
                <w:rFonts w:ascii="宋体" w:hAnsi="宋体" w:cs="宋体"/>
                <w:sz w:val="24"/>
                <w:szCs w:val="24"/>
              </w:rPr>
              <w:t>的燃气锅炉提供制粒所需蒸汽。制粒主要是为了改善适口性，提高饲料消化率、减少动物挑食、杀灭动物饲料中的沙门菌。物料压制完成后，通过关风器、分料器均匀进入冷却塔各位点，冷却塔通过逆风风干的方式对物料进行降温干燥，通过料位感应进行自动的排料。冷却是使饲料内外水分均降低至合格水分范围的</w:t>
            </w:r>
            <w:r>
              <w:rPr>
                <w:rFonts w:hint="eastAsia" w:ascii="宋体" w:hAnsi="宋体" w:cs="宋体"/>
                <w:sz w:val="24"/>
                <w:szCs w:val="24"/>
              </w:rPr>
              <w:t>一</w:t>
            </w:r>
            <w:r>
              <w:rPr>
                <w:rFonts w:ascii="宋体" w:hAnsi="宋体" w:cs="宋体"/>
                <w:sz w:val="24"/>
                <w:szCs w:val="24"/>
              </w:rPr>
              <w:t>个物理过程。</w:t>
            </w:r>
          </w:p>
          <w:p>
            <w:pPr>
              <w:spacing w:line="360" w:lineRule="auto"/>
              <w:ind w:firstLine="480" w:firstLineChars="200"/>
              <w:rPr>
                <w:sz w:val="24"/>
                <w:szCs w:val="24"/>
              </w:rPr>
            </w:pPr>
            <w:r>
              <w:rPr>
                <w:sz w:val="24"/>
                <w:szCs w:val="24"/>
              </w:rPr>
              <w:t>⑤</w:t>
            </w:r>
            <w:r>
              <w:rPr>
                <w:rFonts w:hint="eastAsia"/>
                <w:sz w:val="24"/>
                <w:szCs w:val="24"/>
              </w:rPr>
              <w:t>打包工段</w:t>
            </w:r>
            <w:r>
              <w:rPr>
                <w:sz w:val="24"/>
                <w:szCs w:val="24"/>
              </w:rPr>
              <w:t>：</w:t>
            </w:r>
            <w:r>
              <w:rPr>
                <w:rFonts w:ascii="宋体" w:hAnsi="宋体" w:cs="宋体"/>
                <w:sz w:val="24"/>
                <w:szCs w:val="24"/>
              </w:rPr>
              <w:t>冷却后的粒状成品通过提升机进入到平面回转分级筛中，完成三级分筛，中间合格的成品进入成品仓中，筛下粉状物重新进入制粒机中进行制粒，上层筛上物(主要为由于干燥不到位粘在</w:t>
            </w:r>
            <w:r>
              <w:rPr>
                <w:rFonts w:hint="eastAsia" w:ascii="宋体" w:hAnsi="宋体" w:cs="宋体"/>
                <w:sz w:val="24"/>
                <w:szCs w:val="24"/>
              </w:rPr>
              <w:t>一</w:t>
            </w:r>
            <w:r>
              <w:rPr>
                <w:rFonts w:ascii="宋体" w:hAnsi="宋体" w:cs="宋体"/>
                <w:sz w:val="24"/>
                <w:szCs w:val="24"/>
              </w:rPr>
              <w:t>起的物料)重新返回冷却干燥系统进行冷却干燥处理。进入成品仓中的成品经过振动筛分级后打包入库。</w:t>
            </w:r>
          </w:p>
          <w:p>
            <w:pPr>
              <w:pStyle w:val="7"/>
              <w:spacing w:before="0" w:after="0" w:line="360" w:lineRule="auto"/>
              <w:ind w:firstLine="480" w:firstLineChars="200"/>
              <w:rPr>
                <w:rFonts w:cs="宋体"/>
                <w:b w:val="0"/>
                <w:bCs w:val="0"/>
                <w:kern w:val="0"/>
                <w:sz w:val="24"/>
                <w:szCs w:val="24"/>
              </w:rPr>
            </w:pPr>
            <w:r>
              <w:rPr>
                <w:rFonts w:ascii="宋体" w:hAnsi="宋体" w:cs="宋体"/>
                <w:b w:val="0"/>
                <w:bCs w:val="0"/>
                <w:sz w:val="24"/>
                <w:szCs w:val="24"/>
              </w:rPr>
              <w:t>部分粒状成品添加油脂等，通过夹套调质器完成后喷涂工序，然后根据用户需要，少量成品散装装车外运，其余成品经缝包包装入库。</w:t>
            </w:r>
          </w:p>
          <w:p>
            <w:pPr>
              <w:pStyle w:val="7"/>
              <w:spacing w:before="0" w:after="0" w:line="360" w:lineRule="auto"/>
              <w:ind w:firstLine="482" w:firstLineChars="200"/>
              <w:rPr>
                <w:kern w:val="0"/>
                <w:sz w:val="24"/>
                <w:szCs w:val="24"/>
              </w:rPr>
            </w:pPr>
            <w:r>
              <w:rPr>
                <w:rFonts w:hint="eastAsia" w:cs="宋体"/>
                <w:kern w:val="0"/>
                <w:sz w:val="24"/>
                <w:szCs w:val="24"/>
              </w:rPr>
              <w:t>（2）运期主要产污环节分析</w:t>
            </w:r>
          </w:p>
          <w:p>
            <w:pPr>
              <w:pStyle w:val="71"/>
              <w:spacing w:line="360" w:lineRule="auto"/>
              <w:ind w:left="420" w:leftChars="200" w:firstLine="0" w:firstLineChars="0"/>
              <w:rPr>
                <w:rFonts w:ascii="Times New Roman" w:hAnsi="Times New Roman" w:eastAsia="宋体" w:cs="Times New Roman"/>
              </w:rPr>
            </w:pPr>
            <w:r>
              <w:rPr>
                <w:rFonts w:hint="eastAsia" w:ascii="宋体" w:hAnsi="宋体" w:eastAsia="宋体" w:cs="宋体"/>
              </w:rPr>
              <w:t>根据项目生产工艺流程，本次项目的主要产污环节及污染物种类见下表。</w:t>
            </w:r>
          </w:p>
          <w:p>
            <w:pPr>
              <w:spacing w:line="360" w:lineRule="auto"/>
              <w:jc w:val="center"/>
              <w:rPr>
                <w:b/>
                <w:bCs/>
                <w:sz w:val="24"/>
                <w:szCs w:val="24"/>
              </w:rPr>
            </w:pPr>
            <w:r>
              <w:rPr>
                <w:b/>
                <w:bCs/>
                <w:sz w:val="24"/>
                <w:szCs w:val="24"/>
              </w:rPr>
              <w:t>2-</w:t>
            </w:r>
            <w:r>
              <w:rPr>
                <w:rFonts w:hint="eastAsia"/>
                <w:b/>
                <w:bCs/>
                <w:sz w:val="24"/>
                <w:szCs w:val="24"/>
              </w:rPr>
              <w:t xml:space="preserve">7  </w:t>
            </w:r>
            <w:r>
              <w:rPr>
                <w:rFonts w:hint="eastAsia" w:cs="宋体"/>
                <w:b/>
                <w:bCs/>
                <w:sz w:val="24"/>
                <w:szCs w:val="24"/>
              </w:rPr>
              <w:t>本次项目营运期主要产污环节汇总表</w:t>
            </w:r>
          </w:p>
          <w:tbl>
            <w:tblPr>
              <w:tblStyle w:val="23"/>
              <w:tblW w:w="7978" w:type="dxa"/>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2"/>
              <w:gridCol w:w="870"/>
              <w:gridCol w:w="1671"/>
              <w:gridCol w:w="720"/>
              <w:gridCol w:w="1770"/>
              <w:gridCol w:w="22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692"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r>
                    <w:rPr>
                      <w:rFonts w:hint="eastAsia" w:ascii="宋体" w:hAnsi="宋体" w:cs="宋体"/>
                    </w:rPr>
                    <w:t>序号</w:t>
                  </w:r>
                </w:p>
              </w:tc>
              <w:tc>
                <w:tcPr>
                  <w:tcW w:w="87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类别</w:t>
                  </w:r>
                </w:p>
              </w:tc>
              <w:tc>
                <w:tcPr>
                  <w:tcW w:w="1671" w:type="dxa"/>
                  <w:tcBorders>
                    <w:top w:val="single" w:color="auto" w:sz="4" w:space="0"/>
                    <w:left w:val="single" w:color="auto" w:sz="4" w:space="0"/>
                    <w:bottom w:val="single" w:color="auto" w:sz="4" w:space="0"/>
                    <w:right w:val="single" w:color="auto" w:sz="4" w:space="0"/>
                  </w:tcBorders>
                  <w:vAlign w:val="center"/>
                </w:tcPr>
                <w:p>
                  <w:pPr>
                    <w:jc w:val="center"/>
                    <w:rPr>
                      <w:rFonts w:ascii="宋体"/>
                      <w:b/>
                      <w:bCs/>
                    </w:rPr>
                  </w:pPr>
                  <w:r>
                    <w:rPr>
                      <w:rFonts w:hint="eastAsia" w:cs="宋体"/>
                    </w:rPr>
                    <w:t>产污工序</w:t>
                  </w:r>
                </w:p>
              </w:tc>
              <w:tc>
                <w:tcPr>
                  <w:tcW w:w="249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b/>
                      <w:bCs/>
                    </w:rPr>
                  </w:pPr>
                  <w:r>
                    <w:rPr>
                      <w:rFonts w:hint="eastAsia" w:cs="宋体"/>
                    </w:rPr>
                    <w:t>污染物</w:t>
                  </w:r>
                </w:p>
              </w:tc>
              <w:tc>
                <w:tcPr>
                  <w:tcW w:w="2255" w:type="dxa"/>
                  <w:tcBorders>
                    <w:top w:val="single" w:color="auto" w:sz="4" w:space="0"/>
                    <w:left w:val="single" w:color="auto" w:sz="4" w:space="0"/>
                    <w:bottom w:val="single" w:color="auto" w:sz="4" w:space="0"/>
                    <w:right w:val="single" w:color="auto" w:sz="4" w:space="0"/>
                  </w:tcBorders>
                  <w:vAlign w:val="center"/>
                </w:tcPr>
                <w:p>
                  <w:pPr>
                    <w:jc w:val="center"/>
                    <w:rPr>
                      <w:rFonts w:ascii="宋体"/>
                      <w:b/>
                      <w:bCs/>
                    </w:rPr>
                  </w:pPr>
                  <w:r>
                    <w:rPr>
                      <w:rFonts w:hint="eastAsia" w:cs="宋体"/>
                    </w:rPr>
                    <w:t>污染因子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 w:hRule="atLeast"/>
              </w:trPr>
              <w:tc>
                <w:tcPr>
                  <w:tcW w:w="69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rPr>
                  </w:pPr>
                  <w:r>
                    <w:t>1</w:t>
                  </w:r>
                </w:p>
              </w:tc>
              <w:tc>
                <w:tcPr>
                  <w:tcW w:w="870" w:type="dxa"/>
                  <w:vMerge w:val="restart"/>
                  <w:tcBorders>
                    <w:top w:val="single" w:color="auto" w:sz="4" w:space="0"/>
                    <w:left w:val="single" w:color="auto" w:sz="4" w:space="0"/>
                    <w:right w:val="single" w:color="auto" w:sz="4" w:space="0"/>
                  </w:tcBorders>
                  <w:vAlign w:val="center"/>
                </w:tcPr>
                <w:p>
                  <w:pPr>
                    <w:jc w:val="center"/>
                    <w:rPr>
                      <w:rFonts w:ascii="宋体"/>
                      <w:color w:val="000000"/>
                    </w:rPr>
                  </w:pPr>
                  <w:r>
                    <w:rPr>
                      <w:rFonts w:hint="eastAsia" w:cs="宋体"/>
                    </w:rPr>
                    <w:t>废气</w:t>
                  </w:r>
                </w:p>
              </w:tc>
              <w:tc>
                <w:tcPr>
                  <w:tcW w:w="1671" w:type="dxa"/>
                  <w:tcBorders>
                    <w:top w:val="single" w:color="auto" w:sz="4" w:space="0"/>
                    <w:left w:val="single" w:color="auto" w:sz="4" w:space="0"/>
                    <w:right w:val="single" w:color="auto" w:sz="4" w:space="0"/>
                  </w:tcBorders>
                  <w:vAlign w:val="center"/>
                </w:tcPr>
                <w:p>
                  <w:pPr>
                    <w:adjustRightInd w:val="0"/>
                    <w:snapToGrid w:val="0"/>
                    <w:jc w:val="center"/>
                  </w:pPr>
                  <w:r>
                    <w:rPr>
                      <w:rFonts w:hint="eastAsia" w:cs="宋体"/>
                    </w:rPr>
                    <w:t>投料</w:t>
                  </w:r>
                </w:p>
              </w:tc>
              <w:tc>
                <w:tcPr>
                  <w:tcW w:w="2490" w:type="dxa"/>
                  <w:gridSpan w:val="2"/>
                  <w:tcBorders>
                    <w:top w:val="single" w:color="auto" w:sz="4" w:space="0"/>
                    <w:left w:val="single" w:color="auto" w:sz="4" w:space="0"/>
                    <w:right w:val="single" w:color="auto" w:sz="4" w:space="0"/>
                  </w:tcBorders>
                  <w:vAlign w:val="center"/>
                </w:tcPr>
                <w:p>
                  <w:pPr>
                    <w:jc w:val="center"/>
                  </w:pPr>
                  <w:r>
                    <w:rPr>
                      <w:rFonts w:hint="eastAsia" w:cs="宋体"/>
                    </w:rPr>
                    <w:t>投料粉尘G1</w:t>
                  </w:r>
                </w:p>
              </w:tc>
              <w:tc>
                <w:tcPr>
                  <w:tcW w:w="2255"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颗粒物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 w:hRule="atLeast"/>
              </w:trPr>
              <w:tc>
                <w:tcPr>
                  <w:tcW w:w="69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870" w:type="dxa"/>
                  <w:vMerge w:val="continue"/>
                  <w:tcBorders>
                    <w:left w:val="single" w:color="auto" w:sz="4" w:space="0"/>
                    <w:right w:val="single" w:color="auto" w:sz="4" w:space="0"/>
                  </w:tcBorders>
                  <w:vAlign w:val="center"/>
                </w:tcPr>
                <w:p>
                  <w:pPr>
                    <w:jc w:val="center"/>
                    <w:rPr>
                      <w:rFonts w:ascii="宋体"/>
                      <w:color w:val="000000"/>
                    </w:rPr>
                  </w:pPr>
                </w:p>
              </w:tc>
              <w:tc>
                <w:tcPr>
                  <w:tcW w:w="1671" w:type="dxa"/>
                  <w:vMerge w:val="restart"/>
                  <w:tcBorders>
                    <w:top w:val="single" w:color="auto" w:sz="4" w:space="0"/>
                    <w:left w:val="single" w:color="auto" w:sz="4" w:space="0"/>
                    <w:right w:val="single" w:color="auto" w:sz="4" w:space="0"/>
                  </w:tcBorders>
                  <w:vAlign w:val="center"/>
                </w:tcPr>
                <w:p>
                  <w:pPr>
                    <w:adjustRightInd w:val="0"/>
                    <w:snapToGrid w:val="0"/>
                    <w:jc w:val="center"/>
                  </w:pPr>
                  <w:r>
                    <w:rPr>
                      <w:rFonts w:hint="eastAsia"/>
                    </w:rPr>
                    <w:t>生产工艺</w:t>
                  </w:r>
                </w:p>
              </w:tc>
              <w:tc>
                <w:tcPr>
                  <w:tcW w:w="720" w:type="dxa"/>
                  <w:vMerge w:val="restart"/>
                  <w:tcBorders>
                    <w:top w:val="single" w:color="auto" w:sz="4" w:space="0"/>
                    <w:left w:val="single" w:color="auto" w:sz="4" w:space="0"/>
                    <w:right w:val="single" w:color="auto" w:sz="4" w:space="0"/>
                  </w:tcBorders>
                  <w:vAlign w:val="center"/>
                </w:tcPr>
                <w:p>
                  <w:pPr>
                    <w:jc w:val="center"/>
                  </w:pPr>
                  <w:r>
                    <w:rPr>
                      <w:rFonts w:hint="eastAsia"/>
                    </w:rPr>
                    <w:t>生产工艺粉尘</w:t>
                  </w:r>
                </w:p>
              </w:tc>
              <w:tc>
                <w:tcPr>
                  <w:tcW w:w="177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初清筛粉尘G2</w:t>
                  </w:r>
                </w:p>
              </w:tc>
              <w:tc>
                <w:tcPr>
                  <w:tcW w:w="2255" w:type="dxa"/>
                  <w:vMerge w:val="restart"/>
                  <w:tcBorders>
                    <w:top w:val="single" w:color="auto" w:sz="4" w:space="0"/>
                    <w:left w:val="single" w:color="auto" w:sz="4" w:space="0"/>
                    <w:right w:val="single" w:color="auto" w:sz="4" w:space="0"/>
                  </w:tcBorders>
                  <w:vAlign w:val="center"/>
                </w:tcPr>
                <w:p>
                  <w:pPr>
                    <w:jc w:val="center"/>
                  </w:pPr>
                  <w:r>
                    <w:rPr>
                      <w:rFonts w:hint="eastAsia" w:cs="宋体"/>
                    </w:rPr>
                    <w:t>颗粒物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 w:hRule="atLeast"/>
              </w:trPr>
              <w:tc>
                <w:tcPr>
                  <w:tcW w:w="692" w:type="dxa"/>
                  <w:vMerge w:val="continue"/>
                  <w:tcBorders>
                    <w:top w:val="single" w:color="auto" w:sz="4" w:space="0"/>
                    <w:left w:val="single" w:color="auto" w:sz="4" w:space="0"/>
                    <w:bottom w:val="single" w:color="auto" w:sz="4" w:space="0"/>
                    <w:right w:val="single" w:color="auto" w:sz="4" w:space="0"/>
                  </w:tcBorders>
                  <w:vAlign w:val="center"/>
                </w:tcPr>
                <w:p>
                  <w:pPr>
                    <w:jc w:val="center"/>
                  </w:pPr>
                </w:p>
                <w:p>
                  <w:pPr>
                    <w:pStyle w:val="4"/>
                    <w:ind w:firstLine="480"/>
                  </w:pPr>
                </w:p>
              </w:tc>
              <w:tc>
                <w:tcPr>
                  <w:tcW w:w="870" w:type="dxa"/>
                  <w:vMerge w:val="continue"/>
                  <w:tcBorders>
                    <w:left w:val="single" w:color="auto" w:sz="4" w:space="0"/>
                    <w:right w:val="single" w:color="auto" w:sz="4" w:space="0"/>
                  </w:tcBorders>
                  <w:vAlign w:val="center"/>
                </w:tcPr>
                <w:p>
                  <w:pPr>
                    <w:jc w:val="center"/>
                    <w:rPr>
                      <w:rFonts w:ascii="宋体"/>
                      <w:color w:val="000000"/>
                    </w:rPr>
                  </w:pPr>
                </w:p>
              </w:tc>
              <w:tc>
                <w:tcPr>
                  <w:tcW w:w="1671" w:type="dxa"/>
                  <w:vMerge w:val="continue"/>
                  <w:tcBorders>
                    <w:left w:val="single" w:color="auto" w:sz="4" w:space="0"/>
                    <w:right w:val="single" w:color="auto" w:sz="4" w:space="0"/>
                  </w:tcBorders>
                  <w:vAlign w:val="center"/>
                </w:tcPr>
                <w:p>
                  <w:pPr>
                    <w:adjustRightInd w:val="0"/>
                    <w:snapToGrid w:val="0"/>
                    <w:jc w:val="center"/>
                  </w:pPr>
                </w:p>
              </w:tc>
              <w:tc>
                <w:tcPr>
                  <w:tcW w:w="720" w:type="dxa"/>
                  <w:vMerge w:val="continue"/>
                  <w:tcBorders>
                    <w:left w:val="single" w:color="auto" w:sz="4" w:space="0"/>
                    <w:right w:val="single" w:color="auto" w:sz="4" w:space="0"/>
                  </w:tcBorders>
                  <w:vAlign w:val="center"/>
                </w:tcPr>
                <w:p>
                  <w:pPr>
                    <w:jc w:val="center"/>
                  </w:pPr>
                </w:p>
              </w:tc>
              <w:tc>
                <w:tcPr>
                  <w:tcW w:w="177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粉碎粉尘G3</w:t>
                  </w:r>
                </w:p>
              </w:tc>
              <w:tc>
                <w:tcPr>
                  <w:tcW w:w="2255" w:type="dxa"/>
                  <w:vMerge w:val="continue"/>
                  <w:tcBorders>
                    <w:left w:val="single" w:color="auto" w:sz="4" w:space="0"/>
                    <w:right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 w:hRule="atLeast"/>
              </w:trPr>
              <w:tc>
                <w:tcPr>
                  <w:tcW w:w="69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870" w:type="dxa"/>
                  <w:vMerge w:val="continue"/>
                  <w:tcBorders>
                    <w:left w:val="single" w:color="auto" w:sz="4" w:space="0"/>
                    <w:right w:val="single" w:color="auto" w:sz="4" w:space="0"/>
                  </w:tcBorders>
                  <w:vAlign w:val="center"/>
                </w:tcPr>
                <w:p>
                  <w:pPr>
                    <w:jc w:val="center"/>
                    <w:rPr>
                      <w:rFonts w:ascii="宋体"/>
                      <w:color w:val="000000"/>
                    </w:rPr>
                  </w:pPr>
                </w:p>
              </w:tc>
              <w:tc>
                <w:tcPr>
                  <w:tcW w:w="1671" w:type="dxa"/>
                  <w:vMerge w:val="continue"/>
                  <w:tcBorders>
                    <w:left w:val="single" w:color="auto" w:sz="4" w:space="0"/>
                    <w:right w:val="single" w:color="auto" w:sz="4" w:space="0"/>
                  </w:tcBorders>
                  <w:vAlign w:val="center"/>
                </w:tcPr>
                <w:p>
                  <w:pPr>
                    <w:adjustRightInd w:val="0"/>
                    <w:snapToGrid w:val="0"/>
                    <w:jc w:val="center"/>
                  </w:pPr>
                </w:p>
              </w:tc>
              <w:tc>
                <w:tcPr>
                  <w:tcW w:w="720" w:type="dxa"/>
                  <w:vMerge w:val="continue"/>
                  <w:tcBorders>
                    <w:left w:val="single" w:color="auto" w:sz="4" w:space="0"/>
                    <w:right w:val="single" w:color="auto" w:sz="4" w:space="0"/>
                  </w:tcBorders>
                  <w:vAlign w:val="center"/>
                </w:tcPr>
                <w:p>
                  <w:pPr>
                    <w:jc w:val="center"/>
                  </w:pPr>
                </w:p>
              </w:tc>
              <w:tc>
                <w:tcPr>
                  <w:tcW w:w="177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配料粉尘G4</w:t>
                  </w:r>
                </w:p>
              </w:tc>
              <w:tc>
                <w:tcPr>
                  <w:tcW w:w="2255" w:type="dxa"/>
                  <w:vMerge w:val="continue"/>
                  <w:tcBorders>
                    <w:left w:val="single" w:color="auto" w:sz="4" w:space="0"/>
                    <w:right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 w:hRule="atLeast"/>
              </w:trPr>
              <w:tc>
                <w:tcPr>
                  <w:tcW w:w="69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870" w:type="dxa"/>
                  <w:vMerge w:val="continue"/>
                  <w:tcBorders>
                    <w:left w:val="single" w:color="auto" w:sz="4" w:space="0"/>
                    <w:right w:val="single" w:color="auto" w:sz="4" w:space="0"/>
                  </w:tcBorders>
                  <w:vAlign w:val="center"/>
                </w:tcPr>
                <w:p>
                  <w:pPr>
                    <w:jc w:val="center"/>
                    <w:rPr>
                      <w:rFonts w:ascii="宋体"/>
                      <w:color w:val="000000"/>
                    </w:rPr>
                  </w:pPr>
                </w:p>
              </w:tc>
              <w:tc>
                <w:tcPr>
                  <w:tcW w:w="1671" w:type="dxa"/>
                  <w:vMerge w:val="continue"/>
                  <w:tcBorders>
                    <w:left w:val="single" w:color="auto" w:sz="4" w:space="0"/>
                    <w:bottom w:val="single" w:color="auto" w:sz="4" w:space="0"/>
                    <w:right w:val="single" w:color="auto" w:sz="4" w:space="0"/>
                  </w:tcBorders>
                  <w:vAlign w:val="center"/>
                </w:tcPr>
                <w:p>
                  <w:pPr>
                    <w:adjustRightInd w:val="0"/>
                    <w:snapToGrid w:val="0"/>
                    <w:jc w:val="center"/>
                  </w:pPr>
                </w:p>
              </w:tc>
              <w:tc>
                <w:tcPr>
                  <w:tcW w:w="720" w:type="dxa"/>
                  <w:vMerge w:val="continue"/>
                  <w:tcBorders>
                    <w:left w:val="single" w:color="auto" w:sz="4" w:space="0"/>
                    <w:bottom w:val="single" w:color="auto" w:sz="4" w:space="0"/>
                    <w:right w:val="single" w:color="auto" w:sz="4" w:space="0"/>
                  </w:tcBorders>
                  <w:vAlign w:val="center"/>
                </w:tcPr>
                <w:p>
                  <w:pPr>
                    <w:jc w:val="center"/>
                  </w:pPr>
                </w:p>
              </w:tc>
              <w:tc>
                <w:tcPr>
                  <w:tcW w:w="177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打包粉尘G5</w:t>
                  </w:r>
                </w:p>
              </w:tc>
              <w:tc>
                <w:tcPr>
                  <w:tcW w:w="2255" w:type="dxa"/>
                  <w:vMerge w:val="continue"/>
                  <w:tcBorders>
                    <w:left w:val="single" w:color="auto" w:sz="4" w:space="0"/>
                    <w:bottom w:val="single" w:color="auto" w:sz="4" w:space="0"/>
                    <w:right w:val="single" w:color="auto" w:sz="4" w:space="0"/>
                  </w:tcBorders>
                  <w:vAlign w:val="center"/>
                </w:tcPr>
                <w:p>
                  <w:pPr>
                    <w:jc w:val="center"/>
                    <w:rPr>
                      <w:rFonts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9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870" w:type="dxa"/>
                  <w:vMerge w:val="continue"/>
                  <w:tcBorders>
                    <w:left w:val="single" w:color="auto" w:sz="4" w:space="0"/>
                    <w:right w:val="single" w:color="auto" w:sz="4" w:space="0"/>
                  </w:tcBorders>
                  <w:vAlign w:val="center"/>
                </w:tcPr>
                <w:p>
                  <w:pPr>
                    <w:jc w:val="center"/>
                    <w:rPr>
                      <w:rFonts w:ascii="宋体"/>
                      <w:color w:val="000000"/>
                    </w:rPr>
                  </w:pPr>
                </w:p>
              </w:tc>
              <w:tc>
                <w:tcPr>
                  <w:tcW w:w="167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pPr>
                  <w:r>
                    <w:rPr>
                      <w:rFonts w:hint="eastAsia"/>
                    </w:rPr>
                    <w:t>蒸汽锅炉</w:t>
                  </w:r>
                </w:p>
              </w:tc>
              <w:tc>
                <w:tcPr>
                  <w:tcW w:w="2490" w:type="dxa"/>
                  <w:gridSpan w:val="2"/>
                  <w:tcBorders>
                    <w:top w:val="single" w:color="auto" w:sz="4" w:space="0"/>
                    <w:left w:val="single" w:color="auto" w:sz="4" w:space="0"/>
                    <w:bottom w:val="single" w:color="auto" w:sz="4" w:space="0"/>
                    <w:right w:val="single" w:color="auto" w:sz="4" w:space="0"/>
                  </w:tcBorders>
                  <w:vAlign w:val="center"/>
                </w:tcPr>
                <w:p>
                  <w:pPr>
                    <w:jc w:val="center"/>
                  </w:pPr>
                  <w:r>
                    <w:rPr>
                      <w:rFonts w:hint="eastAsia"/>
                    </w:rPr>
                    <w:t>锅炉烟气</w:t>
                  </w:r>
                </w:p>
              </w:tc>
              <w:tc>
                <w:tcPr>
                  <w:tcW w:w="225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rPr>
                  </w:pPr>
                  <w:r>
                    <w:t>颗粒物、SO</w:t>
                  </w:r>
                  <w:r>
                    <w:rPr>
                      <w:vertAlign w:val="subscript"/>
                    </w:rPr>
                    <w:t>2</w:t>
                  </w:r>
                  <w:r>
                    <w:t>、NO</w:t>
                  </w:r>
                  <w:r>
                    <w:rPr>
                      <w:vertAlign w:val="subscript"/>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69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rPr>
                  </w:pPr>
                </w:p>
              </w:tc>
              <w:tc>
                <w:tcPr>
                  <w:tcW w:w="870" w:type="dxa"/>
                  <w:vMerge w:val="continue"/>
                  <w:tcBorders>
                    <w:left w:val="single" w:color="auto" w:sz="4" w:space="0"/>
                    <w:right w:val="single" w:color="auto" w:sz="4" w:space="0"/>
                  </w:tcBorders>
                  <w:vAlign w:val="center"/>
                </w:tcPr>
                <w:p>
                  <w:pPr>
                    <w:jc w:val="center"/>
                    <w:rPr>
                      <w:rFonts w:ascii="宋体"/>
                      <w:color w:val="000000"/>
                    </w:rPr>
                  </w:pPr>
                </w:p>
              </w:tc>
              <w:tc>
                <w:tcPr>
                  <w:tcW w:w="1671" w:type="dxa"/>
                  <w:tcBorders>
                    <w:top w:val="single" w:color="auto" w:sz="4" w:space="0"/>
                    <w:left w:val="single" w:color="auto" w:sz="4" w:space="0"/>
                    <w:right w:val="single" w:color="auto" w:sz="4" w:space="0"/>
                  </w:tcBorders>
                  <w:vAlign w:val="center"/>
                </w:tcPr>
                <w:p>
                  <w:pPr>
                    <w:adjustRightInd w:val="0"/>
                    <w:snapToGrid w:val="0"/>
                    <w:jc w:val="center"/>
                  </w:pPr>
                  <w:r>
                    <w:rPr>
                      <w:rFonts w:hint="eastAsia"/>
                    </w:rPr>
                    <w:t>食堂</w:t>
                  </w:r>
                </w:p>
              </w:tc>
              <w:tc>
                <w:tcPr>
                  <w:tcW w:w="2490" w:type="dxa"/>
                  <w:gridSpan w:val="2"/>
                  <w:tcBorders>
                    <w:top w:val="single" w:color="auto" w:sz="4" w:space="0"/>
                    <w:left w:val="single" w:color="auto" w:sz="4" w:space="0"/>
                    <w:right w:val="single" w:color="auto" w:sz="4" w:space="0"/>
                  </w:tcBorders>
                  <w:vAlign w:val="center"/>
                </w:tcPr>
                <w:p>
                  <w:pPr>
                    <w:jc w:val="center"/>
                  </w:pPr>
                  <w:r>
                    <w:rPr>
                      <w:rFonts w:hint="eastAsia"/>
                    </w:rPr>
                    <w:t>食堂油烟</w:t>
                  </w:r>
                </w:p>
              </w:tc>
              <w:tc>
                <w:tcPr>
                  <w:tcW w:w="2255" w:type="dxa"/>
                  <w:tcBorders>
                    <w:top w:val="single" w:color="auto" w:sz="4" w:space="0"/>
                    <w:left w:val="single" w:color="auto" w:sz="4" w:space="0"/>
                    <w:right w:val="single" w:color="auto" w:sz="4" w:space="0"/>
                  </w:tcBorders>
                  <w:vAlign w:val="center"/>
                </w:tcPr>
                <w:p>
                  <w:pPr>
                    <w:jc w:val="center"/>
                  </w:pPr>
                  <w:r>
                    <w:t>食堂油烟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692" w:type="dxa"/>
                  <w:vMerge w:val="restart"/>
                  <w:tcBorders>
                    <w:top w:val="single" w:color="auto" w:sz="4" w:space="0"/>
                    <w:left w:val="single" w:color="auto" w:sz="4" w:space="0"/>
                    <w:right w:val="single" w:color="auto" w:sz="4" w:space="0"/>
                  </w:tcBorders>
                  <w:vAlign w:val="center"/>
                </w:tcPr>
                <w:p>
                  <w:pPr>
                    <w:jc w:val="center"/>
                    <w:rPr>
                      <w:rFonts w:ascii="宋体"/>
                    </w:rPr>
                  </w:pPr>
                  <w:r>
                    <w:t>2</w:t>
                  </w:r>
                </w:p>
              </w:tc>
              <w:tc>
                <w:tcPr>
                  <w:tcW w:w="870" w:type="dxa"/>
                  <w:vMerge w:val="restart"/>
                  <w:tcBorders>
                    <w:top w:val="single" w:color="auto" w:sz="4" w:space="0"/>
                    <w:left w:val="single" w:color="auto" w:sz="4" w:space="0"/>
                    <w:right w:val="single" w:color="auto" w:sz="4" w:space="0"/>
                  </w:tcBorders>
                  <w:vAlign w:val="center"/>
                </w:tcPr>
                <w:p>
                  <w:pPr>
                    <w:adjustRightInd w:val="0"/>
                    <w:snapToGrid w:val="0"/>
                    <w:jc w:val="center"/>
                  </w:pPr>
                  <w:r>
                    <w:rPr>
                      <w:rFonts w:hint="eastAsia" w:cs="宋体"/>
                    </w:rPr>
                    <w:t>废水</w:t>
                  </w:r>
                </w:p>
              </w:tc>
              <w:tc>
                <w:tcPr>
                  <w:tcW w:w="167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宋体"/>
                    </w:rPr>
                  </w:pPr>
                  <w:r>
                    <w:rPr>
                      <w:rFonts w:hint="eastAsia" w:cs="宋体"/>
                    </w:rPr>
                    <w:t>员工生活</w:t>
                  </w:r>
                </w:p>
              </w:tc>
              <w:tc>
                <w:tcPr>
                  <w:tcW w:w="249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rPr>
                  </w:pPr>
                  <w:r>
                    <w:rPr>
                      <w:rFonts w:hint="eastAsia" w:ascii="宋体" w:hAnsi="宋体" w:cs="宋体"/>
                    </w:rPr>
                    <w:t>生活污水</w:t>
                  </w:r>
                </w:p>
              </w:tc>
              <w:tc>
                <w:tcPr>
                  <w:tcW w:w="2255" w:type="dxa"/>
                  <w:tcBorders>
                    <w:top w:val="single" w:color="auto" w:sz="4" w:space="0"/>
                    <w:left w:val="single" w:color="auto" w:sz="4" w:space="0"/>
                    <w:bottom w:val="single" w:color="auto" w:sz="4" w:space="0"/>
                    <w:right w:val="single" w:color="auto" w:sz="4" w:space="0"/>
                  </w:tcBorders>
                  <w:vAlign w:val="center"/>
                </w:tcPr>
                <w:p>
                  <w:pPr>
                    <w:jc w:val="center"/>
                    <w:rPr>
                      <w:rFonts w:ascii="宋体"/>
                    </w:rPr>
                  </w:pPr>
                  <w:r>
                    <w:t>COD</w:t>
                  </w:r>
                  <w:r>
                    <w:rPr>
                      <w:rFonts w:hint="eastAsia" w:cs="宋体"/>
                    </w:rPr>
                    <w:t>、</w:t>
                  </w:r>
                  <w:r>
                    <w:t>BOD</w:t>
                  </w:r>
                  <w:r>
                    <w:rPr>
                      <w:vertAlign w:val="subscript"/>
                    </w:rPr>
                    <w:t>5</w:t>
                  </w:r>
                  <w:r>
                    <w:rPr>
                      <w:rFonts w:hint="eastAsia" w:cs="宋体"/>
                    </w:rPr>
                    <w:t>、</w:t>
                  </w:r>
                  <w:r>
                    <w:t>NH</w:t>
                  </w:r>
                  <w:r>
                    <w:rPr>
                      <w:vertAlign w:val="subscript"/>
                    </w:rPr>
                    <w:t>3</w:t>
                  </w:r>
                  <w:r>
                    <w:t>-N</w:t>
                  </w:r>
                  <w:r>
                    <w:rPr>
                      <w:rFonts w:hint="eastAsia" w:cs="宋体"/>
                    </w:rPr>
                    <w:t>、</w:t>
                  </w:r>
                  <w:r>
                    <w:t>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692" w:type="dxa"/>
                  <w:vMerge w:val="continue"/>
                  <w:tcBorders>
                    <w:left w:val="single" w:color="auto" w:sz="4" w:space="0"/>
                    <w:right w:val="single" w:color="auto" w:sz="4" w:space="0"/>
                  </w:tcBorders>
                  <w:vAlign w:val="center"/>
                </w:tcPr>
                <w:p>
                  <w:pPr>
                    <w:jc w:val="center"/>
                  </w:pPr>
                </w:p>
              </w:tc>
              <w:tc>
                <w:tcPr>
                  <w:tcW w:w="870" w:type="dxa"/>
                  <w:vMerge w:val="continue"/>
                  <w:tcBorders>
                    <w:left w:val="single" w:color="auto" w:sz="4" w:space="0"/>
                    <w:right w:val="single" w:color="auto" w:sz="4" w:space="0"/>
                  </w:tcBorders>
                  <w:vAlign w:val="center"/>
                </w:tcPr>
                <w:p>
                  <w:pPr>
                    <w:adjustRightInd w:val="0"/>
                    <w:snapToGrid w:val="0"/>
                    <w:jc w:val="center"/>
                    <w:rPr>
                      <w:rFonts w:cs="宋体"/>
                    </w:rPr>
                  </w:pPr>
                </w:p>
              </w:tc>
              <w:tc>
                <w:tcPr>
                  <w:tcW w:w="167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宋体"/>
                    </w:rPr>
                  </w:pPr>
                  <w:r>
                    <w:rPr>
                      <w:rFonts w:hint="eastAsia" w:cs="宋体"/>
                    </w:rPr>
                    <w:t>食堂</w:t>
                  </w:r>
                </w:p>
              </w:tc>
              <w:tc>
                <w:tcPr>
                  <w:tcW w:w="249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rPr>
                  </w:pPr>
                  <w:r>
                    <w:rPr>
                      <w:rFonts w:hint="eastAsia" w:ascii="宋体" w:hAnsi="宋体" w:cs="宋体"/>
                    </w:rPr>
                    <w:t>食堂废水</w:t>
                  </w:r>
                </w:p>
              </w:tc>
              <w:tc>
                <w:tcPr>
                  <w:tcW w:w="2255" w:type="dxa"/>
                  <w:tcBorders>
                    <w:top w:val="single" w:color="auto" w:sz="4" w:space="0"/>
                    <w:left w:val="single" w:color="auto" w:sz="4" w:space="0"/>
                    <w:bottom w:val="single" w:color="auto" w:sz="4" w:space="0"/>
                    <w:right w:val="single" w:color="auto" w:sz="4" w:space="0"/>
                  </w:tcBorders>
                  <w:vAlign w:val="center"/>
                </w:tcPr>
                <w:p>
                  <w:pPr>
                    <w:jc w:val="center"/>
                  </w:pPr>
                  <w:r>
                    <w:t>COD、BOD</w:t>
                  </w:r>
                  <w:r>
                    <w:rPr>
                      <w:vertAlign w:val="subscript"/>
                    </w:rPr>
                    <w:t>5</w:t>
                  </w:r>
                  <w:r>
                    <w:t>、NH</w:t>
                  </w:r>
                  <w:r>
                    <w:rPr>
                      <w:vertAlign w:val="subscript"/>
                    </w:rPr>
                    <w:t>3</w:t>
                  </w:r>
                  <w:r>
                    <w:t>-N、SS、动植物油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692" w:type="dxa"/>
                  <w:vMerge w:val="continue"/>
                  <w:tcBorders>
                    <w:left w:val="single" w:color="auto" w:sz="4" w:space="0"/>
                    <w:bottom w:val="single" w:color="auto" w:sz="4" w:space="0"/>
                    <w:right w:val="single" w:color="auto" w:sz="4" w:space="0"/>
                  </w:tcBorders>
                  <w:vAlign w:val="center"/>
                </w:tcPr>
                <w:p>
                  <w:pPr>
                    <w:jc w:val="center"/>
                  </w:pPr>
                </w:p>
              </w:tc>
              <w:tc>
                <w:tcPr>
                  <w:tcW w:w="870" w:type="dxa"/>
                  <w:vMerge w:val="continue"/>
                  <w:tcBorders>
                    <w:left w:val="single" w:color="auto" w:sz="4" w:space="0"/>
                    <w:bottom w:val="single" w:color="auto" w:sz="4" w:space="0"/>
                    <w:right w:val="single" w:color="auto" w:sz="4" w:space="0"/>
                  </w:tcBorders>
                  <w:vAlign w:val="center"/>
                </w:tcPr>
                <w:p>
                  <w:pPr>
                    <w:adjustRightInd w:val="0"/>
                    <w:snapToGrid w:val="0"/>
                    <w:jc w:val="center"/>
                    <w:rPr>
                      <w:rFonts w:cs="宋体"/>
                    </w:rPr>
                  </w:pPr>
                </w:p>
              </w:tc>
              <w:tc>
                <w:tcPr>
                  <w:tcW w:w="167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cs="宋体"/>
                    </w:rPr>
                  </w:pPr>
                  <w:r>
                    <w:rPr>
                      <w:rFonts w:hint="eastAsia" w:cs="宋体"/>
                    </w:rPr>
                    <w:t>蒸汽锅炉</w:t>
                  </w:r>
                </w:p>
              </w:tc>
              <w:tc>
                <w:tcPr>
                  <w:tcW w:w="249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s="宋体"/>
                      <w:lang w:eastAsia="zh-CN"/>
                    </w:rPr>
                  </w:pPr>
                  <w:r>
                    <w:rPr>
                      <w:rFonts w:hint="eastAsia" w:ascii="宋体" w:hAnsi="宋体" w:cs="宋体"/>
                      <w:lang w:eastAsia="zh-CN"/>
                    </w:rPr>
                    <w:t>纯水制备废水</w:t>
                  </w:r>
                </w:p>
              </w:tc>
              <w:tc>
                <w:tcPr>
                  <w:tcW w:w="225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bCs/>
                    </w:rPr>
                  </w:pPr>
                  <w:r>
                    <w:t>COD、SS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pPr>
                  <w:r>
                    <w:t>3</w:t>
                  </w:r>
                </w:p>
              </w:tc>
              <w:tc>
                <w:tcPr>
                  <w:tcW w:w="87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宋体" w:hAnsi="宋体" w:cs="宋体"/>
                    </w:rPr>
                    <w:t>噪声</w:t>
                  </w:r>
                </w:p>
              </w:tc>
              <w:tc>
                <w:tcPr>
                  <w:tcW w:w="1671" w:type="dxa"/>
                  <w:tcBorders>
                    <w:top w:val="single" w:color="auto" w:sz="4" w:space="0"/>
                    <w:left w:val="single" w:color="auto" w:sz="4" w:space="0"/>
                    <w:bottom w:val="single" w:color="auto" w:sz="4" w:space="0"/>
                    <w:right w:val="single" w:color="auto" w:sz="4" w:space="0"/>
                  </w:tcBorders>
                  <w:vAlign w:val="center"/>
                </w:tcPr>
                <w:p>
                  <w:pPr>
                    <w:jc w:val="center"/>
                    <w:rPr>
                      <w:rFonts w:cs="宋体"/>
                    </w:rPr>
                  </w:pPr>
                  <w:r>
                    <w:rPr>
                      <w:rFonts w:hint="eastAsia" w:cs="宋体"/>
                    </w:rPr>
                    <w:t>生产设备</w:t>
                  </w:r>
                </w:p>
              </w:tc>
              <w:tc>
                <w:tcPr>
                  <w:tcW w:w="2490" w:type="dxa"/>
                  <w:gridSpan w:val="2"/>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运行噪声</w:t>
                  </w:r>
                </w:p>
              </w:tc>
              <w:tc>
                <w:tcPr>
                  <w:tcW w:w="2255"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等效连续</w:t>
                  </w:r>
                  <w:r>
                    <w:t>A</w:t>
                  </w:r>
                  <w:r>
                    <w:rPr>
                      <w:rFonts w:hint="eastAsia" w:cs="宋体"/>
                    </w:rPr>
                    <w:t>声级</w:t>
                  </w:r>
                  <w:r>
                    <w:t>Leq</w:t>
                  </w:r>
                  <w:r>
                    <w:rPr>
                      <w:rFonts w:hint="eastAsia" w:cs="宋体"/>
                    </w:rPr>
                    <w:t>（</w:t>
                  </w:r>
                  <w:r>
                    <w:t>A</w:t>
                  </w:r>
                  <w:r>
                    <w:rPr>
                      <w:rFonts w:hint="eastAsia"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692" w:type="dxa"/>
                  <w:vMerge w:val="restart"/>
                  <w:tcBorders>
                    <w:top w:val="single" w:color="auto" w:sz="4" w:space="0"/>
                    <w:left w:val="single" w:color="auto" w:sz="4" w:space="0"/>
                    <w:right w:val="single" w:color="auto" w:sz="4" w:space="0"/>
                  </w:tcBorders>
                  <w:vAlign w:val="center"/>
                </w:tcPr>
                <w:p>
                  <w:pPr>
                    <w:jc w:val="center"/>
                    <w:rPr>
                      <w:rFonts w:ascii="宋体"/>
                    </w:rPr>
                  </w:pPr>
                  <w:r>
                    <w:t>4</w:t>
                  </w:r>
                </w:p>
              </w:tc>
              <w:tc>
                <w:tcPr>
                  <w:tcW w:w="870" w:type="dxa"/>
                  <w:vMerge w:val="restart"/>
                  <w:tcBorders>
                    <w:top w:val="single" w:color="auto" w:sz="4" w:space="0"/>
                    <w:left w:val="single" w:color="auto" w:sz="4" w:space="0"/>
                    <w:right w:val="single" w:color="auto" w:sz="4" w:space="0"/>
                  </w:tcBorders>
                  <w:vAlign w:val="center"/>
                </w:tcPr>
                <w:p>
                  <w:pPr>
                    <w:pStyle w:val="70"/>
                  </w:pPr>
                  <w:r>
                    <w:rPr>
                      <w:rFonts w:hint="eastAsia" w:cs="宋体"/>
                    </w:rPr>
                    <w:t>固废</w:t>
                  </w:r>
                </w:p>
              </w:tc>
              <w:tc>
                <w:tcPr>
                  <w:tcW w:w="1671" w:type="dxa"/>
                  <w:tcBorders>
                    <w:top w:val="single" w:color="auto" w:sz="4" w:space="0"/>
                    <w:left w:val="single" w:color="auto" w:sz="4" w:space="0"/>
                    <w:bottom w:val="single" w:color="auto" w:sz="4" w:space="0"/>
                    <w:right w:val="single" w:color="auto" w:sz="4" w:space="0"/>
                  </w:tcBorders>
                  <w:vAlign w:val="center"/>
                </w:tcPr>
                <w:p>
                  <w:pPr>
                    <w:pStyle w:val="70"/>
                    <w:rPr>
                      <w:rFonts w:cs="宋体"/>
                    </w:rPr>
                  </w:pPr>
                  <w:r>
                    <w:rPr>
                      <w:rFonts w:hint="eastAsia" w:cs="宋体"/>
                    </w:rPr>
                    <w:t>员工生活</w:t>
                  </w:r>
                </w:p>
              </w:tc>
              <w:tc>
                <w:tcPr>
                  <w:tcW w:w="2490" w:type="dxa"/>
                  <w:gridSpan w:val="2"/>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生活垃圾</w:t>
                  </w:r>
                </w:p>
              </w:tc>
              <w:tc>
                <w:tcPr>
                  <w:tcW w:w="2255"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生活垃圾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92" w:type="dxa"/>
                  <w:vMerge w:val="continue"/>
                  <w:tcBorders>
                    <w:left w:val="single" w:color="auto" w:sz="4" w:space="0"/>
                    <w:right w:val="single" w:color="auto" w:sz="4" w:space="0"/>
                  </w:tcBorders>
                  <w:vAlign w:val="center"/>
                </w:tcPr>
                <w:p>
                  <w:pPr>
                    <w:jc w:val="center"/>
                    <w:rPr>
                      <w:rFonts w:ascii="宋体"/>
                    </w:rPr>
                  </w:pPr>
                </w:p>
              </w:tc>
              <w:tc>
                <w:tcPr>
                  <w:tcW w:w="870" w:type="dxa"/>
                  <w:vMerge w:val="continue"/>
                  <w:tcBorders>
                    <w:left w:val="single" w:color="auto" w:sz="4" w:space="0"/>
                    <w:right w:val="single" w:color="auto" w:sz="4" w:space="0"/>
                  </w:tcBorders>
                  <w:vAlign w:val="center"/>
                </w:tcPr>
                <w:p>
                  <w:pPr>
                    <w:jc w:val="center"/>
                  </w:pPr>
                </w:p>
              </w:tc>
              <w:tc>
                <w:tcPr>
                  <w:tcW w:w="1671" w:type="dxa"/>
                  <w:tcBorders>
                    <w:top w:val="single" w:color="auto" w:sz="4" w:space="0"/>
                    <w:left w:val="single" w:color="auto" w:sz="4" w:space="0"/>
                    <w:right w:val="single" w:color="auto" w:sz="4" w:space="0"/>
                  </w:tcBorders>
                  <w:vAlign w:val="center"/>
                </w:tcPr>
                <w:p>
                  <w:pPr>
                    <w:jc w:val="center"/>
                  </w:pPr>
                  <w:r>
                    <w:rPr>
                      <w:rFonts w:hint="eastAsia"/>
                    </w:rPr>
                    <w:t>生产过程</w:t>
                  </w:r>
                </w:p>
              </w:tc>
              <w:tc>
                <w:tcPr>
                  <w:tcW w:w="2490" w:type="dxa"/>
                  <w:gridSpan w:val="2"/>
                  <w:tcBorders>
                    <w:top w:val="single" w:color="auto" w:sz="4" w:space="0"/>
                    <w:left w:val="single" w:color="auto" w:sz="4" w:space="0"/>
                    <w:bottom w:val="single" w:color="auto" w:sz="4" w:space="0"/>
                    <w:right w:val="single" w:color="auto" w:sz="4" w:space="0"/>
                  </w:tcBorders>
                  <w:vAlign w:val="center"/>
                </w:tcPr>
                <w:p>
                  <w:pPr>
                    <w:pStyle w:val="70"/>
                  </w:pPr>
                  <w:r>
                    <w:rPr>
                      <w:rFonts w:hint="eastAsia"/>
                    </w:rPr>
                    <w:t>初清筛杂质</w:t>
                  </w:r>
                </w:p>
              </w:tc>
              <w:tc>
                <w:tcPr>
                  <w:tcW w:w="2255" w:type="dxa"/>
                  <w:vMerge w:val="restart"/>
                  <w:tcBorders>
                    <w:top w:val="single" w:color="auto" w:sz="4" w:space="0"/>
                    <w:left w:val="single" w:color="auto" w:sz="4" w:space="0"/>
                    <w:right w:val="single" w:color="auto" w:sz="4" w:space="0"/>
                  </w:tcBorders>
                  <w:vAlign w:val="center"/>
                </w:tcPr>
                <w:p>
                  <w:pPr>
                    <w:jc w:val="center"/>
                  </w:pPr>
                  <w:r>
                    <w:rPr>
                      <w:rFonts w:hint="eastAsia"/>
                    </w:rPr>
                    <w:t>一般工业固体废物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692" w:type="dxa"/>
                  <w:vMerge w:val="continue"/>
                  <w:tcBorders>
                    <w:left w:val="single" w:color="auto" w:sz="4" w:space="0"/>
                    <w:right w:val="single" w:color="auto" w:sz="4" w:space="0"/>
                  </w:tcBorders>
                  <w:vAlign w:val="center"/>
                </w:tcPr>
                <w:p>
                  <w:pPr>
                    <w:jc w:val="center"/>
                    <w:rPr>
                      <w:rFonts w:ascii="宋体"/>
                    </w:rPr>
                  </w:pPr>
                </w:p>
              </w:tc>
              <w:tc>
                <w:tcPr>
                  <w:tcW w:w="870" w:type="dxa"/>
                  <w:vMerge w:val="continue"/>
                  <w:tcBorders>
                    <w:left w:val="single" w:color="auto" w:sz="4" w:space="0"/>
                    <w:right w:val="single" w:color="auto" w:sz="4" w:space="0"/>
                  </w:tcBorders>
                  <w:vAlign w:val="center"/>
                </w:tcPr>
                <w:p>
                  <w:pPr>
                    <w:jc w:val="center"/>
                  </w:pPr>
                </w:p>
              </w:tc>
              <w:tc>
                <w:tcPr>
                  <w:tcW w:w="1671" w:type="dxa"/>
                  <w:tcBorders>
                    <w:top w:val="single" w:color="auto" w:sz="4" w:space="0"/>
                    <w:left w:val="single" w:color="auto" w:sz="4" w:space="0"/>
                    <w:bottom w:val="single" w:color="auto" w:sz="4" w:space="0"/>
                    <w:right w:val="single" w:color="auto" w:sz="4" w:space="0"/>
                  </w:tcBorders>
                  <w:vAlign w:val="center"/>
                </w:tcPr>
                <w:p>
                  <w:pPr>
                    <w:jc w:val="center"/>
                    <w:rPr>
                      <w:rFonts w:cs="宋体"/>
                    </w:rPr>
                  </w:pPr>
                  <w:r>
                    <w:rPr>
                      <w:rFonts w:hint="eastAsia" w:cs="宋体"/>
                    </w:rPr>
                    <w:t>生产过程</w:t>
                  </w:r>
                </w:p>
              </w:tc>
              <w:tc>
                <w:tcPr>
                  <w:tcW w:w="2490" w:type="dxa"/>
                  <w:gridSpan w:val="2"/>
                  <w:tcBorders>
                    <w:top w:val="single" w:color="auto" w:sz="4" w:space="0"/>
                    <w:left w:val="single" w:color="auto" w:sz="4" w:space="0"/>
                    <w:bottom w:val="single" w:color="auto" w:sz="4" w:space="0"/>
                    <w:right w:val="single" w:color="auto" w:sz="4" w:space="0"/>
                  </w:tcBorders>
                  <w:vAlign w:val="center"/>
                </w:tcPr>
                <w:p>
                  <w:pPr>
                    <w:pStyle w:val="70"/>
                  </w:pPr>
                  <w:r>
                    <w:rPr>
                      <w:rFonts w:hint="eastAsia"/>
                    </w:rPr>
                    <w:t>磁选杂质</w:t>
                  </w:r>
                </w:p>
              </w:tc>
              <w:tc>
                <w:tcPr>
                  <w:tcW w:w="2255" w:type="dxa"/>
                  <w:vMerge w:val="continue"/>
                  <w:tcBorders>
                    <w:left w:val="single" w:color="auto" w:sz="4" w:space="0"/>
                    <w:right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692" w:type="dxa"/>
                  <w:vMerge w:val="continue"/>
                  <w:tcBorders>
                    <w:left w:val="single" w:color="auto" w:sz="4" w:space="0"/>
                    <w:right w:val="single" w:color="auto" w:sz="4" w:space="0"/>
                  </w:tcBorders>
                  <w:vAlign w:val="center"/>
                </w:tcPr>
                <w:p>
                  <w:pPr>
                    <w:jc w:val="center"/>
                    <w:rPr>
                      <w:rFonts w:ascii="宋体"/>
                    </w:rPr>
                  </w:pPr>
                </w:p>
              </w:tc>
              <w:tc>
                <w:tcPr>
                  <w:tcW w:w="870" w:type="dxa"/>
                  <w:vMerge w:val="continue"/>
                  <w:tcBorders>
                    <w:left w:val="single" w:color="auto" w:sz="4" w:space="0"/>
                    <w:right w:val="single" w:color="auto" w:sz="4" w:space="0"/>
                  </w:tcBorders>
                  <w:vAlign w:val="center"/>
                </w:tcPr>
                <w:p>
                  <w:pPr>
                    <w:jc w:val="center"/>
                  </w:pPr>
                </w:p>
              </w:tc>
              <w:tc>
                <w:tcPr>
                  <w:tcW w:w="1671" w:type="dxa"/>
                  <w:tcBorders>
                    <w:top w:val="single" w:color="auto" w:sz="4" w:space="0"/>
                    <w:left w:val="single" w:color="auto" w:sz="4" w:space="0"/>
                    <w:bottom w:val="single" w:color="auto" w:sz="4" w:space="0"/>
                    <w:right w:val="single" w:color="auto" w:sz="4" w:space="0"/>
                  </w:tcBorders>
                  <w:vAlign w:val="center"/>
                </w:tcPr>
                <w:p>
                  <w:pPr>
                    <w:jc w:val="center"/>
                    <w:rPr>
                      <w:rFonts w:cs="宋体"/>
                    </w:rPr>
                  </w:pPr>
                  <w:r>
                    <w:rPr>
                      <w:rFonts w:hint="eastAsia" w:cs="宋体"/>
                    </w:rPr>
                    <w:t>生产过程</w:t>
                  </w:r>
                </w:p>
              </w:tc>
              <w:tc>
                <w:tcPr>
                  <w:tcW w:w="2490" w:type="dxa"/>
                  <w:gridSpan w:val="2"/>
                  <w:tcBorders>
                    <w:top w:val="single" w:color="auto" w:sz="4" w:space="0"/>
                    <w:left w:val="single" w:color="auto" w:sz="4" w:space="0"/>
                    <w:bottom w:val="single" w:color="auto" w:sz="4" w:space="0"/>
                    <w:right w:val="single" w:color="auto" w:sz="4" w:space="0"/>
                  </w:tcBorders>
                  <w:vAlign w:val="center"/>
                </w:tcPr>
                <w:p>
                  <w:pPr>
                    <w:pStyle w:val="70"/>
                  </w:pPr>
                  <w:r>
                    <w:rPr>
                      <w:rFonts w:hint="eastAsia"/>
                    </w:rPr>
                    <w:t>废包装袋</w:t>
                  </w:r>
                </w:p>
              </w:tc>
              <w:tc>
                <w:tcPr>
                  <w:tcW w:w="2255" w:type="dxa"/>
                  <w:vMerge w:val="continue"/>
                  <w:tcBorders>
                    <w:left w:val="single" w:color="auto" w:sz="4" w:space="0"/>
                    <w:right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692" w:type="dxa"/>
                  <w:vMerge w:val="continue"/>
                  <w:tcBorders>
                    <w:left w:val="single" w:color="auto" w:sz="4" w:space="0"/>
                    <w:right w:val="single" w:color="auto" w:sz="4" w:space="0"/>
                  </w:tcBorders>
                  <w:vAlign w:val="center"/>
                </w:tcPr>
                <w:p>
                  <w:pPr>
                    <w:jc w:val="center"/>
                    <w:rPr>
                      <w:rFonts w:ascii="宋体"/>
                    </w:rPr>
                  </w:pPr>
                </w:p>
              </w:tc>
              <w:tc>
                <w:tcPr>
                  <w:tcW w:w="870" w:type="dxa"/>
                  <w:vMerge w:val="continue"/>
                  <w:tcBorders>
                    <w:left w:val="single" w:color="auto" w:sz="4" w:space="0"/>
                    <w:right w:val="single" w:color="auto" w:sz="4" w:space="0"/>
                  </w:tcBorders>
                  <w:vAlign w:val="center"/>
                </w:tcPr>
                <w:p>
                  <w:pPr>
                    <w:jc w:val="center"/>
                  </w:pPr>
                </w:p>
              </w:tc>
              <w:tc>
                <w:tcPr>
                  <w:tcW w:w="1671" w:type="dxa"/>
                  <w:tcBorders>
                    <w:top w:val="single" w:color="auto" w:sz="4" w:space="0"/>
                    <w:left w:val="single" w:color="auto" w:sz="4" w:space="0"/>
                    <w:bottom w:val="single" w:color="auto" w:sz="4" w:space="0"/>
                    <w:right w:val="single" w:color="auto" w:sz="4" w:space="0"/>
                  </w:tcBorders>
                  <w:vAlign w:val="center"/>
                </w:tcPr>
                <w:p>
                  <w:pPr>
                    <w:jc w:val="center"/>
                    <w:rPr>
                      <w:rFonts w:cs="宋体"/>
                    </w:rPr>
                  </w:pPr>
                  <w:r>
                    <w:rPr>
                      <w:rFonts w:hint="eastAsia" w:cs="宋体"/>
                    </w:rPr>
                    <w:t>除尘器</w:t>
                  </w:r>
                </w:p>
              </w:tc>
              <w:tc>
                <w:tcPr>
                  <w:tcW w:w="2490" w:type="dxa"/>
                  <w:gridSpan w:val="2"/>
                  <w:tcBorders>
                    <w:top w:val="single" w:color="auto" w:sz="4" w:space="0"/>
                    <w:left w:val="single" w:color="auto" w:sz="4" w:space="0"/>
                    <w:bottom w:val="single" w:color="auto" w:sz="4" w:space="0"/>
                    <w:right w:val="single" w:color="auto" w:sz="4" w:space="0"/>
                  </w:tcBorders>
                  <w:vAlign w:val="center"/>
                </w:tcPr>
                <w:p>
                  <w:pPr>
                    <w:pStyle w:val="70"/>
                  </w:pPr>
                  <w:r>
                    <w:rPr>
                      <w:rFonts w:hint="eastAsia"/>
                    </w:rPr>
                    <w:t>除尘器收集的粉尘</w:t>
                  </w:r>
                </w:p>
              </w:tc>
              <w:tc>
                <w:tcPr>
                  <w:tcW w:w="2255" w:type="dxa"/>
                  <w:vMerge w:val="continue"/>
                  <w:tcBorders>
                    <w:left w:val="single" w:color="auto" w:sz="4" w:space="0"/>
                    <w:right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692" w:type="dxa"/>
                  <w:vMerge w:val="continue"/>
                  <w:tcBorders>
                    <w:left w:val="single" w:color="auto" w:sz="4" w:space="0"/>
                    <w:right w:val="single" w:color="auto" w:sz="4" w:space="0"/>
                  </w:tcBorders>
                  <w:vAlign w:val="center"/>
                </w:tcPr>
                <w:p>
                  <w:pPr>
                    <w:jc w:val="center"/>
                    <w:rPr>
                      <w:rFonts w:ascii="宋体"/>
                    </w:rPr>
                  </w:pPr>
                </w:p>
              </w:tc>
              <w:tc>
                <w:tcPr>
                  <w:tcW w:w="870" w:type="dxa"/>
                  <w:vMerge w:val="continue"/>
                  <w:tcBorders>
                    <w:left w:val="single" w:color="auto" w:sz="4" w:space="0"/>
                    <w:right w:val="single" w:color="auto" w:sz="4" w:space="0"/>
                  </w:tcBorders>
                  <w:vAlign w:val="center"/>
                </w:tcPr>
                <w:p>
                  <w:pPr>
                    <w:jc w:val="center"/>
                  </w:pPr>
                </w:p>
              </w:tc>
              <w:tc>
                <w:tcPr>
                  <w:tcW w:w="1671" w:type="dxa"/>
                  <w:tcBorders>
                    <w:top w:val="single" w:color="auto" w:sz="4" w:space="0"/>
                    <w:left w:val="single" w:color="auto" w:sz="4" w:space="0"/>
                    <w:bottom w:val="single" w:color="auto" w:sz="4" w:space="0"/>
                    <w:right w:val="single" w:color="auto" w:sz="4" w:space="0"/>
                  </w:tcBorders>
                  <w:vAlign w:val="center"/>
                </w:tcPr>
                <w:p>
                  <w:pPr>
                    <w:jc w:val="center"/>
                    <w:rPr>
                      <w:rFonts w:cs="宋体"/>
                      <w:color w:val="auto"/>
                    </w:rPr>
                  </w:pPr>
                  <w:r>
                    <w:rPr>
                      <w:rFonts w:hint="eastAsia" w:cs="宋体"/>
                      <w:color w:val="auto"/>
                    </w:rPr>
                    <w:t>锅炉</w:t>
                  </w:r>
                  <w:r>
                    <w:rPr>
                      <w:rFonts w:hint="eastAsia" w:cs="宋体"/>
                      <w:color w:val="auto"/>
                      <w:lang w:eastAsia="zh-CN"/>
                    </w:rPr>
                    <w:t>纯</w:t>
                  </w:r>
                  <w:r>
                    <w:rPr>
                      <w:rFonts w:hint="eastAsia" w:cs="宋体"/>
                      <w:color w:val="auto"/>
                    </w:rPr>
                    <w:t>水制备系统</w:t>
                  </w:r>
                </w:p>
              </w:tc>
              <w:tc>
                <w:tcPr>
                  <w:tcW w:w="2490" w:type="dxa"/>
                  <w:gridSpan w:val="2"/>
                  <w:tcBorders>
                    <w:top w:val="single" w:color="auto" w:sz="4" w:space="0"/>
                    <w:left w:val="single" w:color="auto" w:sz="4" w:space="0"/>
                    <w:bottom w:val="single" w:color="auto" w:sz="4" w:space="0"/>
                    <w:right w:val="single" w:color="auto" w:sz="4" w:space="0"/>
                  </w:tcBorders>
                  <w:vAlign w:val="center"/>
                </w:tcPr>
                <w:p>
                  <w:pPr>
                    <w:pStyle w:val="70"/>
                    <w:rPr>
                      <w:color w:val="auto"/>
                    </w:rPr>
                  </w:pPr>
                  <w:r>
                    <w:rPr>
                      <w:rFonts w:hint="eastAsia"/>
                      <w:color w:val="auto"/>
                      <w:lang w:eastAsia="zh-CN"/>
                    </w:rPr>
                    <w:t>纯</w:t>
                  </w:r>
                  <w:r>
                    <w:rPr>
                      <w:rFonts w:hint="eastAsia"/>
                      <w:color w:val="auto"/>
                    </w:rPr>
                    <w:t>水制备废离子交换树脂</w:t>
                  </w:r>
                </w:p>
              </w:tc>
              <w:tc>
                <w:tcPr>
                  <w:tcW w:w="2255" w:type="dxa"/>
                  <w:vMerge w:val="continue"/>
                  <w:tcBorders>
                    <w:left w:val="single" w:color="auto" w:sz="4" w:space="0"/>
                    <w:right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trPr>
              <w:tc>
                <w:tcPr>
                  <w:tcW w:w="692" w:type="dxa"/>
                  <w:vMerge w:val="continue"/>
                  <w:tcBorders>
                    <w:left w:val="single" w:color="auto" w:sz="4" w:space="0"/>
                    <w:right w:val="single" w:color="auto" w:sz="4" w:space="0"/>
                  </w:tcBorders>
                  <w:vAlign w:val="center"/>
                </w:tcPr>
                <w:p>
                  <w:pPr>
                    <w:jc w:val="center"/>
                    <w:rPr>
                      <w:rFonts w:ascii="宋体"/>
                    </w:rPr>
                  </w:pPr>
                </w:p>
              </w:tc>
              <w:tc>
                <w:tcPr>
                  <w:tcW w:w="870" w:type="dxa"/>
                  <w:vMerge w:val="continue"/>
                  <w:tcBorders>
                    <w:left w:val="single" w:color="auto" w:sz="4" w:space="0"/>
                    <w:right w:val="single" w:color="auto" w:sz="4" w:space="0"/>
                  </w:tcBorders>
                  <w:vAlign w:val="center"/>
                </w:tcPr>
                <w:p>
                  <w:pPr>
                    <w:jc w:val="center"/>
                    <w:rPr>
                      <w:rFonts w:cs="宋体"/>
                      <w:lang w:val="zh-CN"/>
                    </w:rPr>
                  </w:pPr>
                </w:p>
              </w:tc>
              <w:tc>
                <w:tcPr>
                  <w:tcW w:w="1671" w:type="dxa"/>
                  <w:vMerge w:val="restart"/>
                  <w:tcBorders>
                    <w:top w:val="single" w:color="auto" w:sz="4" w:space="0"/>
                    <w:left w:val="single" w:color="auto" w:sz="4" w:space="0"/>
                    <w:right w:val="single" w:color="auto" w:sz="4" w:space="0"/>
                  </w:tcBorders>
                  <w:vAlign w:val="center"/>
                </w:tcPr>
                <w:p>
                  <w:pPr>
                    <w:jc w:val="center"/>
                    <w:rPr>
                      <w:rFonts w:cs="宋体"/>
                      <w:color w:val="auto"/>
                    </w:rPr>
                  </w:pPr>
                  <w:r>
                    <w:rPr>
                      <w:rFonts w:hint="eastAsia" w:cs="宋体"/>
                      <w:color w:val="auto"/>
                    </w:rPr>
                    <w:t>设备维修和维护等</w:t>
                  </w:r>
                </w:p>
              </w:tc>
              <w:tc>
                <w:tcPr>
                  <w:tcW w:w="2490" w:type="dxa"/>
                  <w:gridSpan w:val="2"/>
                  <w:tcBorders>
                    <w:top w:val="single" w:color="auto" w:sz="4" w:space="0"/>
                    <w:left w:val="single" w:color="auto" w:sz="4" w:space="0"/>
                    <w:bottom w:val="single" w:color="auto" w:sz="4" w:space="0"/>
                    <w:right w:val="single" w:color="auto" w:sz="4" w:space="0"/>
                  </w:tcBorders>
                  <w:vAlign w:val="center"/>
                </w:tcPr>
                <w:p>
                  <w:pPr>
                    <w:pStyle w:val="70"/>
                    <w:rPr>
                      <w:rFonts w:cs="宋体"/>
                      <w:color w:val="auto"/>
                    </w:rPr>
                  </w:pPr>
                  <w:r>
                    <w:rPr>
                      <w:rFonts w:hint="eastAsia" w:cs="宋体"/>
                      <w:color w:val="auto"/>
                    </w:rPr>
                    <w:t>废机油、废机油桶</w:t>
                  </w:r>
                </w:p>
              </w:tc>
              <w:tc>
                <w:tcPr>
                  <w:tcW w:w="2255" w:type="dxa"/>
                  <w:vMerge w:val="restart"/>
                  <w:tcBorders>
                    <w:left w:val="single" w:color="auto" w:sz="4" w:space="0"/>
                    <w:right w:val="single" w:color="auto" w:sz="4" w:space="0"/>
                  </w:tcBorders>
                  <w:vAlign w:val="center"/>
                </w:tcPr>
                <w:p>
                  <w:pPr>
                    <w:jc w:val="center"/>
                  </w:pPr>
                  <w:r>
                    <w:rPr>
                      <w:rFonts w:hint="eastAsia" w:cs="宋体"/>
                    </w:rPr>
                    <w:t>危险废物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92" w:type="dxa"/>
                  <w:vMerge w:val="continue"/>
                  <w:tcBorders>
                    <w:left w:val="single" w:color="auto" w:sz="4" w:space="0"/>
                    <w:right w:val="single" w:color="auto" w:sz="4" w:space="0"/>
                  </w:tcBorders>
                  <w:vAlign w:val="center"/>
                </w:tcPr>
                <w:p>
                  <w:pPr>
                    <w:jc w:val="center"/>
                    <w:rPr>
                      <w:rFonts w:ascii="宋体"/>
                    </w:rPr>
                  </w:pPr>
                </w:p>
              </w:tc>
              <w:tc>
                <w:tcPr>
                  <w:tcW w:w="870" w:type="dxa"/>
                  <w:vMerge w:val="continue"/>
                  <w:tcBorders>
                    <w:left w:val="single" w:color="auto" w:sz="4" w:space="0"/>
                    <w:right w:val="single" w:color="auto" w:sz="4" w:space="0"/>
                  </w:tcBorders>
                  <w:vAlign w:val="center"/>
                </w:tcPr>
                <w:p>
                  <w:pPr>
                    <w:jc w:val="center"/>
                    <w:rPr>
                      <w:rFonts w:cs="宋体"/>
                      <w:lang w:val="zh-CN"/>
                    </w:rPr>
                  </w:pPr>
                </w:p>
              </w:tc>
              <w:tc>
                <w:tcPr>
                  <w:tcW w:w="1671" w:type="dxa"/>
                  <w:vMerge w:val="continue"/>
                  <w:tcBorders>
                    <w:left w:val="single" w:color="auto" w:sz="4" w:space="0"/>
                    <w:right w:val="single" w:color="auto" w:sz="4" w:space="0"/>
                  </w:tcBorders>
                  <w:vAlign w:val="center"/>
                </w:tcPr>
                <w:p>
                  <w:pPr>
                    <w:jc w:val="center"/>
                    <w:rPr>
                      <w:rFonts w:cs="宋体"/>
                      <w:color w:val="auto"/>
                    </w:rPr>
                  </w:pPr>
                </w:p>
              </w:tc>
              <w:tc>
                <w:tcPr>
                  <w:tcW w:w="2490" w:type="dxa"/>
                  <w:gridSpan w:val="2"/>
                  <w:tcBorders>
                    <w:top w:val="single" w:color="auto" w:sz="4" w:space="0"/>
                    <w:left w:val="single" w:color="auto" w:sz="4" w:space="0"/>
                    <w:bottom w:val="single" w:color="auto" w:sz="4" w:space="0"/>
                    <w:right w:val="single" w:color="auto" w:sz="4" w:space="0"/>
                  </w:tcBorders>
                  <w:vAlign w:val="center"/>
                </w:tcPr>
                <w:p>
                  <w:pPr>
                    <w:pStyle w:val="70"/>
                    <w:rPr>
                      <w:rFonts w:cs="宋体"/>
                      <w:color w:val="auto"/>
                    </w:rPr>
                  </w:pPr>
                  <w:r>
                    <w:rPr>
                      <w:bCs/>
                      <w:color w:val="auto"/>
                    </w:rPr>
                    <w:t>废弃的含油抹布、劳保用品</w:t>
                  </w:r>
                </w:p>
              </w:tc>
              <w:tc>
                <w:tcPr>
                  <w:tcW w:w="2255" w:type="dxa"/>
                  <w:vMerge w:val="continue"/>
                  <w:tcBorders>
                    <w:left w:val="single" w:color="auto" w:sz="4" w:space="0"/>
                    <w:right w:val="single" w:color="auto" w:sz="4" w:space="0"/>
                  </w:tcBorders>
                  <w:vAlign w:val="center"/>
                </w:tcPr>
                <w:p>
                  <w:pPr>
                    <w:jc w:val="center"/>
                    <w:rPr>
                      <w:rFonts w:cs="宋体"/>
                    </w:rPr>
                  </w:pPr>
                </w:p>
              </w:tc>
            </w:tr>
          </w:tbl>
          <w:p>
            <w:pPr>
              <w:spacing w:line="360" w:lineRule="auto"/>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181" w:hRule="atLeast"/>
          <w:jc w:val="center"/>
        </w:trPr>
        <w:tc>
          <w:tcPr>
            <w:tcW w:w="823" w:type="dxa"/>
            <w:tcBorders>
              <w:bottom w:val="single" w:color="auto" w:sz="8" w:space="0"/>
            </w:tcBorders>
            <w:vAlign w:val="center"/>
          </w:tcPr>
          <w:p>
            <w:pPr>
              <w:pStyle w:val="20"/>
              <w:adjustRightInd w:val="0"/>
              <w:snapToGrid w:val="0"/>
              <w:spacing w:before="0" w:beforeAutospacing="0" w:after="0" w:afterAutospacing="0"/>
              <w:jc w:val="center"/>
              <w:rPr>
                <w:sz w:val="21"/>
                <w:szCs w:val="21"/>
              </w:rPr>
            </w:pPr>
            <w:r>
              <w:rPr>
                <w:rFonts w:hint="eastAsia" w:cs="宋体"/>
                <w:kern w:val="2"/>
                <w:sz w:val="21"/>
                <w:szCs w:val="21"/>
              </w:rPr>
              <w:t>与项目有关的原有环境污染问题</w:t>
            </w:r>
          </w:p>
        </w:tc>
        <w:tc>
          <w:tcPr>
            <w:tcW w:w="8161" w:type="dxa"/>
            <w:tcBorders>
              <w:bottom w:val="single" w:color="auto" w:sz="8" w:space="0"/>
            </w:tcBorders>
          </w:tcPr>
          <w:p>
            <w:pPr>
              <w:numPr>
                <w:ilvl w:val="0"/>
                <w:numId w:val="2"/>
              </w:numPr>
              <w:adjustRightInd w:val="0"/>
              <w:snapToGrid w:val="0"/>
              <w:spacing w:line="360" w:lineRule="auto"/>
              <w:ind w:firstLine="482" w:firstLineChars="200"/>
              <w:rPr>
                <w:b/>
                <w:bCs/>
                <w:sz w:val="24"/>
                <w:szCs w:val="24"/>
              </w:rPr>
            </w:pPr>
            <w:r>
              <w:rPr>
                <w:rFonts w:hint="eastAsia" w:cs="宋体"/>
                <w:b/>
                <w:bCs/>
                <w:sz w:val="24"/>
                <w:szCs w:val="24"/>
              </w:rPr>
              <w:t>原有工程基本情况</w:t>
            </w:r>
          </w:p>
          <w:p>
            <w:pPr>
              <w:adjustRightInd w:val="0"/>
              <w:snapToGrid w:val="0"/>
              <w:spacing w:line="360" w:lineRule="auto"/>
              <w:ind w:firstLine="480" w:firstLineChars="200"/>
              <w:rPr>
                <w:color w:val="FF0000"/>
                <w:sz w:val="24"/>
                <w:szCs w:val="24"/>
              </w:rPr>
            </w:pPr>
            <w:r>
              <w:rPr>
                <w:rFonts w:hint="eastAsia"/>
                <w:color w:val="auto"/>
                <w:sz w:val="24"/>
                <w:szCs w:val="24"/>
              </w:rPr>
              <w:t>宿州万千饲料有限公司</w:t>
            </w:r>
            <w:r>
              <w:rPr>
                <w:color w:val="auto"/>
                <w:sz w:val="24"/>
                <w:szCs w:val="24"/>
              </w:rPr>
              <w:t>《年产10万</w:t>
            </w:r>
            <w:r>
              <w:rPr>
                <w:rFonts w:hint="eastAsia"/>
                <w:color w:val="auto"/>
                <w:sz w:val="24"/>
                <w:szCs w:val="24"/>
              </w:rPr>
              <w:t>吨饲料加工</w:t>
            </w:r>
            <w:r>
              <w:rPr>
                <w:color w:val="auto"/>
                <w:sz w:val="24"/>
                <w:szCs w:val="24"/>
              </w:rPr>
              <w:t>项目》，</w:t>
            </w:r>
            <w:r>
              <w:rPr>
                <w:rFonts w:hint="eastAsia"/>
                <w:color w:val="auto"/>
                <w:sz w:val="24"/>
                <w:szCs w:val="24"/>
                <w:lang w:eastAsia="zh-CN"/>
              </w:rPr>
              <w:t>位于</w:t>
            </w:r>
            <w:r>
              <w:rPr>
                <w:rFonts w:hint="eastAsia"/>
                <w:color w:val="auto"/>
                <w:sz w:val="24"/>
                <w:szCs w:val="24"/>
              </w:rPr>
              <w:t>宿州市经济开发区金河路18号</w:t>
            </w:r>
            <w:r>
              <w:rPr>
                <w:rFonts w:hint="eastAsia"/>
                <w:color w:val="auto"/>
                <w:sz w:val="24"/>
                <w:szCs w:val="24"/>
                <w:lang w:eastAsia="zh-CN"/>
              </w:rPr>
              <w:t>，该项目</w:t>
            </w:r>
            <w:r>
              <w:rPr>
                <w:color w:val="auto"/>
                <w:sz w:val="24"/>
                <w:szCs w:val="24"/>
              </w:rPr>
              <w:t>环境影响报告表</w:t>
            </w:r>
            <w:r>
              <w:rPr>
                <w:rFonts w:hint="eastAsia"/>
                <w:color w:val="auto"/>
                <w:sz w:val="24"/>
                <w:szCs w:val="24"/>
              </w:rPr>
              <w:t>在200</w:t>
            </w:r>
            <w:r>
              <w:rPr>
                <w:rFonts w:hint="eastAsia"/>
                <w:color w:val="auto"/>
                <w:sz w:val="24"/>
                <w:szCs w:val="24"/>
                <w:lang w:val="en-US" w:eastAsia="zh-CN"/>
              </w:rPr>
              <w:t>6</w:t>
            </w:r>
            <w:r>
              <w:rPr>
                <w:rFonts w:hint="eastAsia"/>
                <w:color w:val="auto"/>
                <w:sz w:val="24"/>
                <w:szCs w:val="24"/>
              </w:rPr>
              <w:t>年1</w:t>
            </w:r>
            <w:r>
              <w:rPr>
                <w:rFonts w:hint="eastAsia"/>
                <w:color w:val="auto"/>
                <w:sz w:val="24"/>
                <w:szCs w:val="24"/>
                <w:lang w:val="en-US" w:eastAsia="zh-CN"/>
              </w:rPr>
              <w:t>1</w:t>
            </w:r>
            <w:r>
              <w:rPr>
                <w:rFonts w:hint="eastAsia"/>
                <w:color w:val="auto"/>
                <w:sz w:val="24"/>
                <w:szCs w:val="24"/>
              </w:rPr>
              <w:t>月2</w:t>
            </w:r>
            <w:r>
              <w:rPr>
                <w:rFonts w:hint="eastAsia"/>
                <w:color w:val="auto"/>
                <w:sz w:val="24"/>
                <w:szCs w:val="24"/>
                <w:lang w:val="en-US" w:eastAsia="zh-CN"/>
              </w:rPr>
              <w:t>8</w:t>
            </w:r>
            <w:r>
              <w:rPr>
                <w:rFonts w:hint="eastAsia"/>
                <w:color w:val="auto"/>
                <w:sz w:val="24"/>
                <w:szCs w:val="24"/>
              </w:rPr>
              <w:t>日</w:t>
            </w:r>
            <w:r>
              <w:rPr>
                <w:rFonts w:hint="eastAsia"/>
                <w:color w:val="auto"/>
                <w:sz w:val="24"/>
                <w:szCs w:val="24"/>
                <w:lang w:eastAsia="zh-CN"/>
              </w:rPr>
              <w:t>经</w:t>
            </w:r>
            <w:r>
              <w:rPr>
                <w:color w:val="auto"/>
                <w:sz w:val="24"/>
                <w:szCs w:val="24"/>
              </w:rPr>
              <w:t>宿州</w:t>
            </w:r>
            <w:r>
              <w:rPr>
                <w:rFonts w:hint="eastAsia"/>
                <w:color w:val="auto"/>
                <w:sz w:val="24"/>
                <w:szCs w:val="24"/>
                <w:lang w:eastAsia="zh-CN"/>
              </w:rPr>
              <w:t>市环境保护局以环建</w:t>
            </w:r>
            <w:r>
              <w:rPr>
                <w:color w:val="auto"/>
                <w:sz w:val="24"/>
                <w:szCs w:val="24"/>
              </w:rPr>
              <w:t>【20</w:t>
            </w:r>
            <w:r>
              <w:rPr>
                <w:rFonts w:hint="eastAsia"/>
                <w:color w:val="auto"/>
                <w:sz w:val="24"/>
                <w:szCs w:val="24"/>
              </w:rPr>
              <w:t>0</w:t>
            </w:r>
            <w:r>
              <w:rPr>
                <w:rFonts w:hint="eastAsia"/>
                <w:color w:val="auto"/>
                <w:sz w:val="24"/>
                <w:szCs w:val="24"/>
                <w:lang w:val="en-US" w:eastAsia="zh-CN"/>
              </w:rPr>
              <w:t>6</w:t>
            </w:r>
            <w:r>
              <w:rPr>
                <w:color w:val="auto"/>
                <w:sz w:val="24"/>
                <w:szCs w:val="24"/>
              </w:rPr>
              <w:t>】</w:t>
            </w:r>
            <w:r>
              <w:rPr>
                <w:rFonts w:hint="eastAsia"/>
                <w:color w:val="auto"/>
                <w:sz w:val="24"/>
                <w:szCs w:val="24"/>
                <w:lang w:val="en-US" w:eastAsia="zh-CN"/>
              </w:rPr>
              <w:t>063</w:t>
            </w:r>
            <w:r>
              <w:rPr>
                <w:color w:val="auto"/>
                <w:sz w:val="24"/>
                <w:szCs w:val="24"/>
              </w:rPr>
              <w:t>号</w:t>
            </w:r>
            <w:r>
              <w:rPr>
                <w:rFonts w:hint="eastAsia"/>
                <w:color w:val="auto"/>
                <w:sz w:val="24"/>
                <w:szCs w:val="24"/>
                <w:lang w:eastAsia="zh-CN"/>
              </w:rPr>
              <w:t>进行批复</w:t>
            </w:r>
            <w:r>
              <w:rPr>
                <w:color w:val="auto"/>
                <w:sz w:val="24"/>
                <w:szCs w:val="24"/>
              </w:rPr>
              <w:t>；并且</w:t>
            </w:r>
            <w:r>
              <w:rPr>
                <w:rFonts w:hint="eastAsia"/>
                <w:color w:val="auto"/>
                <w:sz w:val="24"/>
                <w:szCs w:val="24"/>
                <w:lang w:eastAsia="zh-CN"/>
              </w:rPr>
              <w:t>于</w:t>
            </w:r>
            <w:r>
              <w:rPr>
                <w:rFonts w:hint="eastAsia"/>
                <w:color w:val="auto"/>
                <w:sz w:val="24"/>
                <w:szCs w:val="24"/>
              </w:rPr>
              <w:t>2017年5月4日经宿州市环境保护局</w:t>
            </w:r>
            <w:r>
              <w:rPr>
                <w:rFonts w:hint="eastAsia"/>
                <w:color w:val="auto"/>
                <w:sz w:val="24"/>
                <w:szCs w:val="24"/>
                <w:lang w:eastAsia="zh-CN"/>
              </w:rPr>
              <w:t>以</w:t>
            </w:r>
            <w:r>
              <w:rPr>
                <w:rFonts w:hint="eastAsia"/>
                <w:color w:val="auto"/>
                <w:sz w:val="24"/>
                <w:szCs w:val="24"/>
              </w:rPr>
              <w:t>宿环验函</w:t>
            </w:r>
            <w:r>
              <w:rPr>
                <w:color w:val="auto"/>
                <w:sz w:val="24"/>
                <w:szCs w:val="24"/>
              </w:rPr>
              <w:t>【20</w:t>
            </w:r>
            <w:r>
              <w:rPr>
                <w:rFonts w:hint="eastAsia"/>
                <w:color w:val="auto"/>
                <w:sz w:val="24"/>
                <w:szCs w:val="24"/>
              </w:rPr>
              <w:t>17</w:t>
            </w:r>
            <w:r>
              <w:rPr>
                <w:color w:val="auto"/>
                <w:sz w:val="24"/>
                <w:szCs w:val="24"/>
              </w:rPr>
              <w:t>】</w:t>
            </w:r>
            <w:r>
              <w:rPr>
                <w:rFonts w:hint="eastAsia"/>
                <w:color w:val="auto"/>
                <w:sz w:val="24"/>
                <w:szCs w:val="24"/>
              </w:rPr>
              <w:t>19</w:t>
            </w:r>
            <w:r>
              <w:rPr>
                <w:color w:val="auto"/>
                <w:sz w:val="24"/>
                <w:szCs w:val="24"/>
              </w:rPr>
              <w:t>号</w:t>
            </w:r>
            <w:r>
              <w:rPr>
                <w:rFonts w:hint="eastAsia"/>
                <w:color w:val="auto"/>
                <w:sz w:val="24"/>
                <w:szCs w:val="24"/>
                <w:lang w:eastAsia="zh-CN"/>
              </w:rPr>
              <w:t>通过</w:t>
            </w:r>
            <w:r>
              <w:rPr>
                <w:rFonts w:hint="eastAsia"/>
                <w:color w:val="auto"/>
                <w:sz w:val="24"/>
                <w:szCs w:val="24"/>
              </w:rPr>
              <w:t>验收，</w:t>
            </w:r>
            <w:r>
              <w:rPr>
                <w:rFonts w:hint="eastAsia" w:ascii="宋体" w:hAnsi="宋体" w:cs="宋体"/>
                <w:color w:val="auto"/>
                <w:sz w:val="24"/>
                <w:szCs w:val="24"/>
              </w:rPr>
              <w:t>具体</w:t>
            </w:r>
            <w:r>
              <w:rPr>
                <w:rFonts w:hint="eastAsia" w:ascii="宋体" w:hAnsi="宋体" w:cs="宋体"/>
                <w:color w:val="auto"/>
                <w:sz w:val="24"/>
                <w:szCs w:val="24"/>
                <w:lang w:eastAsia="zh-CN"/>
              </w:rPr>
              <w:t>环评及验收批复文件</w:t>
            </w:r>
            <w:r>
              <w:rPr>
                <w:rFonts w:hint="eastAsia" w:ascii="宋体" w:hAnsi="宋体" w:cs="宋体"/>
                <w:color w:val="auto"/>
                <w:sz w:val="24"/>
                <w:szCs w:val="24"/>
              </w:rPr>
              <w:t>见附件。</w:t>
            </w:r>
          </w:p>
          <w:p>
            <w:pPr>
              <w:spacing w:line="360" w:lineRule="auto"/>
              <w:ind w:firstLine="482" w:firstLineChars="200"/>
              <w:rPr>
                <w:rFonts w:cs="宋体"/>
                <w:b/>
                <w:bCs/>
                <w:sz w:val="24"/>
                <w:szCs w:val="24"/>
              </w:rPr>
            </w:pPr>
            <w:r>
              <w:rPr>
                <w:rFonts w:hint="eastAsia" w:cs="宋体"/>
                <w:b/>
                <w:bCs/>
                <w:sz w:val="24"/>
                <w:szCs w:val="24"/>
              </w:rPr>
              <w:t>原有工程产品及原辅材料消耗见下表：</w:t>
            </w:r>
          </w:p>
          <w:p>
            <w:pPr>
              <w:spacing w:line="360" w:lineRule="auto"/>
              <w:ind w:firstLine="482" w:firstLineChars="200"/>
              <w:jc w:val="center"/>
              <w:rPr>
                <w:sz w:val="24"/>
                <w:szCs w:val="24"/>
              </w:rPr>
            </w:pPr>
            <w:r>
              <w:rPr>
                <w:rFonts w:hint="eastAsia" w:cs="宋体"/>
                <w:b/>
                <w:bCs/>
                <w:sz w:val="24"/>
                <w:szCs w:val="24"/>
              </w:rPr>
              <w:t>表</w:t>
            </w:r>
            <w:r>
              <w:rPr>
                <w:b/>
                <w:bCs/>
                <w:sz w:val="24"/>
                <w:szCs w:val="24"/>
              </w:rPr>
              <w:t>2-</w:t>
            </w:r>
            <w:r>
              <w:rPr>
                <w:rFonts w:hint="eastAsia"/>
                <w:b/>
                <w:bCs/>
                <w:sz w:val="24"/>
                <w:szCs w:val="24"/>
              </w:rPr>
              <w:t>8</w:t>
            </w:r>
            <w:r>
              <w:rPr>
                <w:b/>
                <w:bCs/>
                <w:sz w:val="24"/>
                <w:szCs w:val="24"/>
              </w:rPr>
              <w:t xml:space="preserve">  </w:t>
            </w:r>
            <w:r>
              <w:rPr>
                <w:rFonts w:hint="eastAsia" w:cs="宋体"/>
                <w:b/>
                <w:bCs/>
                <w:sz w:val="24"/>
                <w:szCs w:val="24"/>
              </w:rPr>
              <w:t>原有工程产品一览表</w:t>
            </w:r>
          </w:p>
          <w:tbl>
            <w:tblPr>
              <w:tblStyle w:val="23"/>
              <w:tblW w:w="79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3"/>
              <w:gridCol w:w="2198"/>
              <w:gridCol w:w="1260"/>
              <w:gridCol w:w="1860"/>
              <w:gridCol w:w="1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13" w:type="dxa"/>
                  <w:tcBorders>
                    <w:top w:val="single" w:color="auto" w:sz="4" w:space="0"/>
                    <w:left w:val="single" w:color="auto" w:sz="4" w:space="0"/>
                    <w:bottom w:val="single" w:color="auto" w:sz="4" w:space="0"/>
                    <w:right w:val="single" w:color="auto" w:sz="4" w:space="0"/>
                  </w:tcBorders>
                  <w:vAlign w:val="center"/>
                </w:tcPr>
                <w:p>
                  <w:pPr>
                    <w:jc w:val="center"/>
                  </w:pPr>
                  <w:r>
                    <w:rPr>
                      <w:b/>
                      <w:bCs/>
                    </w:rPr>
                    <w:t>序号</w:t>
                  </w:r>
                </w:p>
              </w:tc>
              <w:tc>
                <w:tcPr>
                  <w:tcW w:w="2198" w:type="dxa"/>
                  <w:tcBorders>
                    <w:top w:val="single" w:color="auto" w:sz="4" w:space="0"/>
                    <w:left w:val="single" w:color="auto" w:sz="4" w:space="0"/>
                    <w:bottom w:val="single" w:color="auto" w:sz="4" w:space="0"/>
                    <w:right w:val="single" w:color="auto" w:sz="4" w:space="0"/>
                  </w:tcBorders>
                  <w:vAlign w:val="center"/>
                </w:tcPr>
                <w:p>
                  <w:pPr>
                    <w:jc w:val="center"/>
                  </w:pPr>
                  <w:r>
                    <w:rPr>
                      <w:b/>
                      <w:bCs/>
                    </w:rPr>
                    <w:t>产品名称</w:t>
                  </w:r>
                </w:p>
              </w:tc>
              <w:tc>
                <w:tcPr>
                  <w:tcW w:w="126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b/>
                      <w:bCs/>
                    </w:rPr>
                    <w:t>年产量</w:t>
                  </w:r>
                </w:p>
              </w:tc>
              <w:tc>
                <w:tcPr>
                  <w:tcW w:w="186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b/>
                      <w:bCs/>
                    </w:rPr>
                    <w:t>单位</w:t>
                  </w:r>
                </w:p>
              </w:tc>
              <w:tc>
                <w:tcPr>
                  <w:tcW w:w="1567" w:type="dxa"/>
                  <w:tcBorders>
                    <w:top w:val="single" w:color="auto" w:sz="4" w:space="0"/>
                    <w:left w:val="single" w:color="auto" w:sz="4" w:space="0"/>
                    <w:bottom w:val="single" w:color="auto" w:sz="4" w:space="0"/>
                    <w:right w:val="single" w:color="auto" w:sz="4" w:space="0"/>
                  </w:tcBorders>
                  <w:vAlign w:val="center"/>
                </w:tcPr>
                <w:p>
                  <w:pPr>
                    <w:jc w:val="center"/>
                    <w:rPr>
                      <w:b/>
                      <w:bCs/>
                    </w:rPr>
                  </w:pPr>
                  <w:r>
                    <w:rPr>
                      <w:rFonts w:hint="eastAsia"/>
                      <w:b/>
                      <w:bC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1113" w:type="dxa"/>
                  <w:tcBorders>
                    <w:top w:val="single" w:color="auto" w:sz="4" w:space="0"/>
                    <w:left w:val="single" w:color="auto" w:sz="4" w:space="0"/>
                    <w:bottom w:val="single" w:color="auto" w:sz="4" w:space="0"/>
                    <w:right w:val="single" w:color="auto" w:sz="4" w:space="0"/>
                  </w:tcBorders>
                  <w:vAlign w:val="center"/>
                </w:tcPr>
                <w:p>
                  <w:pPr>
                    <w:jc w:val="center"/>
                  </w:pPr>
                  <w:r>
                    <w:t>1</w:t>
                  </w:r>
                </w:p>
              </w:tc>
              <w:tc>
                <w:tcPr>
                  <w:tcW w:w="2198"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浓缩料</w:t>
                  </w:r>
                </w:p>
              </w:tc>
              <w:tc>
                <w:tcPr>
                  <w:tcW w:w="126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27000</w:t>
                  </w:r>
                </w:p>
              </w:tc>
              <w:tc>
                <w:tcPr>
                  <w:tcW w:w="186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t/a</w:t>
                  </w:r>
                </w:p>
              </w:tc>
              <w:tc>
                <w:tcPr>
                  <w:tcW w:w="1567"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外售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13"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2</w:t>
                  </w:r>
                </w:p>
              </w:tc>
              <w:tc>
                <w:tcPr>
                  <w:tcW w:w="2198"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颗粒料</w:t>
                  </w:r>
                </w:p>
              </w:tc>
              <w:tc>
                <w:tcPr>
                  <w:tcW w:w="126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73000</w:t>
                  </w:r>
                </w:p>
              </w:tc>
              <w:tc>
                <w:tcPr>
                  <w:tcW w:w="186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t/a</w:t>
                  </w:r>
                </w:p>
              </w:tc>
              <w:tc>
                <w:tcPr>
                  <w:tcW w:w="1567"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外售</w:t>
                  </w:r>
                </w:p>
              </w:tc>
            </w:tr>
          </w:tbl>
          <w:p>
            <w:pPr>
              <w:spacing w:line="360" w:lineRule="auto"/>
              <w:ind w:firstLine="482" w:firstLineChars="200"/>
              <w:jc w:val="center"/>
              <w:rPr>
                <w:sz w:val="24"/>
                <w:szCs w:val="24"/>
              </w:rPr>
            </w:pPr>
            <w:r>
              <w:rPr>
                <w:rFonts w:hint="eastAsia" w:cs="宋体"/>
                <w:b/>
                <w:bCs/>
                <w:sz w:val="24"/>
                <w:szCs w:val="24"/>
              </w:rPr>
              <w:t>表</w:t>
            </w:r>
            <w:r>
              <w:rPr>
                <w:b/>
                <w:bCs/>
                <w:sz w:val="24"/>
                <w:szCs w:val="24"/>
              </w:rPr>
              <w:t>2-</w:t>
            </w:r>
            <w:r>
              <w:rPr>
                <w:rFonts w:hint="eastAsia"/>
                <w:b/>
                <w:bCs/>
                <w:sz w:val="24"/>
                <w:szCs w:val="24"/>
              </w:rPr>
              <w:t>9</w:t>
            </w:r>
            <w:r>
              <w:rPr>
                <w:b/>
                <w:bCs/>
                <w:sz w:val="24"/>
                <w:szCs w:val="24"/>
              </w:rPr>
              <w:t xml:space="preserve">  </w:t>
            </w:r>
            <w:r>
              <w:rPr>
                <w:rFonts w:hint="eastAsia" w:cs="宋体"/>
                <w:b/>
                <w:bCs/>
                <w:sz w:val="24"/>
                <w:szCs w:val="24"/>
              </w:rPr>
              <w:t>原有工程原辅材料一览表</w:t>
            </w:r>
          </w:p>
          <w:tbl>
            <w:tblPr>
              <w:tblStyle w:val="23"/>
              <w:tblW w:w="79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3"/>
              <w:gridCol w:w="2198"/>
              <w:gridCol w:w="1260"/>
              <w:gridCol w:w="1860"/>
              <w:gridCol w:w="1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13" w:type="dxa"/>
                  <w:tcBorders>
                    <w:top w:val="single" w:color="auto" w:sz="4" w:space="0"/>
                    <w:left w:val="single" w:color="auto" w:sz="4" w:space="0"/>
                    <w:bottom w:val="single" w:color="auto" w:sz="4" w:space="0"/>
                    <w:right w:val="single" w:color="auto" w:sz="4" w:space="0"/>
                  </w:tcBorders>
                  <w:vAlign w:val="center"/>
                </w:tcPr>
                <w:p>
                  <w:pPr>
                    <w:jc w:val="center"/>
                  </w:pPr>
                  <w:r>
                    <w:rPr>
                      <w:b/>
                      <w:bCs/>
                    </w:rPr>
                    <w:t>序号</w:t>
                  </w:r>
                </w:p>
              </w:tc>
              <w:tc>
                <w:tcPr>
                  <w:tcW w:w="2198"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b/>
                      <w:bCs/>
                    </w:rPr>
                    <w:t>原料</w:t>
                  </w:r>
                  <w:r>
                    <w:rPr>
                      <w:b/>
                      <w:bCs/>
                    </w:rPr>
                    <w:t>名称</w:t>
                  </w:r>
                </w:p>
              </w:tc>
              <w:tc>
                <w:tcPr>
                  <w:tcW w:w="126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b/>
                      <w:bCs/>
                    </w:rPr>
                    <w:t>年产量</w:t>
                  </w:r>
                </w:p>
              </w:tc>
              <w:tc>
                <w:tcPr>
                  <w:tcW w:w="186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b/>
                      <w:bCs/>
                    </w:rPr>
                    <w:t>单位</w:t>
                  </w:r>
                </w:p>
              </w:tc>
              <w:tc>
                <w:tcPr>
                  <w:tcW w:w="1567" w:type="dxa"/>
                  <w:tcBorders>
                    <w:top w:val="single" w:color="auto" w:sz="4" w:space="0"/>
                    <w:left w:val="single" w:color="auto" w:sz="4" w:space="0"/>
                    <w:bottom w:val="single" w:color="auto" w:sz="4" w:space="0"/>
                    <w:right w:val="single" w:color="auto" w:sz="4" w:space="0"/>
                  </w:tcBorders>
                  <w:vAlign w:val="center"/>
                </w:tcPr>
                <w:p>
                  <w:pPr>
                    <w:jc w:val="center"/>
                    <w:rPr>
                      <w:b/>
                      <w:bCs/>
                    </w:rPr>
                  </w:pPr>
                  <w:r>
                    <w:rPr>
                      <w:rFonts w:hint="eastAsia"/>
                      <w:b/>
                      <w:bC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13" w:type="dxa"/>
                  <w:tcBorders>
                    <w:top w:val="single" w:color="auto" w:sz="4" w:space="0"/>
                    <w:left w:val="single" w:color="auto" w:sz="4" w:space="0"/>
                    <w:bottom w:val="single" w:color="auto" w:sz="4" w:space="0"/>
                    <w:right w:val="single" w:color="auto" w:sz="4" w:space="0"/>
                  </w:tcBorders>
                  <w:vAlign w:val="center"/>
                </w:tcPr>
                <w:p>
                  <w:pPr>
                    <w:jc w:val="center"/>
                  </w:pPr>
                  <w:r>
                    <w:t>1</w:t>
                  </w:r>
                </w:p>
              </w:tc>
              <w:tc>
                <w:tcPr>
                  <w:tcW w:w="2198"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豆粕</w:t>
                  </w:r>
                </w:p>
              </w:tc>
              <w:tc>
                <w:tcPr>
                  <w:tcW w:w="126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50000</w:t>
                  </w:r>
                </w:p>
              </w:tc>
              <w:tc>
                <w:tcPr>
                  <w:tcW w:w="186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t/a</w:t>
                  </w:r>
                </w:p>
              </w:tc>
              <w:tc>
                <w:tcPr>
                  <w:tcW w:w="1567"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13"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2</w:t>
                  </w:r>
                </w:p>
              </w:tc>
              <w:tc>
                <w:tcPr>
                  <w:tcW w:w="2198"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鱼粉</w:t>
                  </w:r>
                </w:p>
              </w:tc>
              <w:tc>
                <w:tcPr>
                  <w:tcW w:w="126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30000</w:t>
                  </w:r>
                </w:p>
              </w:tc>
              <w:tc>
                <w:tcPr>
                  <w:tcW w:w="186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t/a</w:t>
                  </w:r>
                </w:p>
              </w:tc>
              <w:tc>
                <w:tcPr>
                  <w:tcW w:w="1567"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13"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3</w:t>
                  </w:r>
                </w:p>
              </w:tc>
              <w:tc>
                <w:tcPr>
                  <w:tcW w:w="2198"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玉米</w:t>
                  </w:r>
                </w:p>
              </w:tc>
              <w:tc>
                <w:tcPr>
                  <w:tcW w:w="126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1000</w:t>
                  </w:r>
                </w:p>
              </w:tc>
              <w:tc>
                <w:tcPr>
                  <w:tcW w:w="186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t/a</w:t>
                  </w:r>
                </w:p>
              </w:tc>
              <w:tc>
                <w:tcPr>
                  <w:tcW w:w="1567"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13"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4</w:t>
                  </w:r>
                </w:p>
              </w:tc>
              <w:tc>
                <w:tcPr>
                  <w:tcW w:w="2198"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麸皮</w:t>
                  </w:r>
                </w:p>
              </w:tc>
              <w:tc>
                <w:tcPr>
                  <w:tcW w:w="126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500</w:t>
                  </w:r>
                </w:p>
              </w:tc>
              <w:tc>
                <w:tcPr>
                  <w:tcW w:w="186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t/a</w:t>
                  </w:r>
                </w:p>
              </w:tc>
              <w:tc>
                <w:tcPr>
                  <w:tcW w:w="1567"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13"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5</w:t>
                  </w:r>
                </w:p>
              </w:tc>
              <w:tc>
                <w:tcPr>
                  <w:tcW w:w="2198"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食盐</w:t>
                  </w:r>
                </w:p>
              </w:tc>
              <w:tc>
                <w:tcPr>
                  <w:tcW w:w="126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100</w:t>
                  </w:r>
                </w:p>
              </w:tc>
              <w:tc>
                <w:tcPr>
                  <w:tcW w:w="186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t/a</w:t>
                  </w:r>
                </w:p>
              </w:tc>
              <w:tc>
                <w:tcPr>
                  <w:tcW w:w="1567"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13"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6</w:t>
                  </w:r>
                </w:p>
              </w:tc>
              <w:tc>
                <w:tcPr>
                  <w:tcW w:w="2198"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辅料</w:t>
                  </w:r>
                </w:p>
              </w:tc>
              <w:tc>
                <w:tcPr>
                  <w:tcW w:w="126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18400</w:t>
                  </w:r>
                </w:p>
              </w:tc>
              <w:tc>
                <w:tcPr>
                  <w:tcW w:w="186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t/a</w:t>
                  </w:r>
                </w:p>
              </w:tc>
              <w:tc>
                <w:tcPr>
                  <w:tcW w:w="1567"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外购</w:t>
                  </w:r>
                </w:p>
              </w:tc>
            </w:tr>
          </w:tbl>
          <w:p>
            <w:pPr>
              <w:spacing w:line="360" w:lineRule="auto"/>
              <w:ind w:firstLine="482" w:firstLineChars="200"/>
              <w:textAlignment w:val="baseline"/>
              <w:rPr>
                <w:b/>
                <w:bCs/>
                <w:sz w:val="24"/>
                <w:szCs w:val="24"/>
              </w:rPr>
            </w:pPr>
            <w:r>
              <w:rPr>
                <w:rFonts w:hint="eastAsia" w:cs="宋体"/>
                <w:b/>
                <w:bCs/>
                <w:sz w:val="24"/>
                <w:szCs w:val="24"/>
              </w:rPr>
              <w:t>原有工程项目主要生产设备详见下表</w:t>
            </w:r>
            <w:r>
              <w:rPr>
                <w:rFonts w:hint="eastAsia"/>
                <w:b/>
                <w:bCs/>
                <w:sz w:val="24"/>
                <w:szCs w:val="24"/>
              </w:rPr>
              <w:t>：</w:t>
            </w:r>
          </w:p>
          <w:p>
            <w:pPr>
              <w:spacing w:line="360" w:lineRule="auto"/>
              <w:jc w:val="center"/>
              <w:rPr>
                <w:b/>
                <w:bCs/>
                <w:sz w:val="24"/>
                <w:szCs w:val="24"/>
              </w:rPr>
            </w:pPr>
            <w:r>
              <w:rPr>
                <w:rFonts w:hint="eastAsia" w:cs="宋体"/>
                <w:b/>
                <w:bCs/>
                <w:sz w:val="24"/>
                <w:szCs w:val="24"/>
              </w:rPr>
              <w:t>表</w:t>
            </w:r>
            <w:r>
              <w:rPr>
                <w:b/>
                <w:bCs/>
                <w:sz w:val="24"/>
                <w:szCs w:val="24"/>
              </w:rPr>
              <w:t>2-</w:t>
            </w:r>
            <w:r>
              <w:rPr>
                <w:rFonts w:hint="eastAsia"/>
                <w:b/>
                <w:bCs/>
                <w:sz w:val="24"/>
                <w:szCs w:val="24"/>
              </w:rPr>
              <w:t>10</w:t>
            </w:r>
            <w:r>
              <w:rPr>
                <w:b/>
                <w:bCs/>
                <w:sz w:val="24"/>
                <w:szCs w:val="24"/>
              </w:rPr>
              <w:t xml:space="preserve">  </w:t>
            </w:r>
            <w:r>
              <w:rPr>
                <w:rFonts w:hint="eastAsia" w:cs="宋体"/>
                <w:b/>
                <w:bCs/>
                <w:sz w:val="24"/>
                <w:szCs w:val="24"/>
                <w:lang w:val="zh-CN"/>
              </w:rPr>
              <w:t>原有工程项目</w:t>
            </w:r>
            <w:r>
              <w:rPr>
                <w:rFonts w:hint="eastAsia" w:cs="宋体"/>
                <w:b/>
                <w:bCs/>
                <w:sz w:val="24"/>
                <w:szCs w:val="24"/>
              </w:rPr>
              <w:t>主要设备情况一览表</w:t>
            </w:r>
          </w:p>
          <w:tbl>
            <w:tblPr>
              <w:tblStyle w:val="23"/>
              <w:tblW w:w="7858" w:type="dxa"/>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3"/>
              <w:gridCol w:w="1590"/>
              <w:gridCol w:w="2537"/>
              <w:gridCol w:w="1533"/>
              <w:gridCol w:w="1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03" w:type="dxa"/>
                  <w:tcBorders>
                    <w:top w:val="single" w:color="auto" w:sz="4" w:space="0"/>
                    <w:left w:val="single" w:color="auto" w:sz="4" w:space="0"/>
                    <w:bottom w:val="single" w:color="auto" w:sz="4" w:space="0"/>
                    <w:right w:val="single" w:color="auto" w:sz="4" w:space="0"/>
                  </w:tcBorders>
                  <w:vAlign w:val="center"/>
                </w:tcPr>
                <w:p>
                  <w:pPr>
                    <w:pStyle w:val="8"/>
                    <w:ind w:left="0"/>
                    <w:jc w:val="center"/>
                    <w:rPr>
                      <w:rFonts w:cs="Times New Roman"/>
                      <w:b w:val="0"/>
                      <w:bCs w:val="0"/>
                      <w:sz w:val="21"/>
                      <w:szCs w:val="21"/>
                    </w:rPr>
                  </w:pPr>
                  <w:r>
                    <w:rPr>
                      <w:rFonts w:hint="eastAsia"/>
                      <w:b w:val="0"/>
                      <w:bCs w:val="0"/>
                      <w:sz w:val="21"/>
                      <w:szCs w:val="21"/>
                    </w:rPr>
                    <w:t>序号</w:t>
                  </w:r>
                </w:p>
              </w:tc>
              <w:tc>
                <w:tcPr>
                  <w:tcW w:w="1590" w:type="dxa"/>
                  <w:tcBorders>
                    <w:top w:val="single" w:color="auto" w:sz="4" w:space="0"/>
                    <w:left w:val="single" w:color="auto" w:sz="4" w:space="0"/>
                    <w:bottom w:val="single" w:color="auto" w:sz="4" w:space="0"/>
                    <w:right w:val="single" w:color="auto" w:sz="4" w:space="0"/>
                  </w:tcBorders>
                  <w:vAlign w:val="center"/>
                </w:tcPr>
                <w:p>
                  <w:pPr>
                    <w:pStyle w:val="8"/>
                    <w:ind w:left="0"/>
                    <w:jc w:val="center"/>
                    <w:rPr>
                      <w:rFonts w:cs="Times New Roman"/>
                      <w:b w:val="0"/>
                      <w:bCs w:val="0"/>
                      <w:sz w:val="21"/>
                      <w:szCs w:val="21"/>
                    </w:rPr>
                  </w:pPr>
                  <w:r>
                    <w:rPr>
                      <w:rFonts w:hint="eastAsia"/>
                      <w:b w:val="0"/>
                      <w:bCs w:val="0"/>
                      <w:sz w:val="21"/>
                      <w:szCs w:val="21"/>
                    </w:rPr>
                    <w:t>设备名称</w:t>
                  </w:r>
                </w:p>
              </w:tc>
              <w:tc>
                <w:tcPr>
                  <w:tcW w:w="2537" w:type="dxa"/>
                  <w:tcBorders>
                    <w:top w:val="single" w:color="auto" w:sz="4" w:space="0"/>
                    <w:left w:val="single" w:color="auto" w:sz="4" w:space="0"/>
                    <w:bottom w:val="single" w:color="auto" w:sz="4" w:space="0"/>
                    <w:right w:val="single" w:color="auto" w:sz="4" w:space="0"/>
                  </w:tcBorders>
                  <w:vAlign w:val="center"/>
                </w:tcPr>
                <w:p>
                  <w:pPr>
                    <w:pStyle w:val="8"/>
                    <w:ind w:left="0"/>
                    <w:jc w:val="center"/>
                    <w:rPr>
                      <w:b w:val="0"/>
                      <w:bCs w:val="0"/>
                      <w:sz w:val="21"/>
                      <w:szCs w:val="21"/>
                    </w:rPr>
                  </w:pPr>
                  <w:r>
                    <w:rPr>
                      <w:rFonts w:hint="eastAsia"/>
                      <w:b w:val="0"/>
                      <w:bCs w:val="0"/>
                      <w:sz w:val="21"/>
                      <w:szCs w:val="21"/>
                    </w:rPr>
                    <w:t>型号</w:t>
                  </w:r>
                </w:p>
              </w:tc>
              <w:tc>
                <w:tcPr>
                  <w:tcW w:w="1533" w:type="dxa"/>
                  <w:tcBorders>
                    <w:top w:val="single" w:color="auto" w:sz="4" w:space="0"/>
                    <w:left w:val="single" w:color="auto" w:sz="4" w:space="0"/>
                    <w:bottom w:val="single" w:color="auto" w:sz="4" w:space="0"/>
                    <w:right w:val="single" w:color="auto" w:sz="4" w:space="0"/>
                  </w:tcBorders>
                  <w:vAlign w:val="center"/>
                </w:tcPr>
                <w:p>
                  <w:pPr>
                    <w:widowControl/>
                    <w:jc w:val="center"/>
                  </w:pPr>
                  <w:r>
                    <w:rPr>
                      <w:rFonts w:hint="eastAsia" w:cs="宋体"/>
                    </w:rPr>
                    <w:t>原有工程数量</w:t>
                  </w:r>
                </w:p>
              </w:tc>
              <w:tc>
                <w:tcPr>
                  <w:tcW w:w="1395" w:type="dxa"/>
                  <w:tcBorders>
                    <w:top w:val="single" w:color="auto" w:sz="4" w:space="0"/>
                    <w:left w:val="single" w:color="auto" w:sz="4" w:space="0"/>
                    <w:bottom w:val="single" w:color="auto" w:sz="4" w:space="0"/>
                    <w:right w:val="single" w:color="auto" w:sz="4" w:space="0"/>
                  </w:tcBorders>
                  <w:vAlign w:val="center"/>
                </w:tcPr>
                <w:p>
                  <w:pPr>
                    <w:widowControl/>
                    <w:jc w:val="center"/>
                  </w:pPr>
                  <w:r>
                    <w:rPr>
                      <w:rFonts w:hint="eastAsia" w:cs="宋体"/>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03" w:type="dxa"/>
                  <w:tcBorders>
                    <w:top w:val="single" w:color="auto" w:sz="4" w:space="0"/>
                    <w:left w:val="single" w:color="auto" w:sz="4" w:space="0"/>
                    <w:bottom w:val="single" w:color="auto" w:sz="4" w:space="0"/>
                    <w:right w:val="single" w:color="auto" w:sz="4" w:space="0"/>
                  </w:tcBorders>
                  <w:vAlign w:val="center"/>
                </w:tcPr>
                <w:p>
                  <w:pPr>
                    <w:pStyle w:val="8"/>
                    <w:ind w:left="0"/>
                    <w:jc w:val="center"/>
                    <w:rPr>
                      <w:rFonts w:ascii="Times New Roman" w:hAnsi="Times New Roman" w:cs="Times New Roman"/>
                      <w:b w:val="0"/>
                      <w:bCs w:val="0"/>
                      <w:sz w:val="21"/>
                      <w:szCs w:val="21"/>
                      <w:lang w:val="en-US"/>
                    </w:rPr>
                  </w:pPr>
                  <w:r>
                    <w:rPr>
                      <w:rFonts w:ascii="Times New Roman" w:hAnsi="Times New Roman" w:cs="Times New Roman"/>
                      <w:b w:val="0"/>
                      <w:bCs w:val="0"/>
                      <w:sz w:val="21"/>
                      <w:szCs w:val="21"/>
                      <w:lang w:val="en-US"/>
                    </w:rPr>
                    <w:t>1</w:t>
                  </w:r>
                </w:p>
              </w:tc>
              <w:tc>
                <w:tcPr>
                  <w:tcW w:w="1590" w:type="dxa"/>
                  <w:tcBorders>
                    <w:top w:val="single" w:color="auto" w:sz="4" w:space="0"/>
                    <w:left w:val="single" w:color="auto" w:sz="4" w:space="0"/>
                    <w:bottom w:val="single" w:color="auto" w:sz="4" w:space="0"/>
                    <w:right w:val="single" w:color="auto" w:sz="4" w:space="0"/>
                  </w:tcBorders>
                  <w:vAlign w:val="center"/>
                </w:tcPr>
                <w:p>
                  <w:pPr>
                    <w:pStyle w:val="8"/>
                    <w:ind w:left="0"/>
                    <w:jc w:val="center"/>
                    <w:rPr>
                      <w:rFonts w:cs="Times New Roman"/>
                      <w:b w:val="0"/>
                      <w:bCs w:val="0"/>
                      <w:sz w:val="21"/>
                      <w:szCs w:val="21"/>
                    </w:rPr>
                  </w:pPr>
                  <w:r>
                    <w:rPr>
                      <w:rFonts w:hint="eastAsia" w:cs="Times New Roman"/>
                      <w:b w:val="0"/>
                      <w:bCs w:val="0"/>
                      <w:sz w:val="21"/>
                      <w:szCs w:val="21"/>
                    </w:rPr>
                    <w:t>电子汽车衡</w:t>
                  </w:r>
                </w:p>
              </w:tc>
              <w:tc>
                <w:tcPr>
                  <w:tcW w:w="2537" w:type="dxa"/>
                  <w:tcBorders>
                    <w:top w:val="single" w:color="auto" w:sz="4" w:space="0"/>
                    <w:left w:val="single" w:color="auto" w:sz="4" w:space="0"/>
                    <w:bottom w:val="single" w:color="auto" w:sz="4" w:space="0"/>
                    <w:right w:val="single" w:color="auto" w:sz="4" w:space="0"/>
                  </w:tcBorders>
                  <w:vAlign w:val="center"/>
                </w:tcPr>
                <w:p>
                  <w:pPr>
                    <w:pStyle w:val="8"/>
                    <w:ind w:left="0"/>
                    <w:jc w:val="center"/>
                    <w:rPr>
                      <w:rFonts w:ascii="Times New Roman" w:hAnsi="Times New Roman" w:cs="Times New Roman"/>
                      <w:b w:val="0"/>
                      <w:bCs w:val="0"/>
                      <w:sz w:val="21"/>
                      <w:szCs w:val="21"/>
                      <w:lang w:val="en-US"/>
                    </w:rPr>
                  </w:pPr>
                  <w:r>
                    <w:rPr>
                      <w:rFonts w:ascii="Times New Roman" w:hAnsi="Times New Roman" w:cs="Times New Roman"/>
                      <w:b w:val="0"/>
                      <w:bCs w:val="0"/>
                      <w:sz w:val="21"/>
                      <w:szCs w:val="21"/>
                      <w:lang w:val="en-US"/>
                    </w:rPr>
                    <w:t>SCS/ZCS-800</w:t>
                  </w:r>
                  <w:r>
                    <w:rPr>
                      <w:rFonts w:hint="eastAsia"/>
                      <w:b w:val="0"/>
                      <w:bCs w:val="0"/>
                      <w:sz w:val="21"/>
                      <w:szCs w:val="21"/>
                      <w:lang w:val="en-US"/>
                    </w:rPr>
                    <w:t>,</w:t>
                  </w:r>
                  <w:r>
                    <w:rPr>
                      <w:rFonts w:ascii="Times New Roman" w:hAnsi="Times New Roman" w:cs="Times New Roman"/>
                      <w:b w:val="0"/>
                      <w:bCs w:val="0"/>
                      <w:sz w:val="21"/>
                      <w:szCs w:val="21"/>
                      <w:lang w:val="en-US"/>
                    </w:rPr>
                    <w:t>100t</w:t>
                  </w:r>
                </w:p>
              </w:tc>
              <w:tc>
                <w:tcPr>
                  <w:tcW w:w="1533" w:type="dxa"/>
                  <w:tcBorders>
                    <w:top w:val="single" w:color="auto" w:sz="4" w:space="0"/>
                    <w:left w:val="single" w:color="auto" w:sz="4" w:space="0"/>
                    <w:bottom w:val="single" w:color="auto" w:sz="4" w:space="0"/>
                    <w:right w:val="single" w:color="auto" w:sz="4" w:space="0"/>
                  </w:tcBorders>
                  <w:vAlign w:val="center"/>
                </w:tcPr>
                <w:p>
                  <w:pPr>
                    <w:pStyle w:val="8"/>
                    <w:ind w:left="0"/>
                    <w:jc w:val="center"/>
                    <w:rPr>
                      <w:rFonts w:ascii="Times New Roman" w:hAnsi="Times New Roman" w:cs="Times New Roman"/>
                      <w:b w:val="0"/>
                      <w:bCs w:val="0"/>
                      <w:sz w:val="21"/>
                      <w:szCs w:val="21"/>
                      <w:lang w:val="en-US"/>
                    </w:rPr>
                  </w:pPr>
                  <w:r>
                    <w:rPr>
                      <w:rFonts w:hint="eastAsia" w:ascii="Times New Roman" w:hAnsi="Times New Roman" w:cs="Times New Roman"/>
                      <w:b w:val="0"/>
                      <w:bCs w:val="0"/>
                      <w:sz w:val="21"/>
                      <w:szCs w:val="21"/>
                      <w:lang w:val="en-US"/>
                    </w:rPr>
                    <w:t>1</w:t>
                  </w:r>
                </w:p>
              </w:tc>
              <w:tc>
                <w:tcPr>
                  <w:tcW w:w="1395" w:type="dxa"/>
                  <w:tcBorders>
                    <w:top w:val="single" w:color="auto" w:sz="4" w:space="0"/>
                    <w:left w:val="single" w:color="auto" w:sz="4" w:space="0"/>
                    <w:bottom w:val="single" w:color="auto" w:sz="4" w:space="0"/>
                    <w:right w:val="single" w:color="auto" w:sz="4" w:space="0"/>
                  </w:tcBorders>
                  <w:vAlign w:val="center"/>
                </w:tcPr>
                <w:p>
                  <w:pPr>
                    <w:pStyle w:val="8"/>
                    <w:ind w:left="0"/>
                    <w:jc w:val="center"/>
                    <w:rPr>
                      <w:rFonts w:cs="Times New Roman"/>
                      <w:b w:val="0"/>
                      <w:bCs w:val="0"/>
                      <w:sz w:val="21"/>
                      <w:szCs w:val="21"/>
                      <w:lang w:val="en-US"/>
                    </w:rPr>
                  </w:pPr>
                  <w:r>
                    <w:rPr>
                      <w:rFonts w:hint="eastAsia"/>
                      <w:b w:val="0"/>
                      <w:bCs w:val="0"/>
                      <w:sz w:val="21"/>
                      <w:szCs w:val="21"/>
                      <w:lang w:val="en-US"/>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03" w:type="dxa"/>
                  <w:tcBorders>
                    <w:top w:val="single" w:color="auto" w:sz="4" w:space="0"/>
                    <w:left w:val="single" w:color="auto" w:sz="4" w:space="0"/>
                    <w:bottom w:val="single" w:color="auto" w:sz="4" w:space="0"/>
                    <w:right w:val="single" w:color="auto" w:sz="4" w:space="0"/>
                  </w:tcBorders>
                  <w:vAlign w:val="center"/>
                </w:tcPr>
                <w:p>
                  <w:pPr>
                    <w:pStyle w:val="8"/>
                    <w:ind w:left="0"/>
                    <w:jc w:val="center"/>
                    <w:rPr>
                      <w:rFonts w:ascii="Times New Roman" w:hAnsi="Times New Roman" w:cs="Times New Roman"/>
                      <w:b w:val="0"/>
                      <w:bCs w:val="0"/>
                      <w:sz w:val="21"/>
                      <w:szCs w:val="21"/>
                      <w:lang w:val="en-US"/>
                    </w:rPr>
                  </w:pPr>
                  <w:r>
                    <w:rPr>
                      <w:rFonts w:ascii="Times New Roman" w:hAnsi="Times New Roman" w:cs="Times New Roman"/>
                      <w:b w:val="0"/>
                      <w:bCs w:val="0"/>
                      <w:sz w:val="21"/>
                      <w:szCs w:val="21"/>
                      <w:lang w:val="en-US"/>
                    </w:rPr>
                    <w:t>2</w:t>
                  </w:r>
                </w:p>
              </w:tc>
              <w:tc>
                <w:tcPr>
                  <w:tcW w:w="1590" w:type="dxa"/>
                  <w:tcBorders>
                    <w:top w:val="single" w:color="auto" w:sz="4" w:space="0"/>
                    <w:left w:val="single" w:color="auto" w:sz="4" w:space="0"/>
                    <w:bottom w:val="single" w:color="auto" w:sz="4" w:space="0"/>
                    <w:right w:val="single" w:color="auto" w:sz="4" w:space="0"/>
                  </w:tcBorders>
                  <w:vAlign w:val="center"/>
                </w:tcPr>
                <w:p>
                  <w:pPr>
                    <w:pStyle w:val="8"/>
                    <w:ind w:left="0"/>
                    <w:jc w:val="center"/>
                    <w:rPr>
                      <w:rFonts w:cs="Times New Roman"/>
                      <w:b w:val="0"/>
                      <w:bCs w:val="0"/>
                      <w:sz w:val="21"/>
                      <w:szCs w:val="21"/>
                    </w:rPr>
                  </w:pPr>
                  <w:r>
                    <w:rPr>
                      <w:rFonts w:hint="eastAsia" w:cs="Times New Roman"/>
                      <w:b w:val="0"/>
                      <w:bCs w:val="0"/>
                      <w:sz w:val="21"/>
                      <w:szCs w:val="21"/>
                    </w:rPr>
                    <w:t>粉碎机</w:t>
                  </w:r>
                </w:p>
              </w:tc>
              <w:tc>
                <w:tcPr>
                  <w:tcW w:w="2537" w:type="dxa"/>
                  <w:tcBorders>
                    <w:top w:val="single" w:color="auto" w:sz="4" w:space="0"/>
                    <w:left w:val="single" w:color="auto" w:sz="4" w:space="0"/>
                    <w:bottom w:val="single" w:color="auto" w:sz="4" w:space="0"/>
                    <w:right w:val="single" w:color="auto" w:sz="4" w:space="0"/>
                  </w:tcBorders>
                  <w:vAlign w:val="center"/>
                </w:tcPr>
                <w:p>
                  <w:pPr>
                    <w:pStyle w:val="8"/>
                    <w:ind w:left="0"/>
                    <w:jc w:val="center"/>
                    <w:rPr>
                      <w:rFonts w:ascii="Times New Roman" w:hAnsi="Times New Roman" w:cs="Times New Roman"/>
                      <w:b w:val="0"/>
                      <w:bCs w:val="0"/>
                      <w:sz w:val="21"/>
                      <w:szCs w:val="21"/>
                      <w:lang w:val="en-US"/>
                    </w:rPr>
                  </w:pPr>
                  <w:r>
                    <w:rPr>
                      <w:rFonts w:ascii="Times New Roman" w:hAnsi="Times New Roman" w:cs="Times New Roman"/>
                      <w:b w:val="0"/>
                      <w:bCs w:val="0"/>
                      <w:sz w:val="21"/>
                      <w:szCs w:val="21"/>
                    </w:rPr>
                    <w:t>水滴式</w:t>
                  </w:r>
                  <w:r>
                    <w:rPr>
                      <w:rFonts w:ascii="Times New Roman" w:hAnsi="Times New Roman" w:cs="Times New Roman"/>
                      <w:b w:val="0"/>
                      <w:bCs w:val="0"/>
                      <w:sz w:val="21"/>
                      <w:szCs w:val="21"/>
                      <w:lang w:val="en-US"/>
                    </w:rPr>
                    <w:t>998-III</w:t>
                  </w:r>
                </w:p>
              </w:tc>
              <w:tc>
                <w:tcPr>
                  <w:tcW w:w="1533" w:type="dxa"/>
                  <w:tcBorders>
                    <w:top w:val="single" w:color="auto" w:sz="4" w:space="0"/>
                    <w:left w:val="single" w:color="auto" w:sz="4" w:space="0"/>
                    <w:bottom w:val="single" w:color="auto" w:sz="4" w:space="0"/>
                    <w:right w:val="single" w:color="auto" w:sz="4" w:space="0"/>
                  </w:tcBorders>
                  <w:vAlign w:val="center"/>
                </w:tcPr>
                <w:p>
                  <w:pPr>
                    <w:pStyle w:val="8"/>
                    <w:ind w:left="0"/>
                    <w:jc w:val="center"/>
                    <w:rPr>
                      <w:rFonts w:ascii="Times New Roman" w:hAnsi="Times New Roman" w:cs="Times New Roman"/>
                      <w:b w:val="0"/>
                      <w:bCs w:val="0"/>
                      <w:sz w:val="21"/>
                      <w:szCs w:val="21"/>
                      <w:lang w:val="en-US"/>
                    </w:rPr>
                  </w:pPr>
                  <w:r>
                    <w:rPr>
                      <w:rFonts w:hint="eastAsia" w:ascii="Times New Roman" w:hAnsi="Times New Roman" w:cs="Times New Roman"/>
                      <w:b w:val="0"/>
                      <w:bCs w:val="0"/>
                      <w:sz w:val="21"/>
                      <w:szCs w:val="21"/>
                      <w:lang w:val="en-US"/>
                    </w:rPr>
                    <w:t>1</w:t>
                  </w:r>
                </w:p>
              </w:tc>
              <w:tc>
                <w:tcPr>
                  <w:tcW w:w="1395" w:type="dxa"/>
                  <w:tcBorders>
                    <w:top w:val="single" w:color="auto" w:sz="4" w:space="0"/>
                    <w:left w:val="single" w:color="auto" w:sz="4" w:space="0"/>
                    <w:bottom w:val="single" w:color="auto" w:sz="4" w:space="0"/>
                    <w:right w:val="single" w:color="auto" w:sz="4" w:space="0"/>
                  </w:tcBorders>
                  <w:vAlign w:val="center"/>
                </w:tcPr>
                <w:p>
                  <w:pPr>
                    <w:pStyle w:val="8"/>
                    <w:ind w:left="0"/>
                    <w:jc w:val="center"/>
                    <w:rPr>
                      <w:rFonts w:cs="Times New Roman"/>
                      <w:b w:val="0"/>
                      <w:bCs w:val="0"/>
                      <w:sz w:val="21"/>
                      <w:szCs w:val="21"/>
                      <w:lang w:val="en-US"/>
                    </w:rPr>
                  </w:pPr>
                  <w:r>
                    <w:rPr>
                      <w:rFonts w:hint="eastAsia"/>
                      <w:b w:val="0"/>
                      <w:bCs w:val="0"/>
                      <w:sz w:val="21"/>
                      <w:szCs w:val="21"/>
                      <w:lang w:val="en-US"/>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03" w:type="dxa"/>
                  <w:tcBorders>
                    <w:top w:val="single" w:color="auto" w:sz="4" w:space="0"/>
                    <w:left w:val="single" w:color="auto" w:sz="4" w:space="0"/>
                    <w:bottom w:val="single" w:color="auto" w:sz="4" w:space="0"/>
                    <w:right w:val="single" w:color="auto" w:sz="4" w:space="0"/>
                  </w:tcBorders>
                  <w:vAlign w:val="center"/>
                </w:tcPr>
                <w:p>
                  <w:pPr>
                    <w:pStyle w:val="8"/>
                    <w:ind w:left="0"/>
                    <w:jc w:val="center"/>
                    <w:rPr>
                      <w:rFonts w:ascii="Times New Roman" w:hAnsi="Times New Roman" w:cs="Times New Roman"/>
                      <w:b w:val="0"/>
                      <w:bCs w:val="0"/>
                      <w:sz w:val="21"/>
                      <w:szCs w:val="21"/>
                      <w:lang w:val="en-US"/>
                    </w:rPr>
                  </w:pPr>
                  <w:r>
                    <w:rPr>
                      <w:rFonts w:ascii="Times New Roman" w:hAnsi="Times New Roman" w:cs="Times New Roman"/>
                      <w:b w:val="0"/>
                      <w:bCs w:val="0"/>
                      <w:sz w:val="21"/>
                      <w:szCs w:val="21"/>
                      <w:lang w:val="en-US"/>
                    </w:rPr>
                    <w:t>3</w:t>
                  </w:r>
                </w:p>
              </w:tc>
              <w:tc>
                <w:tcPr>
                  <w:tcW w:w="1590" w:type="dxa"/>
                  <w:tcBorders>
                    <w:top w:val="single" w:color="auto" w:sz="4" w:space="0"/>
                    <w:left w:val="single" w:color="auto" w:sz="4" w:space="0"/>
                    <w:bottom w:val="single" w:color="auto" w:sz="4" w:space="0"/>
                    <w:right w:val="single" w:color="auto" w:sz="4" w:space="0"/>
                  </w:tcBorders>
                  <w:vAlign w:val="center"/>
                </w:tcPr>
                <w:p>
                  <w:pPr>
                    <w:pStyle w:val="8"/>
                    <w:ind w:left="0"/>
                    <w:jc w:val="center"/>
                    <w:rPr>
                      <w:rFonts w:cs="Times New Roman"/>
                      <w:b w:val="0"/>
                      <w:bCs w:val="0"/>
                      <w:sz w:val="21"/>
                      <w:szCs w:val="21"/>
                    </w:rPr>
                  </w:pPr>
                  <w:r>
                    <w:rPr>
                      <w:rFonts w:hint="eastAsia" w:cs="Times New Roman"/>
                      <w:b w:val="0"/>
                      <w:bCs w:val="0"/>
                      <w:sz w:val="21"/>
                      <w:szCs w:val="21"/>
                    </w:rPr>
                    <w:t>粉碎机</w:t>
                  </w:r>
                </w:p>
              </w:tc>
              <w:tc>
                <w:tcPr>
                  <w:tcW w:w="2537" w:type="dxa"/>
                  <w:tcBorders>
                    <w:top w:val="single" w:color="auto" w:sz="4" w:space="0"/>
                    <w:left w:val="single" w:color="auto" w:sz="4" w:space="0"/>
                    <w:bottom w:val="single" w:color="auto" w:sz="4" w:space="0"/>
                    <w:right w:val="single" w:color="auto" w:sz="4" w:space="0"/>
                  </w:tcBorders>
                  <w:vAlign w:val="center"/>
                </w:tcPr>
                <w:p>
                  <w:pPr>
                    <w:pStyle w:val="8"/>
                    <w:ind w:left="0"/>
                    <w:jc w:val="center"/>
                    <w:rPr>
                      <w:rFonts w:ascii="Times New Roman" w:hAnsi="Times New Roman" w:cs="Times New Roman"/>
                      <w:b w:val="0"/>
                      <w:bCs w:val="0"/>
                      <w:sz w:val="21"/>
                      <w:szCs w:val="21"/>
                    </w:rPr>
                  </w:pPr>
                  <w:r>
                    <w:rPr>
                      <w:rFonts w:ascii="Times New Roman" w:hAnsi="Times New Roman" w:cs="Times New Roman"/>
                      <w:b w:val="0"/>
                      <w:bCs w:val="0"/>
                      <w:sz w:val="21"/>
                      <w:szCs w:val="21"/>
                    </w:rPr>
                    <w:t>水滴式</w:t>
                  </w:r>
                  <w:r>
                    <w:rPr>
                      <w:rFonts w:ascii="Times New Roman" w:hAnsi="Times New Roman" w:cs="Times New Roman"/>
                      <w:b w:val="0"/>
                      <w:bCs w:val="0"/>
                      <w:sz w:val="21"/>
                      <w:szCs w:val="21"/>
                      <w:lang w:val="en-US"/>
                    </w:rPr>
                    <w:t>998-II</w:t>
                  </w:r>
                </w:p>
              </w:tc>
              <w:tc>
                <w:tcPr>
                  <w:tcW w:w="1533" w:type="dxa"/>
                  <w:tcBorders>
                    <w:top w:val="single" w:color="auto" w:sz="4" w:space="0"/>
                    <w:left w:val="single" w:color="auto" w:sz="4" w:space="0"/>
                    <w:bottom w:val="single" w:color="auto" w:sz="4" w:space="0"/>
                    <w:right w:val="single" w:color="auto" w:sz="4" w:space="0"/>
                  </w:tcBorders>
                  <w:vAlign w:val="center"/>
                </w:tcPr>
                <w:p>
                  <w:pPr>
                    <w:pStyle w:val="8"/>
                    <w:ind w:left="0"/>
                    <w:jc w:val="center"/>
                    <w:rPr>
                      <w:rFonts w:ascii="Times New Roman" w:hAnsi="Times New Roman" w:cs="Times New Roman"/>
                      <w:b w:val="0"/>
                      <w:bCs w:val="0"/>
                      <w:sz w:val="21"/>
                      <w:szCs w:val="21"/>
                      <w:lang w:val="en-US"/>
                    </w:rPr>
                  </w:pPr>
                  <w:r>
                    <w:rPr>
                      <w:rFonts w:hint="eastAsia" w:ascii="Times New Roman" w:hAnsi="Times New Roman" w:cs="Times New Roman"/>
                      <w:b w:val="0"/>
                      <w:bCs w:val="0"/>
                      <w:sz w:val="21"/>
                      <w:szCs w:val="21"/>
                      <w:lang w:val="en-US"/>
                    </w:rPr>
                    <w:t>1</w:t>
                  </w:r>
                </w:p>
              </w:tc>
              <w:tc>
                <w:tcPr>
                  <w:tcW w:w="1395" w:type="dxa"/>
                  <w:tcBorders>
                    <w:top w:val="single" w:color="auto" w:sz="4" w:space="0"/>
                    <w:left w:val="single" w:color="auto" w:sz="4" w:space="0"/>
                    <w:bottom w:val="single" w:color="auto" w:sz="4" w:space="0"/>
                    <w:right w:val="single" w:color="auto" w:sz="4" w:space="0"/>
                  </w:tcBorders>
                  <w:vAlign w:val="center"/>
                </w:tcPr>
                <w:p>
                  <w:pPr>
                    <w:pStyle w:val="8"/>
                    <w:ind w:left="0"/>
                    <w:jc w:val="center"/>
                    <w:rPr>
                      <w:rFonts w:cs="Times New Roman"/>
                      <w:b w:val="0"/>
                      <w:bCs w:val="0"/>
                      <w:sz w:val="21"/>
                      <w:szCs w:val="21"/>
                      <w:lang w:val="en-US"/>
                    </w:rPr>
                  </w:pPr>
                  <w:r>
                    <w:rPr>
                      <w:rFonts w:hint="eastAsia"/>
                      <w:b w:val="0"/>
                      <w:bCs w:val="0"/>
                      <w:sz w:val="21"/>
                      <w:szCs w:val="21"/>
                      <w:lang w:val="en-US"/>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03" w:type="dxa"/>
                  <w:tcBorders>
                    <w:top w:val="single" w:color="auto" w:sz="4" w:space="0"/>
                    <w:left w:val="single" w:color="auto" w:sz="4" w:space="0"/>
                    <w:bottom w:val="single" w:color="auto" w:sz="4" w:space="0"/>
                    <w:right w:val="single" w:color="auto" w:sz="4" w:space="0"/>
                  </w:tcBorders>
                  <w:vAlign w:val="center"/>
                </w:tcPr>
                <w:p>
                  <w:pPr>
                    <w:pStyle w:val="8"/>
                    <w:ind w:left="0"/>
                    <w:jc w:val="center"/>
                    <w:rPr>
                      <w:rFonts w:ascii="Times New Roman" w:hAnsi="Times New Roman" w:cs="Times New Roman"/>
                      <w:b w:val="0"/>
                      <w:bCs w:val="0"/>
                      <w:sz w:val="21"/>
                      <w:szCs w:val="21"/>
                      <w:lang w:val="en-US"/>
                    </w:rPr>
                  </w:pPr>
                  <w:r>
                    <w:rPr>
                      <w:rFonts w:ascii="Times New Roman" w:hAnsi="Times New Roman" w:cs="Times New Roman"/>
                      <w:b w:val="0"/>
                      <w:bCs w:val="0"/>
                      <w:sz w:val="21"/>
                      <w:szCs w:val="21"/>
                      <w:lang w:val="en-US"/>
                    </w:rPr>
                    <w:t>4</w:t>
                  </w:r>
                </w:p>
              </w:tc>
              <w:tc>
                <w:tcPr>
                  <w:tcW w:w="1590" w:type="dxa"/>
                  <w:tcBorders>
                    <w:top w:val="single" w:color="auto" w:sz="4" w:space="0"/>
                    <w:left w:val="single" w:color="auto" w:sz="4" w:space="0"/>
                    <w:bottom w:val="single" w:color="auto" w:sz="4" w:space="0"/>
                    <w:right w:val="single" w:color="auto" w:sz="4" w:space="0"/>
                  </w:tcBorders>
                  <w:vAlign w:val="center"/>
                </w:tcPr>
                <w:p>
                  <w:pPr>
                    <w:pStyle w:val="8"/>
                    <w:ind w:left="0"/>
                    <w:jc w:val="center"/>
                    <w:rPr>
                      <w:rFonts w:cs="Times New Roman"/>
                      <w:b w:val="0"/>
                      <w:bCs w:val="0"/>
                      <w:sz w:val="21"/>
                      <w:szCs w:val="21"/>
                    </w:rPr>
                  </w:pPr>
                  <w:r>
                    <w:rPr>
                      <w:rFonts w:hint="eastAsia" w:cs="Times New Roman"/>
                      <w:b w:val="0"/>
                      <w:bCs w:val="0"/>
                      <w:sz w:val="21"/>
                      <w:szCs w:val="21"/>
                    </w:rPr>
                    <w:t>混合机</w:t>
                  </w:r>
                </w:p>
              </w:tc>
              <w:tc>
                <w:tcPr>
                  <w:tcW w:w="2537" w:type="dxa"/>
                  <w:tcBorders>
                    <w:top w:val="single" w:color="auto" w:sz="4" w:space="0"/>
                    <w:left w:val="single" w:color="auto" w:sz="4" w:space="0"/>
                    <w:bottom w:val="single" w:color="auto" w:sz="4" w:space="0"/>
                    <w:right w:val="single" w:color="auto" w:sz="4" w:space="0"/>
                  </w:tcBorders>
                  <w:vAlign w:val="center"/>
                </w:tcPr>
                <w:p>
                  <w:pPr>
                    <w:pStyle w:val="8"/>
                    <w:ind w:left="0"/>
                    <w:jc w:val="center"/>
                    <w:rPr>
                      <w:rFonts w:ascii="Times New Roman" w:hAnsi="Times New Roman" w:cs="Times New Roman"/>
                      <w:b w:val="0"/>
                      <w:bCs w:val="0"/>
                      <w:sz w:val="21"/>
                      <w:szCs w:val="21"/>
                      <w:lang w:val="en-US"/>
                    </w:rPr>
                  </w:pPr>
                  <w:r>
                    <w:rPr>
                      <w:rFonts w:ascii="Times New Roman" w:hAnsi="Times New Roman" w:cs="Times New Roman"/>
                      <w:b w:val="0"/>
                      <w:bCs w:val="0"/>
                      <w:sz w:val="21"/>
                      <w:szCs w:val="21"/>
                      <w:lang w:val="en-US"/>
                    </w:rPr>
                    <w:t>SHSJ4</w:t>
                  </w:r>
                </w:p>
              </w:tc>
              <w:tc>
                <w:tcPr>
                  <w:tcW w:w="1533" w:type="dxa"/>
                  <w:tcBorders>
                    <w:top w:val="single" w:color="auto" w:sz="4" w:space="0"/>
                    <w:left w:val="single" w:color="auto" w:sz="4" w:space="0"/>
                    <w:bottom w:val="single" w:color="auto" w:sz="4" w:space="0"/>
                    <w:right w:val="single" w:color="auto" w:sz="4" w:space="0"/>
                  </w:tcBorders>
                  <w:vAlign w:val="center"/>
                </w:tcPr>
                <w:p>
                  <w:pPr>
                    <w:pStyle w:val="8"/>
                    <w:ind w:left="0"/>
                    <w:jc w:val="center"/>
                    <w:rPr>
                      <w:rFonts w:ascii="Times New Roman" w:hAnsi="Times New Roman" w:cs="Times New Roman"/>
                      <w:b w:val="0"/>
                      <w:bCs w:val="0"/>
                      <w:sz w:val="21"/>
                      <w:szCs w:val="21"/>
                      <w:lang w:val="en-US"/>
                    </w:rPr>
                  </w:pPr>
                  <w:r>
                    <w:rPr>
                      <w:rFonts w:hint="eastAsia" w:ascii="Times New Roman" w:hAnsi="Times New Roman" w:cs="Times New Roman"/>
                      <w:b w:val="0"/>
                      <w:bCs w:val="0"/>
                      <w:sz w:val="21"/>
                      <w:szCs w:val="21"/>
                      <w:lang w:val="en-US"/>
                    </w:rPr>
                    <w:t>1</w:t>
                  </w:r>
                </w:p>
              </w:tc>
              <w:tc>
                <w:tcPr>
                  <w:tcW w:w="1395" w:type="dxa"/>
                  <w:tcBorders>
                    <w:top w:val="single" w:color="auto" w:sz="4" w:space="0"/>
                    <w:left w:val="single" w:color="auto" w:sz="4" w:space="0"/>
                    <w:bottom w:val="single" w:color="auto" w:sz="4" w:space="0"/>
                    <w:right w:val="single" w:color="auto" w:sz="4" w:space="0"/>
                  </w:tcBorders>
                  <w:vAlign w:val="center"/>
                </w:tcPr>
                <w:p>
                  <w:pPr>
                    <w:pStyle w:val="8"/>
                    <w:ind w:left="0"/>
                    <w:jc w:val="center"/>
                    <w:rPr>
                      <w:rFonts w:cs="Times New Roman"/>
                      <w:b w:val="0"/>
                      <w:bCs w:val="0"/>
                      <w:sz w:val="21"/>
                      <w:szCs w:val="21"/>
                      <w:lang w:val="en-US"/>
                    </w:rPr>
                  </w:pPr>
                  <w:r>
                    <w:rPr>
                      <w:rFonts w:hint="eastAsia"/>
                      <w:b w:val="0"/>
                      <w:bCs w:val="0"/>
                      <w:sz w:val="21"/>
                      <w:szCs w:val="21"/>
                      <w:lang w:val="en-US"/>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03" w:type="dxa"/>
                  <w:tcBorders>
                    <w:top w:val="single" w:color="auto" w:sz="4" w:space="0"/>
                    <w:left w:val="single" w:color="auto" w:sz="4" w:space="0"/>
                    <w:bottom w:val="single" w:color="auto" w:sz="4" w:space="0"/>
                    <w:right w:val="single" w:color="auto" w:sz="4" w:space="0"/>
                  </w:tcBorders>
                  <w:vAlign w:val="center"/>
                </w:tcPr>
                <w:p>
                  <w:pPr>
                    <w:pStyle w:val="8"/>
                    <w:ind w:left="0"/>
                    <w:jc w:val="center"/>
                    <w:rPr>
                      <w:rFonts w:ascii="Times New Roman" w:hAnsi="Times New Roman" w:cs="Times New Roman"/>
                      <w:b w:val="0"/>
                      <w:bCs w:val="0"/>
                      <w:sz w:val="21"/>
                      <w:szCs w:val="21"/>
                      <w:lang w:val="en-US"/>
                    </w:rPr>
                  </w:pPr>
                  <w:r>
                    <w:rPr>
                      <w:rFonts w:hint="eastAsia" w:ascii="Times New Roman" w:hAnsi="Times New Roman" w:cs="Times New Roman"/>
                      <w:b w:val="0"/>
                      <w:bCs w:val="0"/>
                      <w:sz w:val="21"/>
                      <w:szCs w:val="21"/>
                      <w:lang w:val="en-US"/>
                    </w:rPr>
                    <w:t>5</w:t>
                  </w:r>
                </w:p>
              </w:tc>
              <w:tc>
                <w:tcPr>
                  <w:tcW w:w="1590" w:type="dxa"/>
                  <w:tcBorders>
                    <w:top w:val="single" w:color="auto" w:sz="4" w:space="0"/>
                    <w:left w:val="single" w:color="auto" w:sz="4" w:space="0"/>
                    <w:bottom w:val="single" w:color="auto" w:sz="4" w:space="0"/>
                    <w:right w:val="single" w:color="auto" w:sz="4" w:space="0"/>
                  </w:tcBorders>
                  <w:vAlign w:val="center"/>
                </w:tcPr>
                <w:p>
                  <w:pPr>
                    <w:pStyle w:val="8"/>
                    <w:ind w:left="0"/>
                    <w:jc w:val="center"/>
                    <w:rPr>
                      <w:rFonts w:cs="Times New Roman"/>
                      <w:b w:val="0"/>
                      <w:bCs w:val="0"/>
                      <w:sz w:val="21"/>
                      <w:szCs w:val="21"/>
                    </w:rPr>
                  </w:pPr>
                  <w:r>
                    <w:rPr>
                      <w:rFonts w:hint="eastAsia" w:cs="Times New Roman"/>
                      <w:b w:val="0"/>
                      <w:bCs w:val="0"/>
                      <w:sz w:val="21"/>
                      <w:szCs w:val="21"/>
                    </w:rPr>
                    <w:t>制粒机</w:t>
                  </w:r>
                </w:p>
              </w:tc>
              <w:tc>
                <w:tcPr>
                  <w:tcW w:w="2537" w:type="dxa"/>
                  <w:tcBorders>
                    <w:top w:val="single" w:color="auto" w:sz="4" w:space="0"/>
                    <w:left w:val="single" w:color="auto" w:sz="4" w:space="0"/>
                    <w:bottom w:val="single" w:color="auto" w:sz="4" w:space="0"/>
                    <w:right w:val="single" w:color="auto" w:sz="4" w:space="0"/>
                  </w:tcBorders>
                  <w:vAlign w:val="center"/>
                </w:tcPr>
                <w:p>
                  <w:pPr>
                    <w:pStyle w:val="8"/>
                    <w:ind w:left="0"/>
                    <w:jc w:val="center"/>
                    <w:rPr>
                      <w:rFonts w:ascii="Times New Roman" w:hAnsi="Times New Roman" w:cs="Times New Roman"/>
                      <w:b w:val="0"/>
                      <w:bCs w:val="0"/>
                      <w:sz w:val="21"/>
                      <w:szCs w:val="21"/>
                      <w:lang w:val="en-US"/>
                    </w:rPr>
                  </w:pPr>
                  <w:r>
                    <w:rPr>
                      <w:rFonts w:ascii="Times New Roman" w:hAnsi="Times New Roman" w:cs="Times New Roman"/>
                      <w:b w:val="0"/>
                      <w:bCs w:val="0"/>
                      <w:sz w:val="21"/>
                      <w:szCs w:val="21"/>
                      <w:lang w:val="en-US"/>
                    </w:rPr>
                    <w:t>SZLH508</w:t>
                  </w:r>
                </w:p>
              </w:tc>
              <w:tc>
                <w:tcPr>
                  <w:tcW w:w="1533" w:type="dxa"/>
                  <w:tcBorders>
                    <w:top w:val="single" w:color="auto" w:sz="4" w:space="0"/>
                    <w:left w:val="single" w:color="auto" w:sz="4" w:space="0"/>
                    <w:bottom w:val="single" w:color="auto" w:sz="4" w:space="0"/>
                    <w:right w:val="single" w:color="auto" w:sz="4" w:space="0"/>
                  </w:tcBorders>
                  <w:vAlign w:val="center"/>
                </w:tcPr>
                <w:p>
                  <w:pPr>
                    <w:pStyle w:val="8"/>
                    <w:ind w:left="0"/>
                    <w:jc w:val="center"/>
                    <w:rPr>
                      <w:rFonts w:ascii="Times New Roman" w:hAnsi="Times New Roman" w:cs="Times New Roman"/>
                      <w:b w:val="0"/>
                      <w:bCs w:val="0"/>
                      <w:sz w:val="21"/>
                      <w:szCs w:val="21"/>
                      <w:lang w:val="en-US"/>
                    </w:rPr>
                  </w:pPr>
                  <w:r>
                    <w:rPr>
                      <w:rFonts w:hint="eastAsia" w:ascii="Times New Roman" w:hAnsi="Times New Roman" w:cs="Times New Roman"/>
                      <w:b w:val="0"/>
                      <w:bCs w:val="0"/>
                      <w:sz w:val="21"/>
                      <w:szCs w:val="21"/>
                      <w:lang w:val="en-US"/>
                    </w:rPr>
                    <w:t>1</w:t>
                  </w:r>
                </w:p>
              </w:tc>
              <w:tc>
                <w:tcPr>
                  <w:tcW w:w="1395" w:type="dxa"/>
                  <w:tcBorders>
                    <w:top w:val="single" w:color="auto" w:sz="4" w:space="0"/>
                    <w:left w:val="single" w:color="auto" w:sz="4" w:space="0"/>
                    <w:bottom w:val="single" w:color="auto" w:sz="4" w:space="0"/>
                    <w:right w:val="single" w:color="auto" w:sz="4" w:space="0"/>
                  </w:tcBorders>
                  <w:vAlign w:val="center"/>
                </w:tcPr>
                <w:p>
                  <w:pPr>
                    <w:pStyle w:val="8"/>
                    <w:ind w:left="0"/>
                    <w:jc w:val="center"/>
                    <w:rPr>
                      <w:b w:val="0"/>
                      <w:bCs w:val="0"/>
                      <w:sz w:val="21"/>
                      <w:szCs w:val="21"/>
                      <w:lang w:val="en-US"/>
                    </w:rPr>
                  </w:pPr>
                  <w:r>
                    <w:rPr>
                      <w:rFonts w:hint="eastAsia"/>
                      <w:b w:val="0"/>
                      <w:bCs w:val="0"/>
                      <w:sz w:val="21"/>
                      <w:szCs w:val="21"/>
                      <w:lang w:val="en-US"/>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03" w:type="dxa"/>
                  <w:tcBorders>
                    <w:top w:val="single" w:color="auto" w:sz="4" w:space="0"/>
                    <w:left w:val="single" w:color="auto" w:sz="4" w:space="0"/>
                    <w:bottom w:val="single" w:color="auto" w:sz="4" w:space="0"/>
                    <w:right w:val="single" w:color="auto" w:sz="4" w:space="0"/>
                  </w:tcBorders>
                  <w:vAlign w:val="center"/>
                </w:tcPr>
                <w:p>
                  <w:pPr>
                    <w:pStyle w:val="8"/>
                    <w:ind w:left="0"/>
                    <w:jc w:val="center"/>
                    <w:rPr>
                      <w:rFonts w:ascii="Times New Roman" w:hAnsi="Times New Roman" w:cs="Times New Roman"/>
                      <w:b w:val="0"/>
                      <w:bCs w:val="0"/>
                      <w:sz w:val="21"/>
                      <w:szCs w:val="21"/>
                      <w:lang w:val="en-US"/>
                    </w:rPr>
                  </w:pPr>
                  <w:r>
                    <w:rPr>
                      <w:rFonts w:hint="eastAsia" w:ascii="Times New Roman" w:hAnsi="Times New Roman" w:cs="Times New Roman"/>
                      <w:b w:val="0"/>
                      <w:bCs w:val="0"/>
                      <w:sz w:val="21"/>
                      <w:szCs w:val="21"/>
                      <w:lang w:val="en-US"/>
                    </w:rPr>
                    <w:t>6</w:t>
                  </w:r>
                </w:p>
              </w:tc>
              <w:tc>
                <w:tcPr>
                  <w:tcW w:w="1590" w:type="dxa"/>
                  <w:tcBorders>
                    <w:top w:val="single" w:color="auto" w:sz="4" w:space="0"/>
                    <w:left w:val="single" w:color="auto" w:sz="4" w:space="0"/>
                    <w:bottom w:val="single" w:color="auto" w:sz="4" w:space="0"/>
                    <w:right w:val="single" w:color="auto" w:sz="4" w:space="0"/>
                  </w:tcBorders>
                  <w:vAlign w:val="center"/>
                </w:tcPr>
                <w:p>
                  <w:pPr>
                    <w:pStyle w:val="8"/>
                    <w:ind w:left="0"/>
                    <w:jc w:val="center"/>
                    <w:rPr>
                      <w:rFonts w:cs="Times New Roman"/>
                      <w:b w:val="0"/>
                      <w:bCs w:val="0"/>
                      <w:sz w:val="21"/>
                      <w:szCs w:val="21"/>
                    </w:rPr>
                  </w:pPr>
                  <w:r>
                    <w:rPr>
                      <w:rFonts w:hint="eastAsia" w:cs="Times New Roman"/>
                      <w:b w:val="0"/>
                      <w:bCs w:val="0"/>
                      <w:sz w:val="21"/>
                      <w:szCs w:val="21"/>
                    </w:rPr>
                    <w:t>打包机</w:t>
                  </w:r>
                </w:p>
              </w:tc>
              <w:tc>
                <w:tcPr>
                  <w:tcW w:w="2537" w:type="dxa"/>
                  <w:tcBorders>
                    <w:top w:val="single" w:color="auto" w:sz="4" w:space="0"/>
                    <w:left w:val="single" w:color="auto" w:sz="4" w:space="0"/>
                    <w:bottom w:val="single" w:color="auto" w:sz="4" w:space="0"/>
                    <w:right w:val="single" w:color="auto" w:sz="4" w:space="0"/>
                  </w:tcBorders>
                  <w:vAlign w:val="center"/>
                </w:tcPr>
                <w:p>
                  <w:pPr>
                    <w:pStyle w:val="8"/>
                    <w:ind w:left="0"/>
                    <w:jc w:val="center"/>
                    <w:rPr>
                      <w:rFonts w:ascii="Times New Roman" w:hAnsi="Times New Roman" w:cs="Times New Roman"/>
                      <w:b w:val="0"/>
                      <w:bCs w:val="0"/>
                      <w:sz w:val="21"/>
                      <w:szCs w:val="21"/>
                      <w:lang w:val="en-US"/>
                    </w:rPr>
                  </w:pPr>
                  <w:r>
                    <w:rPr>
                      <w:rFonts w:ascii="Times New Roman" w:hAnsi="Times New Roman" w:cs="Times New Roman"/>
                      <w:b w:val="0"/>
                      <w:bCs w:val="0"/>
                      <w:sz w:val="21"/>
                      <w:szCs w:val="21"/>
                      <w:lang w:val="en-US"/>
                    </w:rPr>
                    <w:t>TFKB50</w:t>
                  </w:r>
                </w:p>
              </w:tc>
              <w:tc>
                <w:tcPr>
                  <w:tcW w:w="1533" w:type="dxa"/>
                  <w:tcBorders>
                    <w:top w:val="single" w:color="auto" w:sz="4" w:space="0"/>
                    <w:left w:val="single" w:color="auto" w:sz="4" w:space="0"/>
                    <w:bottom w:val="single" w:color="auto" w:sz="4" w:space="0"/>
                    <w:right w:val="single" w:color="auto" w:sz="4" w:space="0"/>
                  </w:tcBorders>
                  <w:vAlign w:val="center"/>
                </w:tcPr>
                <w:p>
                  <w:pPr>
                    <w:pStyle w:val="8"/>
                    <w:ind w:left="0"/>
                    <w:jc w:val="center"/>
                    <w:rPr>
                      <w:rFonts w:ascii="Times New Roman" w:hAnsi="Times New Roman" w:cs="Times New Roman"/>
                      <w:b w:val="0"/>
                      <w:bCs w:val="0"/>
                      <w:sz w:val="21"/>
                      <w:szCs w:val="21"/>
                      <w:lang w:val="en-US"/>
                    </w:rPr>
                  </w:pPr>
                  <w:r>
                    <w:rPr>
                      <w:rFonts w:hint="eastAsia" w:ascii="Times New Roman" w:hAnsi="Times New Roman" w:cs="Times New Roman"/>
                      <w:b w:val="0"/>
                      <w:bCs w:val="0"/>
                      <w:sz w:val="21"/>
                      <w:szCs w:val="21"/>
                      <w:lang w:val="en-US"/>
                    </w:rPr>
                    <w:t>2</w:t>
                  </w:r>
                </w:p>
              </w:tc>
              <w:tc>
                <w:tcPr>
                  <w:tcW w:w="1395" w:type="dxa"/>
                  <w:tcBorders>
                    <w:top w:val="single" w:color="auto" w:sz="4" w:space="0"/>
                    <w:left w:val="single" w:color="auto" w:sz="4" w:space="0"/>
                    <w:bottom w:val="single" w:color="auto" w:sz="4" w:space="0"/>
                    <w:right w:val="single" w:color="auto" w:sz="4" w:space="0"/>
                  </w:tcBorders>
                  <w:vAlign w:val="center"/>
                </w:tcPr>
                <w:p>
                  <w:pPr>
                    <w:pStyle w:val="8"/>
                    <w:ind w:left="0"/>
                    <w:jc w:val="center"/>
                    <w:rPr>
                      <w:b w:val="0"/>
                      <w:bCs w:val="0"/>
                      <w:sz w:val="21"/>
                      <w:szCs w:val="21"/>
                      <w:lang w:val="en-US"/>
                    </w:rPr>
                  </w:pPr>
                  <w:r>
                    <w:rPr>
                      <w:rFonts w:hint="eastAsia"/>
                      <w:b w:val="0"/>
                      <w:bCs w:val="0"/>
                      <w:sz w:val="21"/>
                      <w:szCs w:val="21"/>
                      <w:lang w:val="en-US"/>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03" w:type="dxa"/>
                  <w:tcBorders>
                    <w:top w:val="single" w:color="auto" w:sz="4" w:space="0"/>
                    <w:left w:val="single" w:color="auto" w:sz="4" w:space="0"/>
                    <w:bottom w:val="single" w:color="auto" w:sz="4" w:space="0"/>
                    <w:right w:val="single" w:color="auto" w:sz="4" w:space="0"/>
                  </w:tcBorders>
                  <w:vAlign w:val="center"/>
                </w:tcPr>
                <w:p>
                  <w:pPr>
                    <w:pStyle w:val="8"/>
                    <w:ind w:left="0"/>
                    <w:jc w:val="center"/>
                    <w:rPr>
                      <w:rFonts w:ascii="Times New Roman" w:hAnsi="Times New Roman" w:cs="Times New Roman"/>
                      <w:b w:val="0"/>
                      <w:bCs w:val="0"/>
                      <w:sz w:val="21"/>
                      <w:szCs w:val="21"/>
                      <w:lang w:val="en-US"/>
                    </w:rPr>
                  </w:pPr>
                  <w:r>
                    <w:rPr>
                      <w:rFonts w:hint="eastAsia" w:ascii="Times New Roman" w:hAnsi="Times New Roman" w:cs="Times New Roman"/>
                      <w:b w:val="0"/>
                      <w:bCs w:val="0"/>
                      <w:sz w:val="21"/>
                      <w:szCs w:val="21"/>
                      <w:lang w:val="en-US"/>
                    </w:rPr>
                    <w:t>7</w:t>
                  </w:r>
                </w:p>
              </w:tc>
              <w:tc>
                <w:tcPr>
                  <w:tcW w:w="1590" w:type="dxa"/>
                  <w:tcBorders>
                    <w:top w:val="single" w:color="auto" w:sz="4" w:space="0"/>
                    <w:left w:val="single" w:color="auto" w:sz="4" w:space="0"/>
                    <w:bottom w:val="single" w:color="auto" w:sz="4" w:space="0"/>
                    <w:right w:val="single" w:color="auto" w:sz="4" w:space="0"/>
                  </w:tcBorders>
                  <w:vAlign w:val="center"/>
                </w:tcPr>
                <w:p>
                  <w:pPr>
                    <w:pStyle w:val="8"/>
                    <w:ind w:left="0"/>
                    <w:jc w:val="center"/>
                    <w:rPr>
                      <w:rFonts w:cs="Times New Roman"/>
                      <w:b w:val="0"/>
                      <w:bCs w:val="0"/>
                      <w:sz w:val="21"/>
                      <w:szCs w:val="21"/>
                    </w:rPr>
                  </w:pPr>
                  <w:r>
                    <w:rPr>
                      <w:rFonts w:hint="eastAsia" w:cs="Times New Roman"/>
                      <w:b w:val="0"/>
                      <w:bCs w:val="0"/>
                      <w:sz w:val="21"/>
                      <w:szCs w:val="21"/>
                    </w:rPr>
                    <w:t>脉冲除尘器</w:t>
                  </w:r>
                </w:p>
              </w:tc>
              <w:tc>
                <w:tcPr>
                  <w:tcW w:w="2537" w:type="dxa"/>
                  <w:tcBorders>
                    <w:top w:val="single" w:color="auto" w:sz="4" w:space="0"/>
                    <w:left w:val="single" w:color="auto" w:sz="4" w:space="0"/>
                    <w:bottom w:val="single" w:color="auto" w:sz="4" w:space="0"/>
                    <w:right w:val="single" w:color="auto" w:sz="4" w:space="0"/>
                  </w:tcBorders>
                  <w:vAlign w:val="center"/>
                </w:tcPr>
                <w:p>
                  <w:pPr>
                    <w:pStyle w:val="8"/>
                    <w:ind w:left="0"/>
                    <w:jc w:val="center"/>
                    <w:rPr>
                      <w:rFonts w:ascii="Times New Roman" w:hAnsi="Times New Roman" w:cs="Times New Roman"/>
                      <w:b w:val="0"/>
                      <w:bCs w:val="0"/>
                      <w:sz w:val="21"/>
                      <w:szCs w:val="21"/>
                      <w:lang w:val="en-US"/>
                    </w:rPr>
                  </w:pPr>
                  <w:r>
                    <w:rPr>
                      <w:rFonts w:ascii="Times New Roman" w:hAnsi="Times New Roman" w:cs="Times New Roman"/>
                      <w:b w:val="0"/>
                      <w:bCs w:val="0"/>
                      <w:sz w:val="21"/>
                      <w:szCs w:val="21"/>
                      <w:lang w:val="en-US"/>
                    </w:rPr>
                    <w:t>TBLY.48</w:t>
                  </w:r>
                </w:p>
              </w:tc>
              <w:tc>
                <w:tcPr>
                  <w:tcW w:w="1533" w:type="dxa"/>
                  <w:tcBorders>
                    <w:top w:val="single" w:color="auto" w:sz="4" w:space="0"/>
                    <w:left w:val="single" w:color="auto" w:sz="4" w:space="0"/>
                    <w:bottom w:val="single" w:color="auto" w:sz="4" w:space="0"/>
                    <w:right w:val="single" w:color="auto" w:sz="4" w:space="0"/>
                  </w:tcBorders>
                  <w:vAlign w:val="center"/>
                </w:tcPr>
                <w:p>
                  <w:pPr>
                    <w:pStyle w:val="8"/>
                    <w:ind w:left="0"/>
                    <w:jc w:val="center"/>
                    <w:rPr>
                      <w:rFonts w:ascii="Times New Roman" w:hAnsi="Times New Roman" w:cs="Times New Roman"/>
                      <w:b w:val="0"/>
                      <w:bCs w:val="0"/>
                      <w:sz w:val="21"/>
                      <w:szCs w:val="21"/>
                      <w:lang w:val="en-US"/>
                    </w:rPr>
                  </w:pPr>
                  <w:r>
                    <w:rPr>
                      <w:rFonts w:hint="eastAsia" w:ascii="Times New Roman" w:hAnsi="Times New Roman" w:cs="Times New Roman"/>
                      <w:b w:val="0"/>
                      <w:bCs w:val="0"/>
                      <w:sz w:val="21"/>
                      <w:szCs w:val="21"/>
                      <w:lang w:val="en-US"/>
                    </w:rPr>
                    <w:t>1</w:t>
                  </w:r>
                </w:p>
              </w:tc>
              <w:tc>
                <w:tcPr>
                  <w:tcW w:w="1395" w:type="dxa"/>
                  <w:tcBorders>
                    <w:top w:val="single" w:color="auto" w:sz="4" w:space="0"/>
                    <w:left w:val="single" w:color="auto" w:sz="4" w:space="0"/>
                    <w:bottom w:val="single" w:color="auto" w:sz="4" w:space="0"/>
                    <w:right w:val="single" w:color="auto" w:sz="4" w:space="0"/>
                  </w:tcBorders>
                  <w:vAlign w:val="center"/>
                </w:tcPr>
                <w:p>
                  <w:pPr>
                    <w:pStyle w:val="8"/>
                    <w:ind w:left="0"/>
                    <w:jc w:val="center"/>
                    <w:rPr>
                      <w:b w:val="0"/>
                      <w:bCs w:val="0"/>
                      <w:sz w:val="21"/>
                      <w:szCs w:val="21"/>
                      <w:lang w:val="en-US"/>
                    </w:rPr>
                  </w:pPr>
                  <w:r>
                    <w:rPr>
                      <w:rFonts w:hint="eastAsia"/>
                      <w:b w:val="0"/>
                      <w:bCs w:val="0"/>
                      <w:sz w:val="21"/>
                      <w:szCs w:val="21"/>
                      <w:lang w:val="en-US"/>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03" w:type="dxa"/>
                  <w:tcBorders>
                    <w:top w:val="single" w:color="auto" w:sz="4" w:space="0"/>
                    <w:left w:val="single" w:color="auto" w:sz="4" w:space="0"/>
                    <w:bottom w:val="single" w:color="auto" w:sz="4" w:space="0"/>
                    <w:right w:val="single" w:color="auto" w:sz="4" w:space="0"/>
                  </w:tcBorders>
                  <w:vAlign w:val="center"/>
                </w:tcPr>
                <w:p>
                  <w:pPr>
                    <w:pStyle w:val="8"/>
                    <w:ind w:left="0"/>
                    <w:jc w:val="center"/>
                    <w:rPr>
                      <w:rFonts w:ascii="Times New Roman" w:hAnsi="Times New Roman" w:cs="Times New Roman"/>
                      <w:b w:val="0"/>
                      <w:bCs w:val="0"/>
                      <w:sz w:val="21"/>
                      <w:szCs w:val="21"/>
                      <w:lang w:val="en-US"/>
                    </w:rPr>
                  </w:pPr>
                  <w:r>
                    <w:rPr>
                      <w:rFonts w:hint="eastAsia" w:ascii="Times New Roman" w:hAnsi="Times New Roman" w:cs="Times New Roman"/>
                      <w:b w:val="0"/>
                      <w:bCs w:val="0"/>
                      <w:sz w:val="21"/>
                      <w:szCs w:val="21"/>
                      <w:lang w:val="en-US"/>
                    </w:rPr>
                    <w:t>8</w:t>
                  </w:r>
                </w:p>
              </w:tc>
              <w:tc>
                <w:tcPr>
                  <w:tcW w:w="1590" w:type="dxa"/>
                  <w:tcBorders>
                    <w:top w:val="single" w:color="auto" w:sz="4" w:space="0"/>
                    <w:left w:val="single" w:color="auto" w:sz="4" w:space="0"/>
                    <w:bottom w:val="single" w:color="auto" w:sz="4" w:space="0"/>
                    <w:right w:val="single" w:color="auto" w:sz="4" w:space="0"/>
                  </w:tcBorders>
                  <w:vAlign w:val="center"/>
                </w:tcPr>
                <w:p>
                  <w:pPr>
                    <w:pStyle w:val="8"/>
                    <w:ind w:left="0"/>
                    <w:jc w:val="center"/>
                    <w:rPr>
                      <w:rFonts w:cs="Times New Roman"/>
                      <w:b w:val="0"/>
                      <w:bCs w:val="0"/>
                      <w:sz w:val="21"/>
                      <w:szCs w:val="21"/>
                    </w:rPr>
                  </w:pPr>
                  <w:r>
                    <w:rPr>
                      <w:rFonts w:hint="eastAsia" w:cs="Times New Roman"/>
                      <w:b w:val="0"/>
                      <w:bCs w:val="0"/>
                      <w:sz w:val="21"/>
                      <w:szCs w:val="21"/>
                    </w:rPr>
                    <w:t>脉冲除尘器</w:t>
                  </w:r>
                </w:p>
              </w:tc>
              <w:tc>
                <w:tcPr>
                  <w:tcW w:w="2537" w:type="dxa"/>
                  <w:tcBorders>
                    <w:top w:val="single" w:color="auto" w:sz="4" w:space="0"/>
                    <w:left w:val="single" w:color="auto" w:sz="4" w:space="0"/>
                    <w:bottom w:val="single" w:color="auto" w:sz="4" w:space="0"/>
                    <w:right w:val="single" w:color="auto" w:sz="4" w:space="0"/>
                  </w:tcBorders>
                  <w:vAlign w:val="center"/>
                </w:tcPr>
                <w:p>
                  <w:pPr>
                    <w:pStyle w:val="8"/>
                    <w:ind w:left="0"/>
                    <w:jc w:val="center"/>
                    <w:rPr>
                      <w:rFonts w:ascii="Times New Roman" w:hAnsi="Times New Roman" w:cs="Times New Roman"/>
                      <w:b w:val="0"/>
                      <w:bCs w:val="0"/>
                      <w:sz w:val="21"/>
                      <w:szCs w:val="21"/>
                      <w:lang w:val="en-US"/>
                    </w:rPr>
                  </w:pPr>
                  <w:r>
                    <w:rPr>
                      <w:rFonts w:ascii="Times New Roman" w:hAnsi="Times New Roman" w:cs="Times New Roman"/>
                      <w:b w:val="0"/>
                      <w:bCs w:val="0"/>
                      <w:sz w:val="21"/>
                      <w:szCs w:val="21"/>
                      <w:lang w:val="en-US"/>
                    </w:rPr>
                    <w:t>TBLY.39</w:t>
                  </w:r>
                </w:p>
              </w:tc>
              <w:tc>
                <w:tcPr>
                  <w:tcW w:w="1533" w:type="dxa"/>
                  <w:tcBorders>
                    <w:top w:val="single" w:color="auto" w:sz="4" w:space="0"/>
                    <w:left w:val="single" w:color="auto" w:sz="4" w:space="0"/>
                    <w:bottom w:val="single" w:color="auto" w:sz="4" w:space="0"/>
                    <w:right w:val="single" w:color="auto" w:sz="4" w:space="0"/>
                  </w:tcBorders>
                  <w:vAlign w:val="center"/>
                </w:tcPr>
                <w:p>
                  <w:pPr>
                    <w:pStyle w:val="8"/>
                    <w:ind w:left="0"/>
                    <w:jc w:val="center"/>
                    <w:rPr>
                      <w:rFonts w:ascii="Times New Roman" w:hAnsi="Times New Roman" w:cs="Times New Roman"/>
                      <w:b w:val="0"/>
                      <w:bCs w:val="0"/>
                      <w:sz w:val="21"/>
                      <w:szCs w:val="21"/>
                      <w:lang w:val="en-US"/>
                    </w:rPr>
                  </w:pPr>
                  <w:r>
                    <w:rPr>
                      <w:rFonts w:hint="eastAsia" w:ascii="Times New Roman" w:hAnsi="Times New Roman" w:cs="Times New Roman"/>
                      <w:b w:val="0"/>
                      <w:bCs w:val="0"/>
                      <w:sz w:val="21"/>
                      <w:szCs w:val="21"/>
                      <w:lang w:val="en-US"/>
                    </w:rPr>
                    <w:t>1</w:t>
                  </w:r>
                </w:p>
              </w:tc>
              <w:tc>
                <w:tcPr>
                  <w:tcW w:w="1395" w:type="dxa"/>
                  <w:tcBorders>
                    <w:top w:val="single" w:color="auto" w:sz="4" w:space="0"/>
                    <w:left w:val="single" w:color="auto" w:sz="4" w:space="0"/>
                    <w:bottom w:val="single" w:color="auto" w:sz="4" w:space="0"/>
                    <w:right w:val="single" w:color="auto" w:sz="4" w:space="0"/>
                  </w:tcBorders>
                  <w:vAlign w:val="center"/>
                </w:tcPr>
                <w:p>
                  <w:pPr>
                    <w:pStyle w:val="8"/>
                    <w:ind w:left="0"/>
                    <w:jc w:val="center"/>
                    <w:rPr>
                      <w:b w:val="0"/>
                      <w:bCs w:val="0"/>
                      <w:sz w:val="21"/>
                      <w:szCs w:val="21"/>
                      <w:lang w:val="en-US"/>
                    </w:rPr>
                  </w:pPr>
                  <w:r>
                    <w:rPr>
                      <w:rFonts w:hint="eastAsia"/>
                      <w:b w:val="0"/>
                      <w:bCs w:val="0"/>
                      <w:sz w:val="21"/>
                      <w:szCs w:val="21"/>
                      <w:lang w:val="en-US"/>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03" w:type="dxa"/>
                  <w:tcBorders>
                    <w:top w:val="single" w:color="auto" w:sz="4" w:space="0"/>
                    <w:left w:val="single" w:color="auto" w:sz="4" w:space="0"/>
                    <w:bottom w:val="single" w:color="auto" w:sz="4" w:space="0"/>
                    <w:right w:val="single" w:color="auto" w:sz="4" w:space="0"/>
                  </w:tcBorders>
                  <w:vAlign w:val="center"/>
                </w:tcPr>
                <w:p>
                  <w:pPr>
                    <w:pStyle w:val="8"/>
                    <w:ind w:left="0"/>
                    <w:jc w:val="center"/>
                    <w:rPr>
                      <w:rFonts w:ascii="Times New Roman" w:hAnsi="Times New Roman" w:cs="Times New Roman"/>
                      <w:b w:val="0"/>
                      <w:bCs w:val="0"/>
                      <w:sz w:val="21"/>
                      <w:szCs w:val="21"/>
                      <w:lang w:val="en-US"/>
                    </w:rPr>
                  </w:pPr>
                  <w:r>
                    <w:rPr>
                      <w:rFonts w:hint="eastAsia" w:ascii="Times New Roman" w:hAnsi="Times New Roman" w:cs="Times New Roman"/>
                      <w:b w:val="0"/>
                      <w:bCs w:val="0"/>
                      <w:sz w:val="21"/>
                      <w:szCs w:val="21"/>
                      <w:lang w:val="en-US"/>
                    </w:rPr>
                    <w:t>9</w:t>
                  </w:r>
                </w:p>
              </w:tc>
              <w:tc>
                <w:tcPr>
                  <w:tcW w:w="1590" w:type="dxa"/>
                  <w:tcBorders>
                    <w:top w:val="single" w:color="auto" w:sz="4" w:space="0"/>
                    <w:left w:val="single" w:color="auto" w:sz="4" w:space="0"/>
                    <w:bottom w:val="single" w:color="auto" w:sz="4" w:space="0"/>
                    <w:right w:val="single" w:color="auto" w:sz="4" w:space="0"/>
                  </w:tcBorders>
                  <w:vAlign w:val="center"/>
                </w:tcPr>
                <w:p>
                  <w:pPr>
                    <w:pStyle w:val="8"/>
                    <w:ind w:left="0"/>
                    <w:jc w:val="center"/>
                    <w:rPr>
                      <w:rFonts w:cs="Times New Roman"/>
                      <w:b w:val="0"/>
                      <w:bCs w:val="0"/>
                      <w:sz w:val="21"/>
                      <w:szCs w:val="21"/>
                    </w:rPr>
                  </w:pPr>
                  <w:r>
                    <w:rPr>
                      <w:rFonts w:hint="eastAsia" w:cs="Times New Roman"/>
                      <w:b w:val="0"/>
                      <w:bCs w:val="0"/>
                      <w:sz w:val="21"/>
                      <w:szCs w:val="21"/>
                    </w:rPr>
                    <w:t>脉冲除尘器</w:t>
                  </w:r>
                </w:p>
              </w:tc>
              <w:tc>
                <w:tcPr>
                  <w:tcW w:w="2537" w:type="dxa"/>
                  <w:tcBorders>
                    <w:top w:val="single" w:color="auto" w:sz="4" w:space="0"/>
                    <w:left w:val="single" w:color="auto" w:sz="4" w:space="0"/>
                    <w:bottom w:val="single" w:color="auto" w:sz="4" w:space="0"/>
                    <w:right w:val="single" w:color="auto" w:sz="4" w:space="0"/>
                  </w:tcBorders>
                  <w:vAlign w:val="center"/>
                </w:tcPr>
                <w:p>
                  <w:pPr>
                    <w:pStyle w:val="8"/>
                    <w:ind w:left="0"/>
                    <w:jc w:val="center"/>
                    <w:rPr>
                      <w:rFonts w:ascii="Times New Roman" w:hAnsi="Times New Roman" w:cs="Times New Roman"/>
                      <w:b w:val="0"/>
                      <w:bCs w:val="0"/>
                      <w:sz w:val="21"/>
                      <w:szCs w:val="21"/>
                      <w:lang w:val="en-US"/>
                    </w:rPr>
                  </w:pPr>
                  <w:r>
                    <w:rPr>
                      <w:rFonts w:ascii="Times New Roman" w:hAnsi="Times New Roman" w:cs="Times New Roman"/>
                      <w:b w:val="0"/>
                      <w:bCs w:val="0"/>
                      <w:sz w:val="21"/>
                      <w:szCs w:val="21"/>
                      <w:lang w:val="en-US"/>
                    </w:rPr>
                    <w:t>TBLY.30</w:t>
                  </w:r>
                </w:p>
              </w:tc>
              <w:tc>
                <w:tcPr>
                  <w:tcW w:w="1533" w:type="dxa"/>
                  <w:tcBorders>
                    <w:top w:val="single" w:color="auto" w:sz="4" w:space="0"/>
                    <w:left w:val="single" w:color="auto" w:sz="4" w:space="0"/>
                    <w:bottom w:val="single" w:color="auto" w:sz="4" w:space="0"/>
                    <w:right w:val="single" w:color="auto" w:sz="4" w:space="0"/>
                  </w:tcBorders>
                  <w:vAlign w:val="center"/>
                </w:tcPr>
                <w:p>
                  <w:pPr>
                    <w:pStyle w:val="8"/>
                    <w:ind w:left="0"/>
                    <w:jc w:val="center"/>
                    <w:rPr>
                      <w:rFonts w:ascii="Times New Roman" w:hAnsi="Times New Roman" w:cs="Times New Roman"/>
                      <w:b w:val="0"/>
                      <w:bCs w:val="0"/>
                      <w:sz w:val="21"/>
                      <w:szCs w:val="21"/>
                      <w:lang w:val="en-US"/>
                    </w:rPr>
                  </w:pPr>
                  <w:r>
                    <w:rPr>
                      <w:rFonts w:hint="eastAsia" w:ascii="Times New Roman" w:hAnsi="Times New Roman" w:cs="Times New Roman"/>
                      <w:b w:val="0"/>
                      <w:bCs w:val="0"/>
                      <w:sz w:val="21"/>
                      <w:szCs w:val="21"/>
                      <w:lang w:val="en-US"/>
                    </w:rPr>
                    <w:t>1</w:t>
                  </w:r>
                </w:p>
              </w:tc>
              <w:tc>
                <w:tcPr>
                  <w:tcW w:w="1395" w:type="dxa"/>
                  <w:tcBorders>
                    <w:top w:val="single" w:color="auto" w:sz="4" w:space="0"/>
                    <w:left w:val="single" w:color="auto" w:sz="4" w:space="0"/>
                    <w:bottom w:val="single" w:color="auto" w:sz="4" w:space="0"/>
                    <w:right w:val="single" w:color="auto" w:sz="4" w:space="0"/>
                  </w:tcBorders>
                  <w:vAlign w:val="center"/>
                </w:tcPr>
                <w:p>
                  <w:pPr>
                    <w:pStyle w:val="8"/>
                    <w:ind w:left="0"/>
                    <w:jc w:val="center"/>
                    <w:rPr>
                      <w:b w:val="0"/>
                      <w:bCs w:val="0"/>
                      <w:sz w:val="21"/>
                      <w:szCs w:val="21"/>
                      <w:lang w:val="en-US"/>
                    </w:rPr>
                  </w:pPr>
                  <w:r>
                    <w:rPr>
                      <w:rFonts w:hint="eastAsia"/>
                      <w:b w:val="0"/>
                      <w:bCs w:val="0"/>
                      <w:sz w:val="21"/>
                      <w:szCs w:val="21"/>
                      <w:lang w:val="en-US"/>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03" w:type="dxa"/>
                  <w:tcBorders>
                    <w:top w:val="single" w:color="auto" w:sz="4" w:space="0"/>
                    <w:left w:val="single" w:color="auto" w:sz="4" w:space="0"/>
                    <w:bottom w:val="single" w:color="auto" w:sz="4" w:space="0"/>
                    <w:right w:val="single" w:color="auto" w:sz="4" w:space="0"/>
                  </w:tcBorders>
                  <w:vAlign w:val="center"/>
                </w:tcPr>
                <w:p>
                  <w:pPr>
                    <w:pStyle w:val="8"/>
                    <w:ind w:left="0"/>
                    <w:jc w:val="center"/>
                    <w:rPr>
                      <w:rFonts w:ascii="Times New Roman" w:hAnsi="Times New Roman" w:cs="Times New Roman"/>
                      <w:b w:val="0"/>
                      <w:bCs w:val="0"/>
                      <w:sz w:val="21"/>
                      <w:szCs w:val="21"/>
                      <w:lang w:val="en-US"/>
                    </w:rPr>
                  </w:pPr>
                  <w:r>
                    <w:rPr>
                      <w:rFonts w:hint="eastAsia" w:ascii="Times New Roman" w:hAnsi="Times New Roman" w:cs="Times New Roman"/>
                      <w:b w:val="0"/>
                      <w:bCs w:val="0"/>
                      <w:sz w:val="21"/>
                      <w:szCs w:val="21"/>
                      <w:lang w:val="en-US"/>
                    </w:rPr>
                    <w:t>10</w:t>
                  </w:r>
                </w:p>
              </w:tc>
              <w:tc>
                <w:tcPr>
                  <w:tcW w:w="1590" w:type="dxa"/>
                  <w:tcBorders>
                    <w:top w:val="single" w:color="auto" w:sz="4" w:space="0"/>
                    <w:left w:val="single" w:color="auto" w:sz="4" w:space="0"/>
                    <w:bottom w:val="single" w:color="auto" w:sz="4" w:space="0"/>
                    <w:right w:val="single" w:color="auto" w:sz="4" w:space="0"/>
                  </w:tcBorders>
                  <w:vAlign w:val="center"/>
                </w:tcPr>
                <w:p>
                  <w:pPr>
                    <w:pStyle w:val="8"/>
                    <w:ind w:left="0"/>
                    <w:jc w:val="center"/>
                    <w:rPr>
                      <w:rFonts w:cs="Times New Roman"/>
                      <w:b w:val="0"/>
                      <w:bCs w:val="0"/>
                      <w:sz w:val="21"/>
                      <w:szCs w:val="21"/>
                    </w:rPr>
                  </w:pPr>
                  <w:r>
                    <w:rPr>
                      <w:rFonts w:hint="eastAsia" w:cs="Times New Roman"/>
                      <w:b w:val="0"/>
                      <w:bCs w:val="0"/>
                      <w:sz w:val="21"/>
                      <w:szCs w:val="21"/>
                    </w:rPr>
                    <w:t>脉冲除尘器</w:t>
                  </w:r>
                </w:p>
              </w:tc>
              <w:tc>
                <w:tcPr>
                  <w:tcW w:w="2537" w:type="dxa"/>
                  <w:tcBorders>
                    <w:top w:val="single" w:color="auto" w:sz="4" w:space="0"/>
                    <w:left w:val="single" w:color="auto" w:sz="4" w:space="0"/>
                    <w:bottom w:val="single" w:color="auto" w:sz="4" w:space="0"/>
                    <w:right w:val="single" w:color="auto" w:sz="4" w:space="0"/>
                  </w:tcBorders>
                  <w:vAlign w:val="center"/>
                </w:tcPr>
                <w:p>
                  <w:pPr>
                    <w:pStyle w:val="8"/>
                    <w:ind w:left="0"/>
                    <w:jc w:val="center"/>
                    <w:rPr>
                      <w:rFonts w:ascii="Times New Roman" w:hAnsi="Times New Roman" w:cs="Times New Roman"/>
                      <w:b w:val="0"/>
                      <w:bCs w:val="0"/>
                      <w:sz w:val="21"/>
                      <w:szCs w:val="21"/>
                      <w:lang w:val="en-US"/>
                    </w:rPr>
                  </w:pPr>
                  <w:r>
                    <w:rPr>
                      <w:rFonts w:ascii="Times New Roman" w:hAnsi="Times New Roman" w:cs="Times New Roman"/>
                      <w:b w:val="0"/>
                      <w:bCs w:val="0"/>
                      <w:sz w:val="21"/>
                      <w:szCs w:val="21"/>
                      <w:lang w:val="en-US"/>
                    </w:rPr>
                    <w:t>TBLY.18</w:t>
                  </w:r>
                </w:p>
              </w:tc>
              <w:tc>
                <w:tcPr>
                  <w:tcW w:w="1533" w:type="dxa"/>
                  <w:tcBorders>
                    <w:top w:val="single" w:color="auto" w:sz="4" w:space="0"/>
                    <w:left w:val="single" w:color="auto" w:sz="4" w:space="0"/>
                    <w:bottom w:val="single" w:color="auto" w:sz="4" w:space="0"/>
                    <w:right w:val="single" w:color="auto" w:sz="4" w:space="0"/>
                  </w:tcBorders>
                  <w:vAlign w:val="center"/>
                </w:tcPr>
                <w:p>
                  <w:pPr>
                    <w:pStyle w:val="8"/>
                    <w:ind w:left="0"/>
                    <w:jc w:val="center"/>
                    <w:rPr>
                      <w:rFonts w:ascii="Times New Roman" w:hAnsi="Times New Roman" w:cs="Times New Roman"/>
                      <w:b w:val="0"/>
                      <w:bCs w:val="0"/>
                      <w:sz w:val="21"/>
                      <w:szCs w:val="21"/>
                      <w:lang w:val="en-US"/>
                    </w:rPr>
                  </w:pPr>
                  <w:r>
                    <w:rPr>
                      <w:rFonts w:hint="eastAsia" w:ascii="Times New Roman" w:hAnsi="Times New Roman" w:cs="Times New Roman"/>
                      <w:b w:val="0"/>
                      <w:bCs w:val="0"/>
                      <w:sz w:val="21"/>
                      <w:szCs w:val="21"/>
                      <w:lang w:val="en-US"/>
                    </w:rPr>
                    <w:t>2</w:t>
                  </w:r>
                </w:p>
              </w:tc>
              <w:tc>
                <w:tcPr>
                  <w:tcW w:w="1395" w:type="dxa"/>
                  <w:tcBorders>
                    <w:top w:val="single" w:color="auto" w:sz="4" w:space="0"/>
                    <w:left w:val="single" w:color="auto" w:sz="4" w:space="0"/>
                    <w:bottom w:val="single" w:color="auto" w:sz="4" w:space="0"/>
                    <w:right w:val="single" w:color="auto" w:sz="4" w:space="0"/>
                  </w:tcBorders>
                  <w:vAlign w:val="center"/>
                </w:tcPr>
                <w:p>
                  <w:pPr>
                    <w:pStyle w:val="8"/>
                    <w:ind w:left="0"/>
                    <w:jc w:val="center"/>
                    <w:rPr>
                      <w:b w:val="0"/>
                      <w:bCs w:val="0"/>
                      <w:sz w:val="21"/>
                      <w:szCs w:val="21"/>
                      <w:lang w:val="en-US"/>
                    </w:rPr>
                  </w:pPr>
                  <w:r>
                    <w:rPr>
                      <w:rFonts w:hint="eastAsia"/>
                      <w:b w:val="0"/>
                      <w:bCs w:val="0"/>
                      <w:sz w:val="21"/>
                      <w:szCs w:val="21"/>
                      <w:lang w:val="en-US"/>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03" w:type="dxa"/>
                  <w:tcBorders>
                    <w:top w:val="single" w:color="auto" w:sz="4" w:space="0"/>
                    <w:left w:val="single" w:color="auto" w:sz="4" w:space="0"/>
                    <w:bottom w:val="single" w:color="auto" w:sz="4" w:space="0"/>
                    <w:right w:val="single" w:color="auto" w:sz="4" w:space="0"/>
                  </w:tcBorders>
                  <w:vAlign w:val="center"/>
                </w:tcPr>
                <w:p>
                  <w:pPr>
                    <w:pStyle w:val="8"/>
                    <w:ind w:left="0"/>
                    <w:jc w:val="center"/>
                    <w:rPr>
                      <w:rFonts w:ascii="Times New Roman" w:hAnsi="Times New Roman" w:cs="Times New Roman"/>
                      <w:b w:val="0"/>
                      <w:bCs w:val="0"/>
                      <w:sz w:val="21"/>
                      <w:szCs w:val="21"/>
                      <w:lang w:val="en-US"/>
                    </w:rPr>
                  </w:pPr>
                  <w:r>
                    <w:rPr>
                      <w:rFonts w:hint="eastAsia" w:ascii="Times New Roman" w:hAnsi="Times New Roman" w:cs="Times New Roman"/>
                      <w:b w:val="0"/>
                      <w:bCs w:val="0"/>
                      <w:sz w:val="21"/>
                      <w:szCs w:val="21"/>
                      <w:lang w:val="en-US"/>
                    </w:rPr>
                    <w:t>11</w:t>
                  </w:r>
                </w:p>
              </w:tc>
              <w:tc>
                <w:tcPr>
                  <w:tcW w:w="1590" w:type="dxa"/>
                  <w:tcBorders>
                    <w:top w:val="single" w:color="auto" w:sz="4" w:space="0"/>
                    <w:left w:val="single" w:color="auto" w:sz="4" w:space="0"/>
                    <w:bottom w:val="single" w:color="auto" w:sz="4" w:space="0"/>
                    <w:right w:val="single" w:color="auto" w:sz="4" w:space="0"/>
                  </w:tcBorders>
                  <w:vAlign w:val="center"/>
                </w:tcPr>
                <w:p>
                  <w:pPr>
                    <w:pStyle w:val="8"/>
                    <w:ind w:left="0"/>
                    <w:jc w:val="center"/>
                    <w:rPr>
                      <w:rFonts w:cs="Times New Roman"/>
                      <w:b w:val="0"/>
                      <w:bCs w:val="0"/>
                      <w:sz w:val="21"/>
                      <w:szCs w:val="21"/>
                    </w:rPr>
                  </w:pPr>
                  <w:r>
                    <w:rPr>
                      <w:rFonts w:hint="eastAsia" w:cs="Times New Roman"/>
                      <w:b w:val="0"/>
                      <w:bCs w:val="0"/>
                      <w:sz w:val="21"/>
                      <w:szCs w:val="21"/>
                    </w:rPr>
                    <w:t>脉冲除尘器</w:t>
                  </w:r>
                </w:p>
              </w:tc>
              <w:tc>
                <w:tcPr>
                  <w:tcW w:w="2537" w:type="dxa"/>
                  <w:tcBorders>
                    <w:top w:val="single" w:color="auto" w:sz="4" w:space="0"/>
                    <w:left w:val="single" w:color="auto" w:sz="4" w:space="0"/>
                    <w:bottom w:val="single" w:color="auto" w:sz="4" w:space="0"/>
                    <w:right w:val="single" w:color="auto" w:sz="4" w:space="0"/>
                  </w:tcBorders>
                  <w:vAlign w:val="center"/>
                </w:tcPr>
                <w:p>
                  <w:pPr>
                    <w:pStyle w:val="8"/>
                    <w:ind w:left="0"/>
                    <w:jc w:val="center"/>
                    <w:rPr>
                      <w:rFonts w:ascii="Times New Roman" w:hAnsi="Times New Roman" w:cs="Times New Roman"/>
                      <w:b w:val="0"/>
                      <w:bCs w:val="0"/>
                      <w:sz w:val="21"/>
                      <w:szCs w:val="21"/>
                      <w:lang w:val="en-US"/>
                    </w:rPr>
                  </w:pPr>
                  <w:r>
                    <w:rPr>
                      <w:rFonts w:ascii="Times New Roman" w:hAnsi="Times New Roman" w:cs="Times New Roman"/>
                      <w:b w:val="0"/>
                      <w:bCs w:val="0"/>
                      <w:sz w:val="21"/>
                      <w:szCs w:val="21"/>
                      <w:lang w:val="en-US"/>
                    </w:rPr>
                    <w:t>TBLY.12</w:t>
                  </w:r>
                </w:p>
              </w:tc>
              <w:tc>
                <w:tcPr>
                  <w:tcW w:w="1533" w:type="dxa"/>
                  <w:tcBorders>
                    <w:top w:val="single" w:color="auto" w:sz="4" w:space="0"/>
                    <w:left w:val="single" w:color="auto" w:sz="4" w:space="0"/>
                    <w:bottom w:val="single" w:color="auto" w:sz="4" w:space="0"/>
                    <w:right w:val="single" w:color="auto" w:sz="4" w:space="0"/>
                  </w:tcBorders>
                  <w:vAlign w:val="center"/>
                </w:tcPr>
                <w:p>
                  <w:pPr>
                    <w:pStyle w:val="8"/>
                    <w:ind w:left="0"/>
                    <w:jc w:val="center"/>
                    <w:rPr>
                      <w:rFonts w:ascii="Times New Roman" w:hAnsi="Times New Roman" w:cs="Times New Roman"/>
                      <w:b w:val="0"/>
                      <w:bCs w:val="0"/>
                      <w:sz w:val="21"/>
                      <w:szCs w:val="21"/>
                      <w:lang w:val="en-US"/>
                    </w:rPr>
                  </w:pPr>
                  <w:r>
                    <w:rPr>
                      <w:rFonts w:hint="eastAsia" w:ascii="Times New Roman" w:hAnsi="Times New Roman" w:cs="Times New Roman"/>
                      <w:b w:val="0"/>
                      <w:bCs w:val="0"/>
                      <w:sz w:val="21"/>
                      <w:szCs w:val="21"/>
                      <w:lang w:val="en-US"/>
                    </w:rPr>
                    <w:t>2</w:t>
                  </w:r>
                </w:p>
              </w:tc>
              <w:tc>
                <w:tcPr>
                  <w:tcW w:w="1395" w:type="dxa"/>
                  <w:tcBorders>
                    <w:top w:val="single" w:color="auto" w:sz="4" w:space="0"/>
                    <w:left w:val="single" w:color="auto" w:sz="4" w:space="0"/>
                    <w:bottom w:val="single" w:color="auto" w:sz="4" w:space="0"/>
                    <w:right w:val="single" w:color="auto" w:sz="4" w:space="0"/>
                  </w:tcBorders>
                  <w:vAlign w:val="center"/>
                </w:tcPr>
                <w:p>
                  <w:pPr>
                    <w:pStyle w:val="8"/>
                    <w:ind w:left="0"/>
                    <w:jc w:val="center"/>
                    <w:rPr>
                      <w:b w:val="0"/>
                      <w:bCs w:val="0"/>
                      <w:sz w:val="21"/>
                      <w:szCs w:val="21"/>
                      <w:lang w:val="en-US"/>
                    </w:rPr>
                  </w:pPr>
                  <w:r>
                    <w:rPr>
                      <w:rFonts w:hint="eastAsia"/>
                      <w:b w:val="0"/>
                      <w:bCs w:val="0"/>
                      <w:sz w:val="21"/>
                      <w:szCs w:val="21"/>
                      <w:lang w:val="en-US"/>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03" w:type="dxa"/>
                  <w:tcBorders>
                    <w:top w:val="single" w:color="auto" w:sz="4" w:space="0"/>
                    <w:left w:val="single" w:color="auto" w:sz="4" w:space="0"/>
                    <w:bottom w:val="single" w:color="auto" w:sz="4" w:space="0"/>
                    <w:right w:val="single" w:color="auto" w:sz="4" w:space="0"/>
                  </w:tcBorders>
                  <w:vAlign w:val="center"/>
                </w:tcPr>
                <w:p>
                  <w:pPr>
                    <w:pStyle w:val="8"/>
                    <w:ind w:left="0"/>
                    <w:jc w:val="center"/>
                    <w:rPr>
                      <w:rFonts w:ascii="Times New Roman" w:hAnsi="Times New Roman" w:cs="Times New Roman"/>
                      <w:b w:val="0"/>
                      <w:bCs w:val="0"/>
                      <w:sz w:val="21"/>
                      <w:szCs w:val="21"/>
                      <w:lang w:val="en-US"/>
                    </w:rPr>
                  </w:pPr>
                  <w:r>
                    <w:rPr>
                      <w:rFonts w:hint="eastAsia" w:ascii="Times New Roman" w:hAnsi="Times New Roman" w:cs="Times New Roman"/>
                      <w:b w:val="0"/>
                      <w:bCs w:val="0"/>
                      <w:sz w:val="21"/>
                      <w:szCs w:val="21"/>
                      <w:lang w:val="en-US"/>
                    </w:rPr>
                    <w:t>12</w:t>
                  </w:r>
                </w:p>
              </w:tc>
              <w:tc>
                <w:tcPr>
                  <w:tcW w:w="1590" w:type="dxa"/>
                  <w:tcBorders>
                    <w:top w:val="single" w:color="auto" w:sz="4" w:space="0"/>
                    <w:left w:val="single" w:color="auto" w:sz="4" w:space="0"/>
                    <w:bottom w:val="single" w:color="auto" w:sz="4" w:space="0"/>
                    <w:right w:val="single" w:color="auto" w:sz="4" w:space="0"/>
                  </w:tcBorders>
                  <w:vAlign w:val="center"/>
                </w:tcPr>
                <w:p>
                  <w:pPr>
                    <w:pStyle w:val="8"/>
                    <w:ind w:left="0"/>
                    <w:jc w:val="center"/>
                    <w:rPr>
                      <w:rFonts w:cs="Times New Roman"/>
                      <w:b w:val="0"/>
                      <w:bCs w:val="0"/>
                      <w:sz w:val="21"/>
                      <w:szCs w:val="21"/>
                    </w:rPr>
                  </w:pPr>
                  <w:r>
                    <w:rPr>
                      <w:rFonts w:hint="eastAsia" w:cs="Times New Roman"/>
                      <w:b w:val="0"/>
                      <w:bCs w:val="0"/>
                      <w:sz w:val="21"/>
                      <w:szCs w:val="21"/>
                    </w:rPr>
                    <w:t>刮板机</w:t>
                  </w:r>
                </w:p>
              </w:tc>
              <w:tc>
                <w:tcPr>
                  <w:tcW w:w="2537" w:type="dxa"/>
                  <w:tcBorders>
                    <w:top w:val="single" w:color="auto" w:sz="4" w:space="0"/>
                    <w:left w:val="single" w:color="auto" w:sz="4" w:space="0"/>
                    <w:bottom w:val="single" w:color="auto" w:sz="4" w:space="0"/>
                    <w:right w:val="single" w:color="auto" w:sz="4" w:space="0"/>
                  </w:tcBorders>
                  <w:vAlign w:val="center"/>
                </w:tcPr>
                <w:p>
                  <w:pPr>
                    <w:pStyle w:val="8"/>
                    <w:ind w:left="0"/>
                    <w:jc w:val="center"/>
                    <w:rPr>
                      <w:rFonts w:ascii="Times New Roman" w:hAnsi="Times New Roman" w:cs="Times New Roman"/>
                      <w:b w:val="0"/>
                      <w:bCs w:val="0"/>
                      <w:sz w:val="21"/>
                      <w:szCs w:val="21"/>
                      <w:lang w:val="en-US"/>
                    </w:rPr>
                  </w:pPr>
                  <w:r>
                    <w:rPr>
                      <w:rFonts w:ascii="Times New Roman" w:hAnsi="Times New Roman" w:cs="Times New Roman"/>
                      <w:b w:val="0"/>
                      <w:bCs w:val="0"/>
                      <w:sz w:val="21"/>
                      <w:szCs w:val="21"/>
                      <w:lang w:val="en-US"/>
                    </w:rPr>
                    <w:t>TGSS25</w:t>
                  </w:r>
                </w:p>
              </w:tc>
              <w:tc>
                <w:tcPr>
                  <w:tcW w:w="1533" w:type="dxa"/>
                  <w:tcBorders>
                    <w:top w:val="single" w:color="auto" w:sz="4" w:space="0"/>
                    <w:left w:val="single" w:color="auto" w:sz="4" w:space="0"/>
                    <w:bottom w:val="single" w:color="auto" w:sz="4" w:space="0"/>
                    <w:right w:val="single" w:color="auto" w:sz="4" w:space="0"/>
                  </w:tcBorders>
                  <w:vAlign w:val="center"/>
                </w:tcPr>
                <w:p>
                  <w:pPr>
                    <w:pStyle w:val="8"/>
                    <w:ind w:left="0"/>
                    <w:jc w:val="center"/>
                    <w:rPr>
                      <w:rFonts w:ascii="Times New Roman" w:hAnsi="Times New Roman" w:cs="Times New Roman"/>
                      <w:b w:val="0"/>
                      <w:bCs w:val="0"/>
                      <w:sz w:val="21"/>
                      <w:szCs w:val="21"/>
                      <w:lang w:val="en-US"/>
                    </w:rPr>
                  </w:pPr>
                  <w:r>
                    <w:rPr>
                      <w:rFonts w:hint="eastAsia" w:ascii="Times New Roman" w:hAnsi="Times New Roman" w:cs="Times New Roman"/>
                      <w:b w:val="0"/>
                      <w:bCs w:val="0"/>
                      <w:sz w:val="21"/>
                      <w:szCs w:val="21"/>
                      <w:lang w:val="en-US"/>
                    </w:rPr>
                    <w:t>3</w:t>
                  </w:r>
                </w:p>
              </w:tc>
              <w:tc>
                <w:tcPr>
                  <w:tcW w:w="1395" w:type="dxa"/>
                  <w:tcBorders>
                    <w:top w:val="single" w:color="auto" w:sz="4" w:space="0"/>
                    <w:left w:val="single" w:color="auto" w:sz="4" w:space="0"/>
                    <w:bottom w:val="single" w:color="auto" w:sz="4" w:space="0"/>
                    <w:right w:val="single" w:color="auto" w:sz="4" w:space="0"/>
                  </w:tcBorders>
                  <w:vAlign w:val="center"/>
                </w:tcPr>
                <w:p>
                  <w:pPr>
                    <w:pStyle w:val="8"/>
                    <w:ind w:left="0"/>
                    <w:jc w:val="center"/>
                    <w:rPr>
                      <w:b w:val="0"/>
                      <w:bCs w:val="0"/>
                      <w:sz w:val="21"/>
                      <w:szCs w:val="21"/>
                      <w:lang w:val="en-US"/>
                    </w:rPr>
                  </w:pPr>
                  <w:r>
                    <w:rPr>
                      <w:rFonts w:hint="eastAsia"/>
                      <w:b w:val="0"/>
                      <w:bCs w:val="0"/>
                      <w:sz w:val="21"/>
                      <w:szCs w:val="21"/>
                      <w:lang w:val="en-US"/>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03" w:type="dxa"/>
                  <w:tcBorders>
                    <w:top w:val="single" w:color="auto" w:sz="4" w:space="0"/>
                    <w:left w:val="single" w:color="auto" w:sz="4" w:space="0"/>
                    <w:bottom w:val="single" w:color="auto" w:sz="4" w:space="0"/>
                    <w:right w:val="single" w:color="auto" w:sz="4" w:space="0"/>
                  </w:tcBorders>
                  <w:vAlign w:val="center"/>
                </w:tcPr>
                <w:p>
                  <w:pPr>
                    <w:pStyle w:val="8"/>
                    <w:ind w:left="0"/>
                    <w:jc w:val="center"/>
                    <w:rPr>
                      <w:rFonts w:ascii="Times New Roman" w:hAnsi="Times New Roman" w:cs="Times New Roman"/>
                      <w:b w:val="0"/>
                      <w:bCs w:val="0"/>
                      <w:sz w:val="21"/>
                      <w:szCs w:val="21"/>
                      <w:lang w:val="en-US"/>
                    </w:rPr>
                  </w:pPr>
                  <w:r>
                    <w:rPr>
                      <w:rFonts w:hint="eastAsia" w:ascii="Times New Roman" w:hAnsi="Times New Roman" w:cs="Times New Roman"/>
                      <w:b w:val="0"/>
                      <w:bCs w:val="0"/>
                      <w:sz w:val="21"/>
                      <w:szCs w:val="21"/>
                      <w:lang w:val="en-US"/>
                    </w:rPr>
                    <w:t>13</w:t>
                  </w:r>
                </w:p>
              </w:tc>
              <w:tc>
                <w:tcPr>
                  <w:tcW w:w="1590" w:type="dxa"/>
                  <w:tcBorders>
                    <w:top w:val="single" w:color="auto" w:sz="4" w:space="0"/>
                    <w:left w:val="single" w:color="auto" w:sz="4" w:space="0"/>
                    <w:bottom w:val="single" w:color="auto" w:sz="4" w:space="0"/>
                    <w:right w:val="single" w:color="auto" w:sz="4" w:space="0"/>
                  </w:tcBorders>
                  <w:vAlign w:val="center"/>
                </w:tcPr>
                <w:p>
                  <w:pPr>
                    <w:pStyle w:val="8"/>
                    <w:ind w:left="0"/>
                    <w:jc w:val="center"/>
                    <w:rPr>
                      <w:rFonts w:cs="Times New Roman"/>
                      <w:b w:val="0"/>
                      <w:bCs w:val="0"/>
                      <w:sz w:val="21"/>
                      <w:szCs w:val="21"/>
                    </w:rPr>
                  </w:pPr>
                  <w:r>
                    <w:rPr>
                      <w:rFonts w:hint="eastAsia" w:cs="Times New Roman"/>
                      <w:b w:val="0"/>
                      <w:bCs w:val="0"/>
                      <w:sz w:val="21"/>
                      <w:szCs w:val="21"/>
                    </w:rPr>
                    <w:t>刮板机</w:t>
                  </w:r>
                </w:p>
              </w:tc>
              <w:tc>
                <w:tcPr>
                  <w:tcW w:w="2537" w:type="dxa"/>
                  <w:tcBorders>
                    <w:top w:val="single" w:color="auto" w:sz="4" w:space="0"/>
                    <w:left w:val="single" w:color="auto" w:sz="4" w:space="0"/>
                    <w:bottom w:val="single" w:color="auto" w:sz="4" w:space="0"/>
                    <w:right w:val="single" w:color="auto" w:sz="4" w:space="0"/>
                  </w:tcBorders>
                  <w:vAlign w:val="center"/>
                </w:tcPr>
                <w:p>
                  <w:pPr>
                    <w:pStyle w:val="8"/>
                    <w:ind w:left="0"/>
                    <w:jc w:val="center"/>
                    <w:rPr>
                      <w:rFonts w:ascii="Times New Roman" w:hAnsi="Times New Roman" w:cs="Times New Roman"/>
                      <w:b w:val="0"/>
                      <w:bCs w:val="0"/>
                      <w:sz w:val="21"/>
                      <w:szCs w:val="21"/>
                      <w:lang w:val="en-US"/>
                    </w:rPr>
                  </w:pPr>
                  <w:r>
                    <w:rPr>
                      <w:rFonts w:ascii="Times New Roman" w:hAnsi="Times New Roman" w:cs="Times New Roman"/>
                      <w:b w:val="0"/>
                      <w:bCs w:val="0"/>
                      <w:sz w:val="21"/>
                      <w:szCs w:val="21"/>
                      <w:lang w:val="en-US"/>
                    </w:rPr>
                    <w:t>TGSU25</w:t>
                  </w:r>
                </w:p>
              </w:tc>
              <w:tc>
                <w:tcPr>
                  <w:tcW w:w="1533" w:type="dxa"/>
                  <w:tcBorders>
                    <w:top w:val="single" w:color="auto" w:sz="4" w:space="0"/>
                    <w:left w:val="single" w:color="auto" w:sz="4" w:space="0"/>
                    <w:bottom w:val="single" w:color="auto" w:sz="4" w:space="0"/>
                    <w:right w:val="single" w:color="auto" w:sz="4" w:space="0"/>
                  </w:tcBorders>
                  <w:vAlign w:val="center"/>
                </w:tcPr>
                <w:p>
                  <w:pPr>
                    <w:pStyle w:val="8"/>
                    <w:ind w:left="0"/>
                    <w:jc w:val="center"/>
                    <w:rPr>
                      <w:rFonts w:ascii="Times New Roman" w:hAnsi="Times New Roman" w:cs="Times New Roman"/>
                      <w:b w:val="0"/>
                      <w:bCs w:val="0"/>
                      <w:sz w:val="21"/>
                      <w:szCs w:val="21"/>
                      <w:lang w:val="en-US"/>
                    </w:rPr>
                  </w:pPr>
                  <w:r>
                    <w:rPr>
                      <w:rFonts w:hint="eastAsia" w:ascii="Times New Roman" w:hAnsi="Times New Roman" w:cs="Times New Roman"/>
                      <w:b w:val="0"/>
                      <w:bCs w:val="0"/>
                      <w:sz w:val="21"/>
                      <w:szCs w:val="21"/>
                      <w:lang w:val="en-US"/>
                    </w:rPr>
                    <w:t>5</w:t>
                  </w:r>
                </w:p>
              </w:tc>
              <w:tc>
                <w:tcPr>
                  <w:tcW w:w="1395" w:type="dxa"/>
                  <w:tcBorders>
                    <w:top w:val="single" w:color="auto" w:sz="4" w:space="0"/>
                    <w:left w:val="single" w:color="auto" w:sz="4" w:space="0"/>
                    <w:bottom w:val="single" w:color="auto" w:sz="4" w:space="0"/>
                    <w:right w:val="single" w:color="auto" w:sz="4" w:space="0"/>
                  </w:tcBorders>
                  <w:vAlign w:val="center"/>
                </w:tcPr>
                <w:p>
                  <w:pPr>
                    <w:pStyle w:val="8"/>
                    <w:ind w:left="0"/>
                    <w:jc w:val="center"/>
                    <w:rPr>
                      <w:b w:val="0"/>
                      <w:bCs w:val="0"/>
                      <w:sz w:val="21"/>
                      <w:szCs w:val="21"/>
                      <w:lang w:val="en-US"/>
                    </w:rPr>
                  </w:pPr>
                  <w:r>
                    <w:rPr>
                      <w:rFonts w:hint="eastAsia"/>
                      <w:b w:val="0"/>
                      <w:bCs w:val="0"/>
                      <w:sz w:val="21"/>
                      <w:szCs w:val="21"/>
                      <w:lang w:val="en-US"/>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03" w:type="dxa"/>
                  <w:tcBorders>
                    <w:top w:val="single" w:color="auto" w:sz="4" w:space="0"/>
                    <w:left w:val="single" w:color="auto" w:sz="4" w:space="0"/>
                    <w:bottom w:val="single" w:color="auto" w:sz="4" w:space="0"/>
                    <w:right w:val="single" w:color="auto" w:sz="4" w:space="0"/>
                  </w:tcBorders>
                  <w:vAlign w:val="center"/>
                </w:tcPr>
                <w:p>
                  <w:pPr>
                    <w:pStyle w:val="8"/>
                    <w:ind w:left="0"/>
                    <w:jc w:val="center"/>
                    <w:rPr>
                      <w:rFonts w:ascii="Times New Roman" w:hAnsi="Times New Roman" w:cs="Times New Roman"/>
                      <w:b w:val="0"/>
                      <w:bCs w:val="0"/>
                      <w:sz w:val="21"/>
                      <w:szCs w:val="21"/>
                      <w:lang w:val="en-US"/>
                    </w:rPr>
                  </w:pPr>
                  <w:r>
                    <w:rPr>
                      <w:rFonts w:hint="eastAsia" w:ascii="Times New Roman" w:hAnsi="Times New Roman" w:cs="Times New Roman"/>
                      <w:b w:val="0"/>
                      <w:bCs w:val="0"/>
                      <w:sz w:val="21"/>
                      <w:szCs w:val="21"/>
                      <w:lang w:val="en-US"/>
                    </w:rPr>
                    <w:t>14</w:t>
                  </w:r>
                </w:p>
              </w:tc>
              <w:tc>
                <w:tcPr>
                  <w:tcW w:w="1590" w:type="dxa"/>
                  <w:tcBorders>
                    <w:top w:val="single" w:color="auto" w:sz="4" w:space="0"/>
                    <w:left w:val="single" w:color="auto" w:sz="4" w:space="0"/>
                    <w:bottom w:val="single" w:color="auto" w:sz="4" w:space="0"/>
                    <w:right w:val="single" w:color="auto" w:sz="4" w:space="0"/>
                  </w:tcBorders>
                  <w:vAlign w:val="center"/>
                </w:tcPr>
                <w:p>
                  <w:pPr>
                    <w:pStyle w:val="8"/>
                    <w:ind w:left="0"/>
                    <w:jc w:val="center"/>
                    <w:rPr>
                      <w:rFonts w:cs="Times New Roman"/>
                      <w:b w:val="0"/>
                      <w:bCs w:val="0"/>
                      <w:sz w:val="21"/>
                      <w:szCs w:val="21"/>
                    </w:rPr>
                  </w:pPr>
                  <w:r>
                    <w:rPr>
                      <w:rFonts w:hint="eastAsia" w:cs="Times New Roman"/>
                      <w:b w:val="0"/>
                      <w:bCs w:val="0"/>
                      <w:sz w:val="21"/>
                      <w:szCs w:val="21"/>
                    </w:rPr>
                    <w:t>提升机</w:t>
                  </w:r>
                </w:p>
              </w:tc>
              <w:tc>
                <w:tcPr>
                  <w:tcW w:w="2537" w:type="dxa"/>
                  <w:tcBorders>
                    <w:top w:val="single" w:color="auto" w:sz="4" w:space="0"/>
                    <w:left w:val="single" w:color="auto" w:sz="4" w:space="0"/>
                    <w:bottom w:val="single" w:color="auto" w:sz="4" w:space="0"/>
                    <w:right w:val="single" w:color="auto" w:sz="4" w:space="0"/>
                  </w:tcBorders>
                  <w:vAlign w:val="center"/>
                </w:tcPr>
                <w:p>
                  <w:pPr>
                    <w:pStyle w:val="8"/>
                    <w:ind w:left="0"/>
                    <w:jc w:val="center"/>
                    <w:rPr>
                      <w:rFonts w:ascii="Times New Roman" w:hAnsi="Times New Roman" w:cs="Times New Roman"/>
                      <w:b w:val="0"/>
                      <w:bCs w:val="0"/>
                      <w:sz w:val="21"/>
                      <w:szCs w:val="21"/>
                      <w:lang w:val="en-US"/>
                    </w:rPr>
                  </w:pPr>
                  <w:r>
                    <w:rPr>
                      <w:rFonts w:ascii="Times New Roman" w:hAnsi="Times New Roman" w:cs="Times New Roman"/>
                      <w:b w:val="0"/>
                      <w:bCs w:val="0"/>
                      <w:sz w:val="21"/>
                      <w:szCs w:val="21"/>
                      <w:lang w:val="en-US"/>
                    </w:rPr>
                    <w:t>TDI50/28</w:t>
                  </w:r>
                </w:p>
              </w:tc>
              <w:tc>
                <w:tcPr>
                  <w:tcW w:w="1533" w:type="dxa"/>
                  <w:tcBorders>
                    <w:top w:val="single" w:color="auto" w:sz="4" w:space="0"/>
                    <w:left w:val="single" w:color="auto" w:sz="4" w:space="0"/>
                    <w:bottom w:val="single" w:color="auto" w:sz="4" w:space="0"/>
                    <w:right w:val="single" w:color="auto" w:sz="4" w:space="0"/>
                  </w:tcBorders>
                  <w:vAlign w:val="center"/>
                </w:tcPr>
                <w:p>
                  <w:pPr>
                    <w:pStyle w:val="8"/>
                    <w:ind w:left="0"/>
                    <w:jc w:val="center"/>
                    <w:rPr>
                      <w:rFonts w:ascii="Times New Roman" w:hAnsi="Times New Roman" w:cs="Times New Roman"/>
                      <w:b w:val="0"/>
                      <w:bCs w:val="0"/>
                      <w:sz w:val="21"/>
                      <w:szCs w:val="21"/>
                      <w:lang w:val="en-US"/>
                    </w:rPr>
                  </w:pPr>
                  <w:r>
                    <w:rPr>
                      <w:rFonts w:hint="eastAsia" w:ascii="Times New Roman" w:hAnsi="Times New Roman" w:cs="Times New Roman"/>
                      <w:b w:val="0"/>
                      <w:bCs w:val="0"/>
                      <w:sz w:val="21"/>
                      <w:szCs w:val="21"/>
                      <w:lang w:val="en-US"/>
                    </w:rPr>
                    <w:t>4</w:t>
                  </w:r>
                </w:p>
              </w:tc>
              <w:tc>
                <w:tcPr>
                  <w:tcW w:w="1395" w:type="dxa"/>
                  <w:tcBorders>
                    <w:top w:val="single" w:color="auto" w:sz="4" w:space="0"/>
                    <w:left w:val="single" w:color="auto" w:sz="4" w:space="0"/>
                    <w:bottom w:val="single" w:color="auto" w:sz="4" w:space="0"/>
                    <w:right w:val="single" w:color="auto" w:sz="4" w:space="0"/>
                  </w:tcBorders>
                  <w:vAlign w:val="center"/>
                </w:tcPr>
                <w:p>
                  <w:pPr>
                    <w:pStyle w:val="8"/>
                    <w:ind w:left="0"/>
                    <w:jc w:val="center"/>
                    <w:rPr>
                      <w:b w:val="0"/>
                      <w:bCs w:val="0"/>
                      <w:sz w:val="21"/>
                      <w:szCs w:val="21"/>
                      <w:lang w:val="en-US"/>
                    </w:rPr>
                  </w:pPr>
                  <w:r>
                    <w:rPr>
                      <w:rFonts w:hint="eastAsia"/>
                      <w:b w:val="0"/>
                      <w:bCs w:val="0"/>
                      <w:sz w:val="21"/>
                      <w:szCs w:val="21"/>
                      <w:lang w:val="en-US"/>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03" w:type="dxa"/>
                  <w:tcBorders>
                    <w:top w:val="single" w:color="auto" w:sz="4" w:space="0"/>
                    <w:left w:val="single" w:color="auto" w:sz="4" w:space="0"/>
                    <w:bottom w:val="single" w:color="auto" w:sz="4" w:space="0"/>
                    <w:right w:val="single" w:color="auto" w:sz="4" w:space="0"/>
                  </w:tcBorders>
                  <w:vAlign w:val="center"/>
                </w:tcPr>
                <w:p>
                  <w:pPr>
                    <w:pStyle w:val="8"/>
                    <w:ind w:left="0"/>
                    <w:jc w:val="center"/>
                    <w:rPr>
                      <w:rFonts w:ascii="Times New Roman" w:hAnsi="Times New Roman" w:cs="Times New Roman"/>
                      <w:b w:val="0"/>
                      <w:bCs w:val="0"/>
                      <w:sz w:val="21"/>
                      <w:szCs w:val="21"/>
                      <w:lang w:val="en-US"/>
                    </w:rPr>
                  </w:pPr>
                  <w:r>
                    <w:rPr>
                      <w:rFonts w:hint="eastAsia" w:ascii="Times New Roman" w:hAnsi="Times New Roman" w:cs="Times New Roman"/>
                      <w:b w:val="0"/>
                      <w:bCs w:val="0"/>
                      <w:sz w:val="21"/>
                      <w:szCs w:val="21"/>
                      <w:lang w:val="en-US"/>
                    </w:rPr>
                    <w:t>15</w:t>
                  </w:r>
                </w:p>
              </w:tc>
              <w:tc>
                <w:tcPr>
                  <w:tcW w:w="1590" w:type="dxa"/>
                  <w:tcBorders>
                    <w:top w:val="single" w:color="auto" w:sz="4" w:space="0"/>
                    <w:left w:val="single" w:color="auto" w:sz="4" w:space="0"/>
                    <w:bottom w:val="single" w:color="auto" w:sz="4" w:space="0"/>
                    <w:right w:val="single" w:color="auto" w:sz="4" w:space="0"/>
                  </w:tcBorders>
                  <w:vAlign w:val="center"/>
                </w:tcPr>
                <w:p>
                  <w:pPr>
                    <w:pStyle w:val="8"/>
                    <w:ind w:left="0"/>
                    <w:jc w:val="center"/>
                    <w:rPr>
                      <w:rFonts w:cs="Times New Roman"/>
                      <w:b w:val="0"/>
                      <w:bCs w:val="0"/>
                      <w:sz w:val="21"/>
                      <w:szCs w:val="21"/>
                    </w:rPr>
                  </w:pPr>
                  <w:r>
                    <w:rPr>
                      <w:rFonts w:hint="eastAsia" w:cs="Times New Roman"/>
                      <w:b w:val="0"/>
                      <w:bCs w:val="0"/>
                      <w:sz w:val="21"/>
                      <w:szCs w:val="21"/>
                    </w:rPr>
                    <w:t>提升机</w:t>
                  </w:r>
                </w:p>
              </w:tc>
              <w:tc>
                <w:tcPr>
                  <w:tcW w:w="2537" w:type="dxa"/>
                  <w:tcBorders>
                    <w:top w:val="single" w:color="auto" w:sz="4" w:space="0"/>
                    <w:left w:val="single" w:color="auto" w:sz="4" w:space="0"/>
                    <w:bottom w:val="single" w:color="auto" w:sz="4" w:space="0"/>
                    <w:right w:val="single" w:color="auto" w:sz="4" w:space="0"/>
                  </w:tcBorders>
                  <w:vAlign w:val="center"/>
                </w:tcPr>
                <w:p>
                  <w:pPr>
                    <w:pStyle w:val="8"/>
                    <w:ind w:left="0"/>
                    <w:jc w:val="center"/>
                    <w:rPr>
                      <w:rFonts w:ascii="Times New Roman" w:hAnsi="Times New Roman" w:cs="Times New Roman"/>
                      <w:b w:val="0"/>
                      <w:bCs w:val="0"/>
                      <w:sz w:val="21"/>
                      <w:szCs w:val="21"/>
                      <w:lang w:val="en-US"/>
                    </w:rPr>
                  </w:pPr>
                  <w:r>
                    <w:rPr>
                      <w:rFonts w:ascii="Times New Roman" w:hAnsi="Times New Roman" w:cs="Times New Roman"/>
                      <w:b w:val="0"/>
                      <w:bCs w:val="0"/>
                      <w:sz w:val="21"/>
                      <w:szCs w:val="21"/>
                      <w:lang w:val="en-US"/>
                    </w:rPr>
                    <w:t>TDTG50/23</w:t>
                  </w:r>
                </w:p>
              </w:tc>
              <w:tc>
                <w:tcPr>
                  <w:tcW w:w="1533" w:type="dxa"/>
                  <w:tcBorders>
                    <w:top w:val="single" w:color="auto" w:sz="4" w:space="0"/>
                    <w:left w:val="single" w:color="auto" w:sz="4" w:space="0"/>
                    <w:bottom w:val="single" w:color="auto" w:sz="4" w:space="0"/>
                    <w:right w:val="single" w:color="auto" w:sz="4" w:space="0"/>
                  </w:tcBorders>
                  <w:vAlign w:val="center"/>
                </w:tcPr>
                <w:p>
                  <w:pPr>
                    <w:pStyle w:val="8"/>
                    <w:ind w:left="0"/>
                    <w:jc w:val="center"/>
                    <w:rPr>
                      <w:rFonts w:ascii="Times New Roman" w:hAnsi="Times New Roman" w:cs="Times New Roman"/>
                      <w:b w:val="0"/>
                      <w:bCs w:val="0"/>
                      <w:sz w:val="21"/>
                      <w:szCs w:val="21"/>
                      <w:lang w:val="en-US"/>
                    </w:rPr>
                  </w:pPr>
                  <w:r>
                    <w:rPr>
                      <w:rFonts w:hint="eastAsia" w:ascii="Times New Roman" w:hAnsi="Times New Roman" w:cs="Times New Roman"/>
                      <w:b w:val="0"/>
                      <w:bCs w:val="0"/>
                      <w:sz w:val="21"/>
                      <w:szCs w:val="21"/>
                      <w:lang w:val="en-US"/>
                    </w:rPr>
                    <w:t>2</w:t>
                  </w:r>
                </w:p>
              </w:tc>
              <w:tc>
                <w:tcPr>
                  <w:tcW w:w="1395" w:type="dxa"/>
                  <w:tcBorders>
                    <w:top w:val="single" w:color="auto" w:sz="4" w:space="0"/>
                    <w:left w:val="single" w:color="auto" w:sz="4" w:space="0"/>
                    <w:bottom w:val="single" w:color="auto" w:sz="4" w:space="0"/>
                    <w:right w:val="single" w:color="auto" w:sz="4" w:space="0"/>
                  </w:tcBorders>
                  <w:vAlign w:val="center"/>
                </w:tcPr>
                <w:p>
                  <w:pPr>
                    <w:pStyle w:val="8"/>
                    <w:ind w:left="0"/>
                    <w:jc w:val="center"/>
                    <w:rPr>
                      <w:b w:val="0"/>
                      <w:bCs w:val="0"/>
                      <w:sz w:val="21"/>
                      <w:szCs w:val="21"/>
                      <w:lang w:val="en-US"/>
                    </w:rPr>
                  </w:pPr>
                  <w:r>
                    <w:rPr>
                      <w:rFonts w:hint="eastAsia"/>
                      <w:b w:val="0"/>
                      <w:bCs w:val="0"/>
                      <w:sz w:val="21"/>
                      <w:szCs w:val="21"/>
                      <w:lang w:val="en-US"/>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03" w:type="dxa"/>
                  <w:tcBorders>
                    <w:top w:val="single" w:color="auto" w:sz="4" w:space="0"/>
                    <w:left w:val="single" w:color="auto" w:sz="4" w:space="0"/>
                    <w:bottom w:val="single" w:color="auto" w:sz="4" w:space="0"/>
                    <w:right w:val="single" w:color="auto" w:sz="4" w:space="0"/>
                  </w:tcBorders>
                  <w:vAlign w:val="center"/>
                </w:tcPr>
                <w:p>
                  <w:pPr>
                    <w:pStyle w:val="8"/>
                    <w:ind w:left="0"/>
                    <w:jc w:val="center"/>
                    <w:rPr>
                      <w:rFonts w:ascii="Times New Roman" w:hAnsi="Times New Roman" w:cs="Times New Roman"/>
                      <w:b w:val="0"/>
                      <w:bCs w:val="0"/>
                      <w:sz w:val="21"/>
                      <w:szCs w:val="21"/>
                      <w:lang w:val="en-US"/>
                    </w:rPr>
                  </w:pPr>
                  <w:r>
                    <w:rPr>
                      <w:rFonts w:hint="eastAsia" w:ascii="Times New Roman" w:hAnsi="Times New Roman" w:cs="Times New Roman"/>
                      <w:b w:val="0"/>
                      <w:bCs w:val="0"/>
                      <w:sz w:val="21"/>
                      <w:szCs w:val="21"/>
                      <w:lang w:val="en-US"/>
                    </w:rPr>
                    <w:t>16</w:t>
                  </w:r>
                </w:p>
              </w:tc>
              <w:tc>
                <w:tcPr>
                  <w:tcW w:w="1590" w:type="dxa"/>
                  <w:tcBorders>
                    <w:top w:val="single" w:color="auto" w:sz="4" w:space="0"/>
                    <w:left w:val="single" w:color="auto" w:sz="4" w:space="0"/>
                    <w:bottom w:val="single" w:color="auto" w:sz="4" w:space="0"/>
                    <w:right w:val="single" w:color="auto" w:sz="4" w:space="0"/>
                  </w:tcBorders>
                  <w:vAlign w:val="center"/>
                </w:tcPr>
                <w:p>
                  <w:pPr>
                    <w:pStyle w:val="8"/>
                    <w:ind w:left="0"/>
                    <w:jc w:val="center"/>
                    <w:rPr>
                      <w:rFonts w:cs="Times New Roman"/>
                      <w:b w:val="0"/>
                      <w:bCs w:val="0"/>
                      <w:sz w:val="21"/>
                      <w:szCs w:val="21"/>
                    </w:rPr>
                  </w:pPr>
                  <w:r>
                    <w:rPr>
                      <w:rFonts w:hint="eastAsia" w:cs="Times New Roman"/>
                      <w:b w:val="0"/>
                      <w:bCs w:val="0"/>
                      <w:sz w:val="21"/>
                      <w:szCs w:val="21"/>
                    </w:rPr>
                    <w:t>提升机</w:t>
                  </w:r>
                </w:p>
              </w:tc>
              <w:tc>
                <w:tcPr>
                  <w:tcW w:w="2537" w:type="dxa"/>
                  <w:tcBorders>
                    <w:top w:val="single" w:color="auto" w:sz="4" w:space="0"/>
                    <w:left w:val="single" w:color="auto" w:sz="4" w:space="0"/>
                    <w:bottom w:val="single" w:color="auto" w:sz="4" w:space="0"/>
                    <w:right w:val="single" w:color="auto" w:sz="4" w:space="0"/>
                  </w:tcBorders>
                  <w:vAlign w:val="center"/>
                </w:tcPr>
                <w:p>
                  <w:pPr>
                    <w:pStyle w:val="8"/>
                    <w:ind w:left="0"/>
                    <w:jc w:val="center"/>
                    <w:rPr>
                      <w:rFonts w:ascii="Times New Roman" w:hAnsi="Times New Roman" w:cs="Times New Roman"/>
                      <w:b w:val="0"/>
                      <w:bCs w:val="0"/>
                      <w:sz w:val="21"/>
                      <w:szCs w:val="21"/>
                      <w:lang w:val="en-US"/>
                    </w:rPr>
                  </w:pPr>
                  <w:r>
                    <w:rPr>
                      <w:rFonts w:ascii="Times New Roman" w:hAnsi="Times New Roman" w:cs="Times New Roman"/>
                      <w:b w:val="0"/>
                      <w:bCs w:val="0"/>
                      <w:sz w:val="21"/>
                      <w:szCs w:val="21"/>
                      <w:lang w:val="en-US"/>
                    </w:rPr>
                    <w:t>TDTG40/23</w:t>
                  </w:r>
                </w:p>
              </w:tc>
              <w:tc>
                <w:tcPr>
                  <w:tcW w:w="1533" w:type="dxa"/>
                  <w:tcBorders>
                    <w:top w:val="single" w:color="auto" w:sz="4" w:space="0"/>
                    <w:left w:val="single" w:color="auto" w:sz="4" w:space="0"/>
                    <w:bottom w:val="single" w:color="auto" w:sz="4" w:space="0"/>
                    <w:right w:val="single" w:color="auto" w:sz="4" w:space="0"/>
                  </w:tcBorders>
                  <w:vAlign w:val="center"/>
                </w:tcPr>
                <w:p>
                  <w:pPr>
                    <w:pStyle w:val="8"/>
                    <w:ind w:left="0"/>
                    <w:jc w:val="center"/>
                    <w:rPr>
                      <w:rFonts w:ascii="Times New Roman" w:hAnsi="Times New Roman" w:cs="Times New Roman"/>
                      <w:b w:val="0"/>
                      <w:bCs w:val="0"/>
                      <w:sz w:val="21"/>
                      <w:szCs w:val="21"/>
                      <w:lang w:val="en-US"/>
                    </w:rPr>
                  </w:pPr>
                  <w:r>
                    <w:rPr>
                      <w:rFonts w:hint="eastAsia" w:ascii="Times New Roman" w:hAnsi="Times New Roman" w:cs="Times New Roman"/>
                      <w:b w:val="0"/>
                      <w:bCs w:val="0"/>
                      <w:sz w:val="21"/>
                      <w:szCs w:val="21"/>
                      <w:lang w:val="en-US"/>
                    </w:rPr>
                    <w:t>1</w:t>
                  </w:r>
                </w:p>
              </w:tc>
              <w:tc>
                <w:tcPr>
                  <w:tcW w:w="1395" w:type="dxa"/>
                  <w:tcBorders>
                    <w:top w:val="single" w:color="auto" w:sz="4" w:space="0"/>
                    <w:left w:val="single" w:color="auto" w:sz="4" w:space="0"/>
                    <w:bottom w:val="single" w:color="auto" w:sz="4" w:space="0"/>
                    <w:right w:val="single" w:color="auto" w:sz="4" w:space="0"/>
                  </w:tcBorders>
                  <w:vAlign w:val="center"/>
                </w:tcPr>
                <w:p>
                  <w:pPr>
                    <w:pStyle w:val="8"/>
                    <w:ind w:left="0"/>
                    <w:jc w:val="center"/>
                    <w:rPr>
                      <w:b w:val="0"/>
                      <w:bCs w:val="0"/>
                      <w:sz w:val="21"/>
                      <w:szCs w:val="21"/>
                      <w:lang w:val="en-US"/>
                    </w:rPr>
                  </w:pPr>
                  <w:r>
                    <w:rPr>
                      <w:rFonts w:hint="eastAsia"/>
                      <w:b w:val="0"/>
                      <w:bCs w:val="0"/>
                      <w:sz w:val="21"/>
                      <w:szCs w:val="21"/>
                      <w:lang w:val="en-US"/>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03" w:type="dxa"/>
                  <w:tcBorders>
                    <w:top w:val="single" w:color="auto" w:sz="4" w:space="0"/>
                    <w:left w:val="single" w:color="auto" w:sz="4" w:space="0"/>
                    <w:bottom w:val="single" w:color="auto" w:sz="4" w:space="0"/>
                    <w:right w:val="single" w:color="auto" w:sz="4" w:space="0"/>
                  </w:tcBorders>
                  <w:vAlign w:val="center"/>
                </w:tcPr>
                <w:p>
                  <w:pPr>
                    <w:pStyle w:val="8"/>
                    <w:ind w:left="0"/>
                    <w:jc w:val="center"/>
                    <w:rPr>
                      <w:rFonts w:ascii="Times New Roman" w:hAnsi="Times New Roman" w:cs="Times New Roman"/>
                      <w:b w:val="0"/>
                      <w:bCs w:val="0"/>
                      <w:sz w:val="21"/>
                      <w:szCs w:val="21"/>
                      <w:lang w:val="en-US"/>
                    </w:rPr>
                  </w:pPr>
                  <w:r>
                    <w:rPr>
                      <w:rFonts w:hint="eastAsia" w:ascii="Times New Roman" w:hAnsi="Times New Roman" w:cs="Times New Roman"/>
                      <w:b w:val="0"/>
                      <w:bCs w:val="0"/>
                      <w:sz w:val="21"/>
                      <w:szCs w:val="21"/>
                      <w:lang w:val="en-US"/>
                    </w:rPr>
                    <w:t>17</w:t>
                  </w:r>
                </w:p>
              </w:tc>
              <w:tc>
                <w:tcPr>
                  <w:tcW w:w="1590" w:type="dxa"/>
                  <w:tcBorders>
                    <w:top w:val="single" w:color="auto" w:sz="4" w:space="0"/>
                    <w:left w:val="single" w:color="auto" w:sz="4" w:space="0"/>
                    <w:bottom w:val="single" w:color="auto" w:sz="4" w:space="0"/>
                    <w:right w:val="single" w:color="auto" w:sz="4" w:space="0"/>
                  </w:tcBorders>
                  <w:vAlign w:val="center"/>
                </w:tcPr>
                <w:p>
                  <w:pPr>
                    <w:pStyle w:val="8"/>
                    <w:ind w:left="0"/>
                    <w:jc w:val="center"/>
                    <w:rPr>
                      <w:rFonts w:cs="Times New Roman"/>
                      <w:b w:val="0"/>
                      <w:bCs w:val="0"/>
                      <w:sz w:val="21"/>
                      <w:szCs w:val="21"/>
                    </w:rPr>
                  </w:pPr>
                  <w:r>
                    <w:rPr>
                      <w:rFonts w:hint="eastAsia" w:cs="Times New Roman"/>
                      <w:b w:val="0"/>
                      <w:bCs w:val="0"/>
                      <w:sz w:val="21"/>
                      <w:szCs w:val="21"/>
                    </w:rPr>
                    <w:t>燃气锅炉</w:t>
                  </w:r>
                </w:p>
              </w:tc>
              <w:tc>
                <w:tcPr>
                  <w:tcW w:w="2537" w:type="dxa"/>
                  <w:tcBorders>
                    <w:top w:val="single" w:color="auto" w:sz="4" w:space="0"/>
                    <w:left w:val="single" w:color="auto" w:sz="4" w:space="0"/>
                    <w:bottom w:val="single" w:color="auto" w:sz="4" w:space="0"/>
                    <w:right w:val="single" w:color="auto" w:sz="4" w:space="0"/>
                  </w:tcBorders>
                  <w:vAlign w:val="center"/>
                </w:tcPr>
                <w:p>
                  <w:pPr>
                    <w:pStyle w:val="8"/>
                    <w:ind w:left="0"/>
                    <w:jc w:val="center"/>
                    <w:rPr>
                      <w:rFonts w:ascii="Times New Roman" w:hAnsi="Times New Roman" w:cs="Times New Roman"/>
                      <w:b w:val="0"/>
                      <w:bCs w:val="0"/>
                      <w:sz w:val="21"/>
                      <w:szCs w:val="21"/>
                      <w:lang w:val="en-US"/>
                    </w:rPr>
                  </w:pPr>
                  <w:r>
                    <w:rPr>
                      <w:rFonts w:ascii="Times New Roman" w:hAnsi="Times New Roman" w:cs="Times New Roman"/>
                      <w:b w:val="0"/>
                      <w:bCs w:val="0"/>
                      <w:sz w:val="21"/>
                      <w:szCs w:val="21"/>
                      <w:lang w:val="en-US"/>
                    </w:rPr>
                    <w:t>2t/h</w:t>
                  </w:r>
                </w:p>
              </w:tc>
              <w:tc>
                <w:tcPr>
                  <w:tcW w:w="1533" w:type="dxa"/>
                  <w:tcBorders>
                    <w:top w:val="single" w:color="auto" w:sz="4" w:space="0"/>
                    <w:left w:val="single" w:color="auto" w:sz="4" w:space="0"/>
                    <w:bottom w:val="single" w:color="auto" w:sz="4" w:space="0"/>
                    <w:right w:val="single" w:color="auto" w:sz="4" w:space="0"/>
                  </w:tcBorders>
                  <w:vAlign w:val="center"/>
                </w:tcPr>
                <w:p>
                  <w:pPr>
                    <w:pStyle w:val="8"/>
                    <w:ind w:left="0"/>
                    <w:jc w:val="center"/>
                    <w:rPr>
                      <w:rFonts w:ascii="Times New Roman" w:hAnsi="Times New Roman" w:cs="Times New Roman"/>
                      <w:b w:val="0"/>
                      <w:bCs w:val="0"/>
                      <w:sz w:val="21"/>
                      <w:szCs w:val="21"/>
                      <w:lang w:val="en-US"/>
                    </w:rPr>
                  </w:pPr>
                  <w:r>
                    <w:rPr>
                      <w:rFonts w:hint="eastAsia" w:ascii="Times New Roman" w:hAnsi="Times New Roman" w:cs="Times New Roman"/>
                      <w:b w:val="0"/>
                      <w:bCs w:val="0"/>
                      <w:sz w:val="21"/>
                      <w:szCs w:val="21"/>
                      <w:lang w:val="en-US"/>
                    </w:rPr>
                    <w:t>1</w:t>
                  </w:r>
                </w:p>
              </w:tc>
              <w:tc>
                <w:tcPr>
                  <w:tcW w:w="1395" w:type="dxa"/>
                  <w:tcBorders>
                    <w:top w:val="single" w:color="auto" w:sz="4" w:space="0"/>
                    <w:left w:val="single" w:color="auto" w:sz="4" w:space="0"/>
                    <w:bottom w:val="single" w:color="auto" w:sz="4" w:space="0"/>
                    <w:right w:val="single" w:color="auto" w:sz="4" w:space="0"/>
                  </w:tcBorders>
                  <w:vAlign w:val="center"/>
                </w:tcPr>
                <w:p>
                  <w:pPr>
                    <w:pStyle w:val="8"/>
                    <w:ind w:left="0"/>
                    <w:jc w:val="center"/>
                    <w:rPr>
                      <w:b w:val="0"/>
                      <w:bCs w:val="0"/>
                      <w:sz w:val="21"/>
                      <w:szCs w:val="21"/>
                      <w:lang w:val="en-US"/>
                    </w:rPr>
                  </w:pPr>
                  <w:r>
                    <w:rPr>
                      <w:rFonts w:hint="eastAsia"/>
                      <w:b w:val="0"/>
                      <w:bCs w:val="0"/>
                      <w:sz w:val="21"/>
                      <w:szCs w:val="21"/>
                      <w:lang w:val="en-US"/>
                    </w:rPr>
                    <w:t>台</w:t>
                  </w:r>
                </w:p>
              </w:tc>
            </w:tr>
          </w:tbl>
          <w:p>
            <w:pPr>
              <w:adjustRightInd w:val="0"/>
              <w:snapToGrid w:val="0"/>
              <w:spacing w:line="360" w:lineRule="auto"/>
              <w:ind w:firstLine="482" w:firstLineChars="200"/>
              <w:rPr>
                <w:b/>
                <w:bCs/>
                <w:sz w:val="24"/>
                <w:szCs w:val="24"/>
              </w:rPr>
            </w:pPr>
            <w:r>
              <w:rPr>
                <w:rFonts w:hint="eastAsia" w:cs="宋体"/>
                <w:b/>
                <w:bCs/>
                <w:sz w:val="24"/>
                <w:szCs w:val="24"/>
              </w:rPr>
              <w:t>二、原有工程工艺流程简要说明</w:t>
            </w:r>
          </w:p>
          <w:p>
            <w:pPr>
              <w:pStyle w:val="8"/>
              <w:spacing w:line="360" w:lineRule="auto"/>
              <w:ind w:left="0" w:firstLine="480" w:firstLineChars="200"/>
              <w:rPr>
                <w:b w:val="0"/>
                <w:bCs w:val="0"/>
              </w:rPr>
            </w:pPr>
            <w:r>
              <w:rPr>
                <w:rFonts w:ascii="Times New Roman" w:hAnsi="Times New Roman" w:cs="Times New Roman"/>
                <w:b w:val="0"/>
                <w:bCs w:val="0"/>
                <w:lang w:val="en-US"/>
              </w:rPr>
              <w:t>1</w:t>
            </w:r>
            <w:r>
              <w:rPr>
                <w:rFonts w:hint="eastAsia" w:ascii="Times New Roman" w:hAnsi="Times New Roman"/>
                <w:b w:val="0"/>
                <w:bCs w:val="0"/>
              </w:rPr>
              <w:t>、浓缩料生产</w:t>
            </w:r>
            <w:r>
              <w:rPr>
                <w:rFonts w:hint="eastAsia"/>
                <w:b w:val="0"/>
                <w:bCs w:val="0"/>
              </w:rPr>
              <w:t>工艺流程</w:t>
            </w:r>
          </w:p>
          <w:p>
            <w:pPr>
              <w:pStyle w:val="8"/>
              <w:spacing w:line="360" w:lineRule="auto"/>
              <w:ind w:left="0"/>
              <w:jc w:val="center"/>
              <w:rPr>
                <w:color w:val="FF0000"/>
              </w:rPr>
            </w:pPr>
            <w:r>
              <w:rPr>
                <w:rFonts w:hint="eastAsia"/>
                <w:color w:val="FF0000"/>
                <w:lang w:val="en-US"/>
              </w:rPr>
              <w:drawing>
                <wp:inline distT="0" distB="0" distL="114300" distR="114300">
                  <wp:extent cx="4686300" cy="1219200"/>
                  <wp:effectExtent l="0" t="0" r="0" b="0"/>
                  <wp:docPr id="10" name="图片 10" descr="20220415153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20220415153653"/>
                          <pic:cNvPicPr>
                            <a:picLocks noChangeAspect="1"/>
                          </pic:cNvPicPr>
                        </pic:nvPicPr>
                        <pic:blipFill>
                          <a:blip r:embed="rId11"/>
                          <a:stretch>
                            <a:fillRect/>
                          </a:stretch>
                        </pic:blipFill>
                        <pic:spPr>
                          <a:xfrm>
                            <a:off x="0" y="0"/>
                            <a:ext cx="4686300" cy="1219200"/>
                          </a:xfrm>
                          <a:prstGeom prst="rect">
                            <a:avLst/>
                          </a:prstGeom>
                        </pic:spPr>
                      </pic:pic>
                    </a:graphicData>
                  </a:graphic>
                </wp:inline>
              </w:drawing>
            </w:r>
          </w:p>
          <w:p>
            <w:pPr>
              <w:pStyle w:val="8"/>
              <w:spacing w:line="360" w:lineRule="auto"/>
              <w:ind w:left="0" w:firstLine="480" w:firstLineChars="200"/>
              <w:rPr>
                <w:rFonts w:cs="Times New Roman"/>
                <w:color w:val="FF0000"/>
              </w:rPr>
            </w:pPr>
            <w:r>
              <w:rPr>
                <w:rFonts w:hint="eastAsia" w:ascii="Times New Roman" w:hAnsi="Times New Roman"/>
                <w:b w:val="0"/>
                <w:bCs w:val="0"/>
                <w:lang w:val="en-US"/>
              </w:rPr>
              <w:t>2</w:t>
            </w:r>
            <w:r>
              <w:rPr>
                <w:rFonts w:hint="eastAsia" w:ascii="Times New Roman" w:hAnsi="Times New Roman"/>
                <w:b w:val="0"/>
                <w:bCs w:val="0"/>
              </w:rPr>
              <w:t>、颗粒料生产</w:t>
            </w:r>
            <w:r>
              <w:rPr>
                <w:rFonts w:hint="eastAsia"/>
                <w:b w:val="0"/>
                <w:bCs w:val="0"/>
              </w:rPr>
              <w:t>工艺流程</w:t>
            </w:r>
          </w:p>
          <w:p>
            <w:pPr>
              <w:adjustRightInd w:val="0"/>
              <w:snapToGrid w:val="0"/>
              <w:spacing w:line="360" w:lineRule="auto"/>
              <w:jc w:val="center"/>
              <w:rPr>
                <w:rFonts w:cs="宋体"/>
                <w:b/>
                <w:bCs/>
                <w:color w:val="FF0000"/>
                <w:sz w:val="24"/>
                <w:szCs w:val="24"/>
              </w:rPr>
            </w:pPr>
            <w:r>
              <w:rPr>
                <w:rFonts w:hint="eastAsia" w:cs="宋体"/>
                <w:b/>
                <w:bCs/>
                <w:color w:val="FF0000"/>
                <w:sz w:val="24"/>
                <w:szCs w:val="24"/>
              </w:rPr>
              <w:drawing>
                <wp:inline distT="0" distB="0" distL="114300" distR="114300">
                  <wp:extent cx="4772025" cy="1276350"/>
                  <wp:effectExtent l="0" t="0" r="9525" b="0"/>
                  <wp:docPr id="4" name="图片 4" descr="20220415153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20220415153711"/>
                          <pic:cNvPicPr>
                            <a:picLocks noChangeAspect="1"/>
                          </pic:cNvPicPr>
                        </pic:nvPicPr>
                        <pic:blipFill>
                          <a:blip r:embed="rId12"/>
                          <a:stretch>
                            <a:fillRect/>
                          </a:stretch>
                        </pic:blipFill>
                        <pic:spPr>
                          <a:xfrm>
                            <a:off x="0" y="0"/>
                            <a:ext cx="4772025" cy="1276350"/>
                          </a:xfrm>
                          <a:prstGeom prst="rect">
                            <a:avLst/>
                          </a:prstGeom>
                        </pic:spPr>
                      </pic:pic>
                    </a:graphicData>
                  </a:graphic>
                </wp:inline>
              </w:drawing>
            </w:r>
          </w:p>
          <w:p>
            <w:pPr>
              <w:adjustRightInd w:val="0"/>
              <w:snapToGrid w:val="0"/>
              <w:spacing w:line="360" w:lineRule="auto"/>
              <w:ind w:firstLine="482" w:firstLineChars="200"/>
              <w:rPr>
                <w:b/>
                <w:bCs/>
                <w:sz w:val="24"/>
                <w:szCs w:val="24"/>
              </w:rPr>
            </w:pPr>
            <w:r>
              <w:rPr>
                <w:rFonts w:hint="eastAsia" w:cs="宋体"/>
                <w:b/>
                <w:bCs/>
                <w:sz w:val="24"/>
                <w:szCs w:val="24"/>
              </w:rPr>
              <w:t>三、原有工程污染物产排情况和达标分析</w:t>
            </w:r>
          </w:p>
          <w:p>
            <w:pPr>
              <w:spacing w:line="360" w:lineRule="auto"/>
              <w:ind w:firstLine="482" w:firstLineChars="200"/>
              <w:rPr>
                <w:rFonts w:cs="宋体"/>
                <w:b/>
                <w:bCs/>
                <w:sz w:val="24"/>
                <w:szCs w:val="24"/>
              </w:rPr>
            </w:pPr>
            <w:r>
              <w:rPr>
                <w:rFonts w:hint="eastAsia" w:cs="宋体"/>
                <w:b/>
                <w:bCs/>
                <w:sz w:val="24"/>
                <w:szCs w:val="24"/>
              </w:rPr>
              <w:t>1、废气</w:t>
            </w:r>
          </w:p>
          <w:p>
            <w:pPr>
              <w:spacing w:line="360" w:lineRule="auto"/>
              <w:ind w:firstLine="480" w:firstLineChars="200"/>
              <w:rPr>
                <w:rFonts w:cs="宋体"/>
                <w:sz w:val="24"/>
                <w:szCs w:val="24"/>
              </w:rPr>
            </w:pPr>
            <w:r>
              <w:rPr>
                <w:rFonts w:hint="eastAsia" w:cs="宋体"/>
                <w:sz w:val="24"/>
                <w:szCs w:val="24"/>
              </w:rPr>
              <w:t>原有项目产生的废气主要有：粉碎原辅材料、制粒、成品包装工段产生的粉尘以及燃气锅炉产生的烟气。</w:t>
            </w:r>
          </w:p>
          <w:p>
            <w:pPr>
              <w:spacing w:line="360" w:lineRule="auto"/>
              <w:ind w:firstLine="480" w:firstLineChars="200"/>
              <w:rPr>
                <w:rFonts w:cs="宋体"/>
                <w:color w:val="auto"/>
                <w:sz w:val="24"/>
                <w:szCs w:val="24"/>
              </w:rPr>
            </w:pPr>
            <w:r>
              <w:rPr>
                <w:rFonts w:hint="eastAsia" w:cs="宋体"/>
                <w:sz w:val="24"/>
                <w:szCs w:val="24"/>
              </w:rPr>
              <w:t>根据业主提供的《宿州万千饲料有限公司年产10万吨饲料加工项目环境影响报告表》及其验收可知，粉碎原辅材料、制粒、成品包装工段产生的粉尘经各工段脉冲袋式除尘器进行处理后，通过排气筒高空排放；</w:t>
            </w:r>
            <w:r>
              <w:rPr>
                <w:rFonts w:hint="eastAsia" w:cs="宋体"/>
                <w:color w:val="auto"/>
                <w:sz w:val="24"/>
                <w:szCs w:val="24"/>
              </w:rPr>
              <w:t>锅炉烟气通过排气筒直接排放。</w:t>
            </w:r>
          </w:p>
          <w:p>
            <w:pPr>
              <w:adjustRightInd w:val="0"/>
              <w:snapToGrid w:val="0"/>
              <w:spacing w:line="360" w:lineRule="auto"/>
              <w:ind w:firstLine="480" w:firstLineChars="200"/>
              <w:rPr>
                <w:color w:val="auto"/>
                <w:sz w:val="24"/>
                <w:szCs w:val="24"/>
              </w:rPr>
            </w:pPr>
            <w:r>
              <w:rPr>
                <w:rFonts w:hint="eastAsia" w:cs="宋体"/>
                <w:color w:val="auto"/>
                <w:sz w:val="24"/>
                <w:szCs w:val="24"/>
              </w:rPr>
              <w:t>根据宿州万千饲料有限公司年产10万吨饲料加工项目验收材料可知，原有工程锅炉烟气监测结果符合《锅炉大气污染物综合排放标准》（GB13271-2014）表1中燃气锅炉标准限值；工艺废气监测结果符合《大气污染物综合排放标准》（GB16297-1996）中相关排放标准限值。</w:t>
            </w:r>
          </w:p>
          <w:p>
            <w:pPr>
              <w:adjustRightInd w:val="0"/>
              <w:snapToGrid w:val="0"/>
              <w:spacing w:line="360" w:lineRule="auto"/>
              <w:ind w:firstLine="482" w:firstLineChars="200"/>
              <w:rPr>
                <w:b/>
                <w:bCs/>
                <w:sz w:val="24"/>
                <w:szCs w:val="24"/>
              </w:rPr>
            </w:pPr>
            <w:r>
              <w:rPr>
                <w:b/>
                <w:bCs/>
                <w:sz w:val="24"/>
                <w:szCs w:val="24"/>
              </w:rPr>
              <w:t>2</w:t>
            </w:r>
            <w:r>
              <w:rPr>
                <w:rFonts w:hint="eastAsia" w:cs="宋体"/>
                <w:b/>
                <w:bCs/>
                <w:sz w:val="24"/>
                <w:szCs w:val="24"/>
              </w:rPr>
              <w:t>、废水</w:t>
            </w:r>
          </w:p>
          <w:p>
            <w:pPr>
              <w:adjustRightInd w:val="0"/>
              <w:snapToGrid w:val="0"/>
              <w:spacing w:line="360" w:lineRule="auto"/>
              <w:ind w:firstLine="480" w:firstLineChars="200"/>
              <w:rPr>
                <w:sz w:val="24"/>
                <w:szCs w:val="24"/>
              </w:rPr>
            </w:pPr>
            <w:r>
              <w:rPr>
                <w:rFonts w:hint="eastAsia" w:cs="宋体"/>
                <w:sz w:val="24"/>
                <w:szCs w:val="24"/>
              </w:rPr>
              <w:t>原有项目产生的废水主要为员工生活污水。</w:t>
            </w:r>
          </w:p>
          <w:p>
            <w:pPr>
              <w:adjustRightInd w:val="0"/>
              <w:snapToGrid w:val="0"/>
              <w:spacing w:line="360" w:lineRule="auto"/>
              <w:ind w:firstLine="480" w:firstLineChars="200"/>
              <w:rPr>
                <w:color w:val="auto"/>
                <w:sz w:val="24"/>
                <w:szCs w:val="24"/>
              </w:rPr>
            </w:pPr>
            <w:r>
              <w:rPr>
                <w:rFonts w:hint="eastAsia" w:cs="宋体"/>
                <w:sz w:val="24"/>
                <w:szCs w:val="24"/>
              </w:rPr>
              <w:t>原有项目劳动定员为146人，均不在项目区食宿，年工作为</w:t>
            </w:r>
            <w:r>
              <w:rPr>
                <w:rFonts w:hint="eastAsia"/>
                <w:sz w:val="24"/>
                <w:szCs w:val="24"/>
              </w:rPr>
              <w:t>300</w:t>
            </w:r>
            <w:r>
              <w:rPr>
                <w:rFonts w:hint="eastAsia" w:cs="宋体"/>
                <w:sz w:val="24"/>
                <w:szCs w:val="24"/>
              </w:rPr>
              <w:t>天，最大用水量按</w:t>
            </w:r>
            <w:r>
              <w:rPr>
                <w:sz w:val="24"/>
                <w:szCs w:val="24"/>
              </w:rPr>
              <w:t>50L/(</w:t>
            </w:r>
            <w:r>
              <w:rPr>
                <w:rFonts w:hint="eastAsia" w:cs="宋体"/>
                <w:sz w:val="24"/>
                <w:szCs w:val="24"/>
              </w:rPr>
              <w:t>人</w:t>
            </w:r>
            <w:r>
              <w:rPr>
                <w:sz w:val="24"/>
                <w:szCs w:val="24"/>
              </w:rPr>
              <w:t>·</w:t>
            </w:r>
            <w:r>
              <w:rPr>
                <w:rFonts w:hint="eastAsia" w:cs="宋体"/>
                <w:sz w:val="24"/>
                <w:szCs w:val="24"/>
              </w:rPr>
              <w:t>天</w:t>
            </w:r>
            <w:r>
              <w:rPr>
                <w:sz w:val="24"/>
                <w:szCs w:val="24"/>
              </w:rPr>
              <w:t>)</w:t>
            </w:r>
            <w:r>
              <w:rPr>
                <w:rFonts w:hint="eastAsia" w:cs="宋体"/>
                <w:sz w:val="24"/>
                <w:szCs w:val="24"/>
              </w:rPr>
              <w:t>计，年用水量为2190</w:t>
            </w:r>
            <w:r>
              <w:rPr>
                <w:sz w:val="24"/>
                <w:szCs w:val="24"/>
              </w:rPr>
              <w:t>t/a</w:t>
            </w:r>
            <w:r>
              <w:rPr>
                <w:rFonts w:hint="eastAsia" w:cs="宋体"/>
                <w:sz w:val="24"/>
                <w:szCs w:val="24"/>
              </w:rPr>
              <w:t>（7.3</w:t>
            </w:r>
            <w:r>
              <w:rPr>
                <w:sz w:val="24"/>
                <w:szCs w:val="24"/>
              </w:rPr>
              <w:t>t/d</w:t>
            </w:r>
            <w:r>
              <w:rPr>
                <w:rFonts w:hint="eastAsia" w:cs="宋体"/>
                <w:sz w:val="24"/>
                <w:szCs w:val="24"/>
              </w:rPr>
              <w:t>），产污系数按</w:t>
            </w:r>
            <w:r>
              <w:rPr>
                <w:sz w:val="24"/>
                <w:szCs w:val="24"/>
              </w:rPr>
              <w:t>0.8</w:t>
            </w:r>
            <w:r>
              <w:rPr>
                <w:rFonts w:hint="eastAsia" w:cs="宋体"/>
                <w:sz w:val="24"/>
                <w:szCs w:val="24"/>
              </w:rPr>
              <w:t>计，则员工生活污水产生量为1752</w:t>
            </w:r>
            <w:r>
              <w:rPr>
                <w:sz w:val="24"/>
                <w:szCs w:val="24"/>
              </w:rPr>
              <w:t>t/a</w:t>
            </w:r>
            <w:r>
              <w:rPr>
                <w:rFonts w:hint="eastAsia" w:cs="宋体"/>
                <w:sz w:val="24"/>
                <w:szCs w:val="24"/>
              </w:rPr>
              <w:t>（5.84</w:t>
            </w:r>
            <w:r>
              <w:rPr>
                <w:sz w:val="24"/>
                <w:szCs w:val="24"/>
              </w:rPr>
              <w:t>t/d</w:t>
            </w:r>
            <w:r>
              <w:rPr>
                <w:rFonts w:hint="eastAsia" w:cs="宋体"/>
                <w:sz w:val="24"/>
                <w:szCs w:val="24"/>
              </w:rPr>
              <w:t>）。员工生活污水水质简单，主要污染物</w:t>
            </w:r>
            <w:r>
              <w:rPr>
                <w:sz w:val="24"/>
                <w:szCs w:val="24"/>
              </w:rPr>
              <w:t>COD</w:t>
            </w:r>
            <w:r>
              <w:rPr>
                <w:rFonts w:hint="eastAsia" w:cs="宋体"/>
                <w:sz w:val="24"/>
                <w:szCs w:val="24"/>
              </w:rPr>
              <w:t>、</w:t>
            </w:r>
            <w:r>
              <w:rPr>
                <w:sz w:val="24"/>
                <w:szCs w:val="24"/>
              </w:rPr>
              <w:t>BOD</w:t>
            </w:r>
            <w:r>
              <w:rPr>
                <w:sz w:val="24"/>
                <w:szCs w:val="24"/>
                <w:vertAlign w:val="subscript"/>
              </w:rPr>
              <w:t>5</w:t>
            </w:r>
            <w:r>
              <w:rPr>
                <w:rFonts w:hint="eastAsia" w:cs="宋体"/>
                <w:sz w:val="24"/>
                <w:szCs w:val="24"/>
              </w:rPr>
              <w:t>、</w:t>
            </w:r>
            <w:r>
              <w:rPr>
                <w:sz w:val="24"/>
                <w:szCs w:val="24"/>
              </w:rPr>
              <w:t>SS</w:t>
            </w:r>
            <w:r>
              <w:rPr>
                <w:rFonts w:hint="eastAsia" w:cs="宋体"/>
                <w:sz w:val="24"/>
                <w:szCs w:val="24"/>
              </w:rPr>
              <w:t>、</w:t>
            </w:r>
            <w:r>
              <w:rPr>
                <w:sz w:val="24"/>
                <w:szCs w:val="24"/>
              </w:rPr>
              <w:t>NH</w:t>
            </w:r>
            <w:r>
              <w:rPr>
                <w:sz w:val="24"/>
                <w:szCs w:val="24"/>
                <w:vertAlign w:val="subscript"/>
              </w:rPr>
              <w:t>3</w:t>
            </w:r>
            <w:r>
              <w:rPr>
                <w:sz w:val="24"/>
                <w:szCs w:val="24"/>
              </w:rPr>
              <w:t>-N</w:t>
            </w:r>
            <w:r>
              <w:rPr>
                <w:rFonts w:hint="eastAsia" w:cs="宋体"/>
                <w:sz w:val="24"/>
                <w:szCs w:val="24"/>
              </w:rPr>
              <w:t>；员工生活污水依托现有化粪池处理后纳管，</w:t>
            </w:r>
            <w:r>
              <w:rPr>
                <w:rFonts w:hint="eastAsia" w:cs="宋体"/>
                <w:color w:val="auto"/>
                <w:sz w:val="24"/>
                <w:szCs w:val="24"/>
              </w:rPr>
              <w:t>进入宿州市城南污水处理厂集中处理，处理达标后排入运粮河。</w:t>
            </w:r>
          </w:p>
          <w:p>
            <w:pPr>
              <w:adjustRightInd w:val="0"/>
              <w:snapToGrid w:val="0"/>
              <w:spacing w:line="360" w:lineRule="auto"/>
              <w:ind w:firstLine="480" w:firstLineChars="200"/>
              <w:rPr>
                <w:b/>
                <w:bCs/>
                <w:color w:val="auto"/>
                <w:sz w:val="24"/>
                <w:szCs w:val="24"/>
              </w:rPr>
            </w:pPr>
            <w:r>
              <w:rPr>
                <w:rFonts w:hint="eastAsia" w:cs="宋体"/>
                <w:color w:val="auto"/>
                <w:sz w:val="24"/>
                <w:szCs w:val="24"/>
              </w:rPr>
              <w:t>根据宿州万千饲料有限公司年产10万吨饲料加工项目验收材料可知，原有项目生活污水经化粪池处理排向宿州市城南污水处理厂，生活污水监测结果符合《污水综合排放标准》（GB8978-1996）三级标准。</w:t>
            </w:r>
          </w:p>
          <w:p>
            <w:pPr>
              <w:adjustRightInd w:val="0"/>
              <w:snapToGrid w:val="0"/>
              <w:spacing w:line="360" w:lineRule="auto"/>
              <w:ind w:firstLine="482" w:firstLineChars="200"/>
              <w:rPr>
                <w:color w:val="auto"/>
                <w:sz w:val="24"/>
                <w:szCs w:val="24"/>
              </w:rPr>
            </w:pPr>
            <w:r>
              <w:rPr>
                <w:b/>
                <w:bCs/>
                <w:color w:val="auto"/>
                <w:sz w:val="24"/>
                <w:szCs w:val="24"/>
              </w:rPr>
              <w:t>3</w:t>
            </w:r>
            <w:r>
              <w:rPr>
                <w:rFonts w:hint="eastAsia" w:cs="宋体"/>
                <w:b/>
                <w:bCs/>
                <w:color w:val="auto"/>
                <w:sz w:val="24"/>
                <w:szCs w:val="24"/>
              </w:rPr>
              <w:t>、噪声</w:t>
            </w:r>
          </w:p>
          <w:p>
            <w:pPr>
              <w:spacing w:line="360" w:lineRule="auto"/>
              <w:ind w:firstLine="480"/>
              <w:rPr>
                <w:color w:val="auto"/>
                <w:sz w:val="24"/>
                <w:szCs w:val="24"/>
              </w:rPr>
            </w:pPr>
            <w:r>
              <w:rPr>
                <w:rFonts w:hint="eastAsia" w:cs="宋体"/>
                <w:color w:val="auto"/>
                <w:sz w:val="24"/>
                <w:szCs w:val="24"/>
              </w:rPr>
              <w:t>原有项目产生的噪声源主要有：</w:t>
            </w:r>
            <w:r>
              <w:rPr>
                <w:rFonts w:hint="eastAsia"/>
                <w:color w:val="auto"/>
                <w:sz w:val="24"/>
                <w:szCs w:val="24"/>
              </w:rPr>
              <w:t>粉碎机、物料输送机、离心风机</w:t>
            </w:r>
            <w:r>
              <w:rPr>
                <w:rFonts w:hint="eastAsia" w:cs="宋体"/>
                <w:color w:val="auto"/>
                <w:sz w:val="24"/>
                <w:szCs w:val="24"/>
              </w:rPr>
              <w:t>等生产设备，噪声值约为70</w:t>
            </w:r>
            <w:r>
              <w:rPr>
                <w:color w:val="auto"/>
                <w:sz w:val="24"/>
                <w:szCs w:val="24"/>
              </w:rPr>
              <w:t>~</w:t>
            </w:r>
            <w:r>
              <w:rPr>
                <w:rFonts w:hint="eastAsia"/>
                <w:color w:val="auto"/>
                <w:sz w:val="24"/>
                <w:szCs w:val="24"/>
              </w:rPr>
              <w:t>105</w:t>
            </w:r>
            <w:r>
              <w:rPr>
                <w:color w:val="auto"/>
                <w:sz w:val="24"/>
                <w:szCs w:val="24"/>
              </w:rPr>
              <w:t>dB</w:t>
            </w:r>
            <w:r>
              <w:rPr>
                <w:rFonts w:hint="eastAsia" w:cs="宋体"/>
                <w:color w:val="auto"/>
                <w:sz w:val="24"/>
                <w:szCs w:val="24"/>
              </w:rPr>
              <w:t>（</w:t>
            </w:r>
            <w:r>
              <w:rPr>
                <w:color w:val="auto"/>
                <w:sz w:val="24"/>
                <w:szCs w:val="24"/>
              </w:rPr>
              <w:t>A</w:t>
            </w:r>
            <w:r>
              <w:rPr>
                <w:rFonts w:hint="eastAsia" w:cs="宋体"/>
                <w:color w:val="auto"/>
                <w:sz w:val="24"/>
                <w:szCs w:val="24"/>
              </w:rPr>
              <w:t>），采取的降噪措施主要为：</w:t>
            </w:r>
          </w:p>
          <w:p>
            <w:pPr>
              <w:spacing w:line="360" w:lineRule="auto"/>
              <w:ind w:firstLine="480" w:firstLineChars="200"/>
              <w:rPr>
                <w:sz w:val="24"/>
                <w:szCs w:val="24"/>
              </w:rPr>
            </w:pPr>
            <w:r>
              <w:rPr>
                <w:rFonts w:hint="eastAsia" w:cs="宋体"/>
                <w:sz w:val="24"/>
                <w:szCs w:val="24"/>
              </w:rPr>
              <w:t>（1）加强设备管理维修，杜绝因设备不正常运行而产生的高噪声，必要时应更新设备。</w:t>
            </w:r>
          </w:p>
          <w:p>
            <w:pPr>
              <w:spacing w:line="360" w:lineRule="auto"/>
              <w:ind w:firstLine="480" w:firstLineChars="200"/>
              <w:rPr>
                <w:sz w:val="24"/>
                <w:szCs w:val="24"/>
              </w:rPr>
            </w:pPr>
            <w:r>
              <w:rPr>
                <w:rFonts w:hint="eastAsia" w:cs="宋体"/>
                <w:sz w:val="24"/>
                <w:szCs w:val="24"/>
              </w:rPr>
              <w:t>（2）车间内设备合理布局，重视总平面布置，生产时尽量减少门窗的开启频率，以降低噪声的传播和干扰。</w:t>
            </w:r>
          </w:p>
          <w:p>
            <w:pPr>
              <w:spacing w:line="360" w:lineRule="auto"/>
              <w:ind w:firstLine="480" w:firstLineChars="200"/>
              <w:rPr>
                <w:sz w:val="24"/>
                <w:szCs w:val="24"/>
              </w:rPr>
            </w:pPr>
            <w:r>
              <w:rPr>
                <w:rFonts w:hint="eastAsia" w:cs="宋体"/>
                <w:sz w:val="24"/>
                <w:szCs w:val="24"/>
              </w:rPr>
              <w:t>（3）对集气装置、排风管道等采取消声减震措施，如管道连接处采用软连接，管道与基础、墙体连接处加装减振垫，进出口处加装消音器，并在墙上进行加固，减少因风机噪声和管道振动引起的低频噪声对周围环境和自身的影响。</w:t>
            </w:r>
          </w:p>
          <w:p>
            <w:pPr>
              <w:adjustRightInd w:val="0"/>
              <w:snapToGrid w:val="0"/>
              <w:spacing w:line="360" w:lineRule="auto"/>
              <w:ind w:firstLine="480" w:firstLineChars="200"/>
              <w:rPr>
                <w:rFonts w:cs="宋体"/>
                <w:color w:val="auto"/>
                <w:sz w:val="24"/>
                <w:szCs w:val="24"/>
              </w:rPr>
            </w:pPr>
            <w:r>
              <w:rPr>
                <w:rFonts w:hint="eastAsia" w:cs="宋体"/>
                <w:color w:val="auto"/>
                <w:sz w:val="24"/>
                <w:szCs w:val="24"/>
              </w:rPr>
              <w:t>根据宿州万千饲料有限公司年产10万吨饲料加工项目验收材料可知，原有项目验收期间厂界噪声昼间最大值53.3dB（A），夜间最大值49.5dB（A）。厂界噪声满足《工业企业厂界环境噪声排放标准》（GB 12348-2008）3类区排放限值要求。</w:t>
            </w:r>
          </w:p>
          <w:p>
            <w:pPr>
              <w:adjustRightInd w:val="0"/>
              <w:snapToGrid w:val="0"/>
              <w:spacing w:line="360" w:lineRule="auto"/>
              <w:ind w:firstLine="482" w:firstLineChars="200"/>
              <w:rPr>
                <w:sz w:val="24"/>
                <w:szCs w:val="24"/>
              </w:rPr>
            </w:pPr>
            <w:r>
              <w:rPr>
                <w:b/>
                <w:bCs/>
                <w:sz w:val="24"/>
                <w:szCs w:val="24"/>
              </w:rPr>
              <w:t>4</w:t>
            </w:r>
            <w:r>
              <w:rPr>
                <w:rFonts w:hint="eastAsia" w:cs="宋体"/>
                <w:b/>
                <w:bCs/>
                <w:sz w:val="24"/>
                <w:szCs w:val="24"/>
              </w:rPr>
              <w:t>、固体废物</w:t>
            </w:r>
          </w:p>
          <w:p>
            <w:pPr>
              <w:spacing w:line="360" w:lineRule="auto"/>
              <w:ind w:firstLine="480"/>
              <w:rPr>
                <w:b/>
                <w:bCs/>
                <w:sz w:val="36"/>
                <w:szCs w:val="36"/>
              </w:rPr>
            </w:pPr>
            <w:r>
              <w:rPr>
                <w:rFonts w:hint="eastAsia" w:cs="宋体"/>
                <w:sz w:val="24"/>
                <w:szCs w:val="24"/>
              </w:rPr>
              <w:t>原有工程营运期产生的固体废物及处置情况如下。</w:t>
            </w:r>
          </w:p>
          <w:p>
            <w:pPr>
              <w:spacing w:line="360" w:lineRule="auto"/>
              <w:ind w:firstLine="480"/>
              <w:jc w:val="center"/>
              <w:rPr>
                <w:b/>
                <w:bCs/>
                <w:sz w:val="24"/>
                <w:szCs w:val="24"/>
              </w:rPr>
            </w:pPr>
            <w:r>
              <w:rPr>
                <w:rFonts w:hint="eastAsia" w:cs="宋体"/>
                <w:b/>
                <w:bCs/>
                <w:sz w:val="24"/>
                <w:szCs w:val="24"/>
              </w:rPr>
              <w:t>表</w:t>
            </w:r>
            <w:r>
              <w:rPr>
                <w:b/>
                <w:bCs/>
                <w:sz w:val="24"/>
                <w:szCs w:val="24"/>
              </w:rPr>
              <w:t>2-1</w:t>
            </w:r>
            <w:r>
              <w:rPr>
                <w:rFonts w:hint="eastAsia"/>
                <w:b/>
                <w:bCs/>
                <w:sz w:val="24"/>
                <w:szCs w:val="24"/>
              </w:rPr>
              <w:t>1</w:t>
            </w:r>
            <w:r>
              <w:rPr>
                <w:b/>
                <w:bCs/>
                <w:sz w:val="24"/>
                <w:szCs w:val="24"/>
              </w:rPr>
              <w:t xml:space="preserve">  </w:t>
            </w:r>
            <w:r>
              <w:rPr>
                <w:rFonts w:hint="eastAsia" w:cs="宋体"/>
                <w:b/>
                <w:bCs/>
                <w:sz w:val="24"/>
                <w:szCs w:val="24"/>
              </w:rPr>
              <w:t>原有工程固体废物产生及处置情况一览表</w:t>
            </w:r>
            <w:r>
              <w:rPr>
                <w:b/>
                <w:bCs/>
                <w:sz w:val="24"/>
                <w:szCs w:val="24"/>
              </w:rPr>
              <w:t xml:space="preserve">  </w:t>
            </w:r>
            <w:r>
              <w:rPr>
                <w:rFonts w:hint="eastAsia" w:cs="宋体"/>
                <w:b/>
                <w:bCs/>
                <w:sz w:val="24"/>
                <w:szCs w:val="24"/>
              </w:rPr>
              <w:t>单位：</w:t>
            </w:r>
            <w:r>
              <w:rPr>
                <w:b/>
                <w:bCs/>
                <w:sz w:val="24"/>
                <w:szCs w:val="24"/>
              </w:rPr>
              <w:t>t/a</w:t>
            </w:r>
          </w:p>
          <w:tbl>
            <w:tblPr>
              <w:tblStyle w:val="23"/>
              <w:tblW w:w="80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1"/>
              <w:gridCol w:w="1361"/>
              <w:gridCol w:w="1320"/>
              <w:gridCol w:w="1655"/>
              <w:gridCol w:w="891"/>
              <w:gridCol w:w="23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 w:hRule="atLeast"/>
                <w:jc w:val="center"/>
              </w:trPr>
              <w:tc>
                <w:tcPr>
                  <w:tcW w:w="441"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序号</w:t>
                  </w:r>
                </w:p>
              </w:tc>
              <w:tc>
                <w:tcPr>
                  <w:tcW w:w="1361"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固废名称</w:t>
                  </w:r>
                </w:p>
              </w:tc>
              <w:tc>
                <w:tcPr>
                  <w:tcW w:w="132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产生工序</w:t>
                  </w:r>
                </w:p>
              </w:tc>
              <w:tc>
                <w:tcPr>
                  <w:tcW w:w="1655"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性质及危废代码</w:t>
                  </w:r>
                </w:p>
              </w:tc>
              <w:tc>
                <w:tcPr>
                  <w:tcW w:w="891"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产生量</w:t>
                  </w:r>
                </w:p>
                <w:p>
                  <w:pPr>
                    <w:jc w:val="center"/>
                  </w:pPr>
                  <w:r>
                    <w:rPr>
                      <w:rFonts w:hint="eastAsia" w:cs="宋体"/>
                    </w:rPr>
                    <w:t>（</w:t>
                  </w:r>
                  <w:r>
                    <w:t>t/a</w:t>
                  </w:r>
                  <w:r>
                    <w:rPr>
                      <w:rFonts w:hint="eastAsia" w:cs="宋体"/>
                    </w:rPr>
                    <w:t>）</w:t>
                  </w:r>
                </w:p>
              </w:tc>
              <w:tc>
                <w:tcPr>
                  <w:tcW w:w="2388"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处置措施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41" w:type="dxa"/>
                  <w:tcBorders>
                    <w:top w:val="single" w:color="auto" w:sz="4" w:space="0"/>
                    <w:left w:val="single" w:color="auto" w:sz="4" w:space="0"/>
                    <w:bottom w:val="single" w:color="auto" w:sz="4" w:space="0"/>
                    <w:right w:val="single" w:color="auto" w:sz="4" w:space="0"/>
                  </w:tcBorders>
                  <w:vAlign w:val="center"/>
                </w:tcPr>
                <w:p>
                  <w:pPr>
                    <w:jc w:val="center"/>
                  </w:pPr>
                  <w:r>
                    <w:t>1</w:t>
                  </w:r>
                </w:p>
              </w:tc>
              <w:tc>
                <w:tcPr>
                  <w:tcW w:w="1361"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生活垃圾</w:t>
                  </w:r>
                </w:p>
              </w:tc>
              <w:tc>
                <w:tcPr>
                  <w:tcW w:w="1320" w:type="dxa"/>
                  <w:tcBorders>
                    <w:top w:val="single" w:color="auto" w:sz="4" w:space="0"/>
                    <w:left w:val="single" w:color="auto" w:sz="4" w:space="0"/>
                    <w:bottom w:val="single" w:color="auto" w:sz="4" w:space="0"/>
                    <w:right w:val="single" w:color="auto" w:sz="4" w:space="0"/>
                  </w:tcBorders>
                  <w:vAlign w:val="center"/>
                </w:tcPr>
                <w:p>
                  <w:pPr>
                    <w:jc w:val="center"/>
                  </w:pPr>
                  <w:r>
                    <w:t>职工生活</w:t>
                  </w:r>
                </w:p>
              </w:tc>
              <w:tc>
                <w:tcPr>
                  <w:tcW w:w="1655"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一般固废</w:t>
                  </w:r>
                </w:p>
              </w:tc>
              <w:tc>
                <w:tcPr>
                  <w:tcW w:w="891"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5.5</w:t>
                  </w:r>
                </w:p>
              </w:tc>
              <w:tc>
                <w:tcPr>
                  <w:tcW w:w="2388"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袋装或桶装分类收集，委托环卫部门统一处理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41" w:type="dxa"/>
                  <w:tcBorders>
                    <w:top w:val="single" w:color="auto" w:sz="4" w:space="0"/>
                    <w:left w:val="single" w:color="auto" w:sz="4" w:space="0"/>
                    <w:bottom w:val="single" w:color="auto" w:sz="4" w:space="0"/>
                    <w:right w:val="single" w:color="auto" w:sz="4" w:space="0"/>
                  </w:tcBorders>
                  <w:vAlign w:val="center"/>
                </w:tcPr>
                <w:p>
                  <w:pPr>
                    <w:jc w:val="center"/>
                  </w:pPr>
                  <w:r>
                    <w:t>2</w:t>
                  </w:r>
                </w:p>
              </w:tc>
              <w:tc>
                <w:tcPr>
                  <w:tcW w:w="1361" w:type="dxa"/>
                  <w:tcBorders>
                    <w:top w:val="single" w:color="auto" w:sz="4" w:space="0"/>
                    <w:left w:val="single" w:color="auto" w:sz="4" w:space="0"/>
                    <w:bottom w:val="single" w:color="auto" w:sz="4" w:space="0"/>
                    <w:right w:val="single" w:color="auto" w:sz="4" w:space="0"/>
                  </w:tcBorders>
                  <w:vAlign w:val="center"/>
                </w:tcPr>
                <w:p>
                  <w:pPr>
                    <w:widowControl/>
                    <w:jc w:val="center"/>
                  </w:pPr>
                  <w:r>
                    <w:rPr>
                      <w:rFonts w:hint="eastAsia"/>
                    </w:rPr>
                    <w:t>废包装材料</w:t>
                  </w:r>
                </w:p>
              </w:tc>
              <w:tc>
                <w:tcPr>
                  <w:tcW w:w="1320" w:type="dxa"/>
                  <w:tcBorders>
                    <w:top w:val="single" w:color="auto" w:sz="4" w:space="0"/>
                    <w:left w:val="single" w:color="auto" w:sz="4" w:space="0"/>
                    <w:bottom w:val="single" w:color="auto" w:sz="4" w:space="0"/>
                    <w:right w:val="single" w:color="auto" w:sz="4" w:space="0"/>
                  </w:tcBorders>
                  <w:vAlign w:val="center"/>
                </w:tcPr>
                <w:p>
                  <w:pPr>
                    <w:widowControl/>
                    <w:jc w:val="center"/>
                  </w:pPr>
                  <w:r>
                    <w:t>原料包装</w:t>
                  </w:r>
                </w:p>
              </w:tc>
              <w:tc>
                <w:tcPr>
                  <w:tcW w:w="1655"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一般工业固废</w:t>
                  </w:r>
                </w:p>
              </w:tc>
              <w:tc>
                <w:tcPr>
                  <w:tcW w:w="891"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10</w:t>
                  </w:r>
                </w:p>
              </w:tc>
              <w:tc>
                <w:tcPr>
                  <w:tcW w:w="2388" w:type="dxa"/>
                  <w:tcBorders>
                    <w:top w:val="single" w:color="auto" w:sz="4" w:space="0"/>
                    <w:left w:val="single" w:color="auto" w:sz="4" w:space="0"/>
                    <w:bottom w:val="single" w:color="auto" w:sz="4" w:space="0"/>
                    <w:right w:val="single" w:color="auto" w:sz="4" w:space="0"/>
                  </w:tcBorders>
                  <w:vAlign w:val="center"/>
                </w:tcPr>
                <w:p>
                  <w:pPr>
                    <w:jc w:val="center"/>
                  </w:pPr>
                  <w:r>
                    <w:t>收集后外售综合利用</w:t>
                  </w:r>
                </w:p>
              </w:tc>
            </w:tr>
          </w:tbl>
          <w:p>
            <w:pPr>
              <w:adjustRightInd w:val="0"/>
              <w:snapToGrid w:val="0"/>
              <w:spacing w:line="360" w:lineRule="auto"/>
              <w:ind w:firstLine="482" w:firstLineChars="200"/>
              <w:rPr>
                <w:b/>
                <w:bCs/>
                <w:sz w:val="24"/>
                <w:szCs w:val="24"/>
              </w:rPr>
            </w:pPr>
            <w:r>
              <w:rPr>
                <w:rFonts w:hint="eastAsia" w:ascii="宋体" w:hAnsi="宋体" w:cs="宋体"/>
                <w:b/>
                <w:bCs/>
                <w:sz w:val="24"/>
                <w:szCs w:val="24"/>
              </w:rPr>
              <w:t>四、原有污染物产排情况汇总</w:t>
            </w:r>
          </w:p>
          <w:p>
            <w:pPr>
              <w:adjustRightInd w:val="0"/>
              <w:snapToGrid w:val="0"/>
              <w:spacing w:line="360" w:lineRule="auto"/>
              <w:jc w:val="center"/>
              <w:rPr>
                <w:b/>
                <w:bCs/>
                <w:sz w:val="24"/>
                <w:szCs w:val="24"/>
              </w:rPr>
            </w:pPr>
            <w:r>
              <w:rPr>
                <w:rFonts w:hint="eastAsia" w:cs="宋体"/>
                <w:b/>
                <w:bCs/>
                <w:sz w:val="24"/>
                <w:szCs w:val="24"/>
              </w:rPr>
              <w:t>表</w:t>
            </w:r>
            <w:r>
              <w:rPr>
                <w:b/>
                <w:bCs/>
                <w:sz w:val="24"/>
                <w:szCs w:val="24"/>
              </w:rPr>
              <w:t>2-</w:t>
            </w:r>
            <w:r>
              <w:rPr>
                <w:rFonts w:hint="eastAsia"/>
                <w:b/>
                <w:bCs/>
                <w:sz w:val="24"/>
                <w:szCs w:val="24"/>
              </w:rPr>
              <w:t>12</w:t>
            </w:r>
            <w:r>
              <w:rPr>
                <w:rFonts w:hint="eastAsia" w:cs="宋体"/>
                <w:b/>
                <w:bCs/>
                <w:sz w:val="24"/>
                <w:szCs w:val="24"/>
              </w:rPr>
              <w:t>原有项目污染物产排情况一览表单位：</w:t>
            </w:r>
            <w:r>
              <w:rPr>
                <w:b/>
                <w:bCs/>
                <w:sz w:val="24"/>
                <w:szCs w:val="24"/>
              </w:rPr>
              <w:t>t/a</w:t>
            </w:r>
          </w:p>
          <w:tbl>
            <w:tblPr>
              <w:tblStyle w:val="23"/>
              <w:tblW w:w="80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7"/>
              <w:gridCol w:w="1012"/>
              <w:gridCol w:w="1013"/>
              <w:gridCol w:w="885"/>
              <w:gridCol w:w="2865"/>
              <w:gridCol w:w="1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pPr>
                  <w:r>
                    <w:rPr>
                      <w:rFonts w:hint="eastAsia" w:cs="宋体"/>
                    </w:rPr>
                    <w:t>污染类型</w:t>
                  </w:r>
                </w:p>
              </w:tc>
              <w:tc>
                <w:tcPr>
                  <w:tcW w:w="202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pPr>
                  <w:r>
                    <w:rPr>
                      <w:rFonts w:hint="eastAsia" w:cs="宋体"/>
                    </w:rPr>
                    <w:t>污染源</w:t>
                  </w:r>
                </w:p>
              </w:tc>
              <w:tc>
                <w:tcPr>
                  <w:tcW w:w="88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pPr>
                  <w:r>
                    <w:rPr>
                      <w:rFonts w:hint="eastAsia" w:cs="宋体"/>
                    </w:rPr>
                    <w:t>产生量</w:t>
                  </w:r>
                </w:p>
                <w:p>
                  <w:pPr>
                    <w:pStyle w:val="30"/>
                    <w:jc w:val="center"/>
                    <w:rPr>
                      <w:rFonts w:ascii="Times New Roman" w:hAnsi="Times New Roman" w:cs="Times New Roman"/>
                      <w:color w:val="auto"/>
                    </w:rPr>
                  </w:pPr>
                  <w:r>
                    <w:rPr>
                      <w:rFonts w:hint="eastAsia" w:ascii="Times New Roman" w:hAnsi="Times New Roman"/>
                      <w:color w:val="auto"/>
                    </w:rPr>
                    <w:t>（</w:t>
                  </w:r>
                  <w:r>
                    <w:rPr>
                      <w:rFonts w:ascii="Times New Roman" w:hAnsi="Times New Roman" w:cs="Times New Roman"/>
                      <w:color w:val="auto"/>
                    </w:rPr>
                    <w:t>t/a</w:t>
                  </w:r>
                  <w:r>
                    <w:rPr>
                      <w:rFonts w:hint="eastAsia" w:ascii="Times New Roman" w:hAnsi="Times New Roman"/>
                      <w:color w:val="auto"/>
                    </w:rPr>
                    <w:t>）</w:t>
                  </w:r>
                </w:p>
              </w:tc>
              <w:tc>
                <w:tcPr>
                  <w:tcW w:w="286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pPr>
                  <w:r>
                    <w:rPr>
                      <w:rFonts w:hint="eastAsia" w:cs="宋体"/>
                    </w:rPr>
                    <w:t>处置措施</w:t>
                  </w:r>
                </w:p>
              </w:tc>
              <w:tc>
                <w:tcPr>
                  <w:tcW w:w="157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pPr>
                  <w:r>
                    <w:rPr>
                      <w:rFonts w:hint="eastAsia" w:cs="宋体"/>
                    </w:rPr>
                    <w:t>排放量（</w:t>
                  </w:r>
                  <w:r>
                    <w:t>t/a</w:t>
                  </w:r>
                  <w:r>
                    <w:rPr>
                      <w:rFonts w:hint="eastAsia"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7"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pPr>
                  <w:r>
                    <w:rPr>
                      <w:rFonts w:hint="eastAsia" w:cs="宋体"/>
                    </w:rPr>
                    <w:t>废气</w:t>
                  </w:r>
                </w:p>
              </w:tc>
              <w:tc>
                <w:tcPr>
                  <w:tcW w:w="1012" w:type="dxa"/>
                  <w:vMerge w:val="restart"/>
                  <w:tcBorders>
                    <w:top w:val="single" w:color="auto" w:sz="4" w:space="0"/>
                    <w:left w:val="single" w:color="auto" w:sz="4" w:space="0"/>
                    <w:right w:val="single" w:color="auto" w:sz="4" w:space="0"/>
                  </w:tcBorders>
                  <w:vAlign w:val="center"/>
                </w:tcPr>
                <w:p>
                  <w:pPr>
                    <w:adjustRightInd w:val="0"/>
                    <w:snapToGrid w:val="0"/>
                    <w:jc w:val="center"/>
                    <w:rPr>
                      <w:color w:val="auto"/>
                    </w:rPr>
                  </w:pPr>
                  <w:r>
                    <w:rPr>
                      <w:rFonts w:hint="eastAsia"/>
                      <w:color w:val="auto"/>
                    </w:rPr>
                    <w:t>燃气锅炉</w:t>
                  </w:r>
                </w:p>
              </w:tc>
              <w:tc>
                <w:tcPr>
                  <w:tcW w:w="1013" w:type="dxa"/>
                  <w:tcBorders>
                    <w:top w:val="single" w:color="auto" w:sz="4" w:space="0"/>
                    <w:left w:val="single" w:color="auto" w:sz="4" w:space="0"/>
                    <w:right w:val="single" w:color="auto" w:sz="4" w:space="0"/>
                  </w:tcBorders>
                  <w:vAlign w:val="center"/>
                </w:tcPr>
                <w:p>
                  <w:pPr>
                    <w:widowControl/>
                    <w:ind w:left="-84" w:leftChars="-40" w:right="-84" w:rightChars="-40"/>
                    <w:jc w:val="center"/>
                    <w:textAlignment w:val="center"/>
                    <w:rPr>
                      <w:color w:val="auto"/>
                    </w:rPr>
                  </w:pPr>
                  <w:r>
                    <w:rPr>
                      <w:rFonts w:hint="eastAsia"/>
                      <w:color w:val="auto"/>
                    </w:rPr>
                    <w:t>烟尘</w:t>
                  </w:r>
                </w:p>
              </w:tc>
              <w:tc>
                <w:tcPr>
                  <w:tcW w:w="885" w:type="dxa"/>
                  <w:tcBorders>
                    <w:top w:val="single" w:color="auto" w:sz="4" w:space="0"/>
                    <w:left w:val="single" w:color="auto" w:sz="4" w:space="0"/>
                    <w:right w:val="single" w:color="auto" w:sz="4" w:space="0"/>
                  </w:tcBorders>
                  <w:vAlign w:val="center"/>
                </w:tcPr>
                <w:p>
                  <w:pPr>
                    <w:widowControl/>
                    <w:ind w:left="-84" w:leftChars="-40" w:right="-84" w:rightChars="-40"/>
                    <w:jc w:val="center"/>
                    <w:textAlignment w:val="center"/>
                    <w:rPr>
                      <w:rFonts w:hint="default" w:eastAsia="宋体"/>
                      <w:color w:val="auto"/>
                      <w:lang w:val="en-US" w:eastAsia="zh-CN"/>
                    </w:rPr>
                  </w:pPr>
                  <w:r>
                    <w:rPr>
                      <w:rFonts w:hint="eastAsia"/>
                      <w:color w:val="auto"/>
                      <w:lang w:val="en-US" w:eastAsia="zh-CN"/>
                    </w:rPr>
                    <w:t>0.0261</w:t>
                  </w:r>
                </w:p>
              </w:tc>
              <w:tc>
                <w:tcPr>
                  <w:tcW w:w="2865" w:type="dxa"/>
                  <w:vMerge w:val="restart"/>
                  <w:tcBorders>
                    <w:top w:val="single" w:color="auto" w:sz="4" w:space="0"/>
                    <w:left w:val="single" w:color="auto" w:sz="4" w:space="0"/>
                    <w:right w:val="single" w:color="auto" w:sz="4" w:space="0"/>
                  </w:tcBorders>
                  <w:vAlign w:val="center"/>
                </w:tcPr>
                <w:p>
                  <w:pPr>
                    <w:pStyle w:val="67"/>
                    <w:ind w:firstLine="0"/>
                    <w:jc w:val="center"/>
                    <w:rPr>
                      <w:rFonts w:ascii="Times New Roman" w:cs="Times New Roman"/>
                      <w:color w:val="auto"/>
                      <w:sz w:val="21"/>
                      <w:szCs w:val="21"/>
                    </w:rPr>
                  </w:pPr>
                  <w:r>
                    <w:rPr>
                      <w:rFonts w:hint="eastAsia" w:ascii="Times New Roman" w:cs="Times New Roman"/>
                      <w:color w:val="auto"/>
                      <w:sz w:val="21"/>
                      <w:szCs w:val="21"/>
                    </w:rPr>
                    <w:t>直接排放</w:t>
                  </w:r>
                </w:p>
              </w:tc>
              <w:tc>
                <w:tcPr>
                  <w:tcW w:w="157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eastAsia="宋体"/>
                      <w:color w:val="auto"/>
                      <w:lang w:val="en-US" w:eastAsia="zh-CN"/>
                    </w:rPr>
                  </w:pPr>
                  <w:r>
                    <w:rPr>
                      <w:rFonts w:hint="eastAsia"/>
                      <w:color w:val="auto"/>
                      <w:lang w:val="en-US" w:eastAsia="zh-CN"/>
                    </w:rPr>
                    <w:t>0.0261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707" w:type="dxa"/>
                  <w:vMerge w:val="continue"/>
                  <w:tcBorders>
                    <w:left w:val="single" w:color="auto" w:sz="4" w:space="0"/>
                    <w:right w:val="single" w:color="auto" w:sz="4" w:space="0"/>
                  </w:tcBorders>
                  <w:vAlign w:val="center"/>
                </w:tcPr>
                <w:p>
                  <w:pPr>
                    <w:adjustRightInd w:val="0"/>
                    <w:snapToGrid w:val="0"/>
                    <w:jc w:val="center"/>
                    <w:rPr>
                      <w:rFonts w:cs="宋体"/>
                    </w:rPr>
                  </w:pPr>
                </w:p>
              </w:tc>
              <w:tc>
                <w:tcPr>
                  <w:tcW w:w="1012" w:type="dxa"/>
                  <w:vMerge w:val="continue"/>
                  <w:tcBorders>
                    <w:left w:val="single" w:color="auto" w:sz="4" w:space="0"/>
                    <w:right w:val="single" w:color="auto" w:sz="4" w:space="0"/>
                  </w:tcBorders>
                  <w:vAlign w:val="center"/>
                </w:tcPr>
                <w:p>
                  <w:pPr>
                    <w:adjustRightInd w:val="0"/>
                    <w:snapToGrid w:val="0"/>
                    <w:jc w:val="center"/>
                    <w:rPr>
                      <w:color w:val="auto"/>
                    </w:rPr>
                  </w:pPr>
                </w:p>
              </w:tc>
              <w:tc>
                <w:tcPr>
                  <w:tcW w:w="1013" w:type="dxa"/>
                  <w:tcBorders>
                    <w:left w:val="single" w:color="auto" w:sz="4" w:space="0"/>
                    <w:bottom w:val="single" w:color="auto" w:sz="4" w:space="0"/>
                    <w:right w:val="single" w:color="auto" w:sz="4" w:space="0"/>
                  </w:tcBorders>
                  <w:vAlign w:val="center"/>
                </w:tcPr>
                <w:p>
                  <w:pPr>
                    <w:widowControl/>
                    <w:ind w:left="-84" w:leftChars="-40" w:right="-84" w:rightChars="-40"/>
                    <w:jc w:val="center"/>
                    <w:textAlignment w:val="center"/>
                    <w:rPr>
                      <w:color w:val="auto"/>
                    </w:rPr>
                  </w:pPr>
                  <w:r>
                    <w:rPr>
                      <w:rFonts w:hint="eastAsia"/>
                      <w:color w:val="auto"/>
                    </w:rPr>
                    <w:t>SO</w:t>
                  </w:r>
                  <w:r>
                    <w:rPr>
                      <w:rFonts w:hint="eastAsia"/>
                      <w:color w:val="auto"/>
                      <w:vertAlign w:val="subscript"/>
                    </w:rPr>
                    <w:t>2</w:t>
                  </w:r>
                </w:p>
              </w:tc>
              <w:tc>
                <w:tcPr>
                  <w:tcW w:w="885" w:type="dxa"/>
                  <w:tcBorders>
                    <w:top w:val="single" w:color="auto" w:sz="4" w:space="0"/>
                    <w:left w:val="single" w:color="auto" w:sz="4" w:space="0"/>
                    <w:right w:val="single" w:color="auto" w:sz="4" w:space="0"/>
                  </w:tcBorders>
                  <w:vAlign w:val="center"/>
                </w:tcPr>
                <w:p>
                  <w:pPr>
                    <w:widowControl/>
                    <w:ind w:left="-84" w:leftChars="-40" w:right="-84" w:rightChars="-40"/>
                    <w:jc w:val="center"/>
                    <w:textAlignment w:val="center"/>
                    <w:rPr>
                      <w:rFonts w:hint="default" w:eastAsia="宋体"/>
                      <w:color w:val="auto"/>
                      <w:lang w:val="en-US" w:eastAsia="zh-CN"/>
                    </w:rPr>
                  </w:pPr>
                  <w:r>
                    <w:rPr>
                      <w:rFonts w:hint="eastAsia"/>
                      <w:color w:val="auto"/>
                      <w:lang w:val="en-US" w:eastAsia="zh-CN"/>
                    </w:rPr>
                    <w:t>0.0224</w:t>
                  </w:r>
                </w:p>
              </w:tc>
              <w:tc>
                <w:tcPr>
                  <w:tcW w:w="2865" w:type="dxa"/>
                  <w:vMerge w:val="continue"/>
                  <w:tcBorders>
                    <w:left w:val="single" w:color="auto" w:sz="4" w:space="0"/>
                    <w:right w:val="single" w:color="auto" w:sz="4" w:space="0"/>
                  </w:tcBorders>
                  <w:vAlign w:val="center"/>
                </w:tcPr>
                <w:p>
                  <w:pPr>
                    <w:pStyle w:val="67"/>
                    <w:ind w:firstLine="0"/>
                    <w:jc w:val="center"/>
                    <w:rPr>
                      <w:rFonts w:ascii="Times New Roman" w:cs="Times New Roman"/>
                      <w:color w:val="auto"/>
                      <w:sz w:val="21"/>
                      <w:szCs w:val="21"/>
                    </w:rPr>
                  </w:pPr>
                </w:p>
              </w:tc>
              <w:tc>
                <w:tcPr>
                  <w:tcW w:w="157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eastAsia="宋体"/>
                      <w:color w:val="auto"/>
                      <w:lang w:val="en-US" w:eastAsia="zh-CN"/>
                    </w:rPr>
                  </w:pPr>
                  <w:r>
                    <w:rPr>
                      <w:rFonts w:hint="eastAsia"/>
                      <w:color w:val="auto"/>
                      <w:lang w:val="en-US" w:eastAsia="zh-CN"/>
                    </w:rPr>
                    <w:t>0.0224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707" w:type="dxa"/>
                  <w:vMerge w:val="continue"/>
                  <w:tcBorders>
                    <w:left w:val="single" w:color="auto" w:sz="4" w:space="0"/>
                    <w:right w:val="single" w:color="auto" w:sz="4" w:space="0"/>
                  </w:tcBorders>
                  <w:vAlign w:val="center"/>
                </w:tcPr>
                <w:p>
                  <w:pPr>
                    <w:adjustRightInd w:val="0"/>
                    <w:snapToGrid w:val="0"/>
                    <w:jc w:val="center"/>
                    <w:rPr>
                      <w:rFonts w:cs="宋体"/>
                    </w:rPr>
                  </w:pPr>
                </w:p>
              </w:tc>
              <w:tc>
                <w:tcPr>
                  <w:tcW w:w="1012" w:type="dxa"/>
                  <w:vMerge w:val="continue"/>
                  <w:tcBorders>
                    <w:left w:val="single" w:color="auto" w:sz="4" w:space="0"/>
                    <w:bottom w:val="single" w:color="auto" w:sz="4" w:space="0"/>
                    <w:right w:val="single" w:color="auto" w:sz="4" w:space="0"/>
                  </w:tcBorders>
                  <w:vAlign w:val="center"/>
                </w:tcPr>
                <w:p>
                  <w:pPr>
                    <w:adjustRightInd w:val="0"/>
                    <w:snapToGrid w:val="0"/>
                    <w:jc w:val="center"/>
                    <w:rPr>
                      <w:color w:val="auto"/>
                    </w:rPr>
                  </w:pPr>
                </w:p>
              </w:tc>
              <w:tc>
                <w:tcPr>
                  <w:tcW w:w="1013" w:type="dxa"/>
                  <w:tcBorders>
                    <w:left w:val="single" w:color="auto" w:sz="4" w:space="0"/>
                    <w:bottom w:val="single" w:color="auto" w:sz="4" w:space="0"/>
                    <w:right w:val="single" w:color="auto" w:sz="4" w:space="0"/>
                  </w:tcBorders>
                  <w:vAlign w:val="center"/>
                </w:tcPr>
                <w:p>
                  <w:pPr>
                    <w:widowControl/>
                    <w:ind w:left="-84" w:leftChars="-40" w:right="-84" w:rightChars="-40"/>
                    <w:jc w:val="center"/>
                    <w:textAlignment w:val="center"/>
                    <w:rPr>
                      <w:color w:val="auto"/>
                    </w:rPr>
                  </w:pPr>
                  <w:r>
                    <w:rPr>
                      <w:rFonts w:hint="eastAsia"/>
                      <w:color w:val="auto"/>
                    </w:rPr>
                    <w:t>NO</w:t>
                  </w:r>
                  <w:r>
                    <w:rPr>
                      <w:rFonts w:hint="eastAsia"/>
                      <w:color w:val="auto"/>
                      <w:vertAlign w:val="subscript"/>
                    </w:rPr>
                    <w:t>X</w:t>
                  </w:r>
                </w:p>
              </w:tc>
              <w:tc>
                <w:tcPr>
                  <w:tcW w:w="885" w:type="dxa"/>
                  <w:tcBorders>
                    <w:top w:val="single" w:color="auto" w:sz="4" w:space="0"/>
                    <w:left w:val="single" w:color="auto" w:sz="4" w:space="0"/>
                    <w:right w:val="single" w:color="auto" w:sz="4" w:space="0"/>
                  </w:tcBorders>
                  <w:vAlign w:val="center"/>
                </w:tcPr>
                <w:p>
                  <w:pPr>
                    <w:widowControl/>
                    <w:ind w:left="-84" w:leftChars="-40" w:right="-84" w:rightChars="-40"/>
                    <w:jc w:val="center"/>
                    <w:textAlignment w:val="center"/>
                    <w:rPr>
                      <w:rFonts w:hint="default" w:eastAsia="宋体"/>
                      <w:color w:val="auto"/>
                      <w:lang w:val="en-US" w:eastAsia="zh-CN"/>
                    </w:rPr>
                  </w:pPr>
                  <w:r>
                    <w:rPr>
                      <w:rFonts w:hint="eastAsia"/>
                      <w:color w:val="auto"/>
                      <w:lang w:val="en-US" w:eastAsia="zh-CN"/>
                    </w:rPr>
                    <w:t>0.3493</w:t>
                  </w:r>
                </w:p>
              </w:tc>
              <w:tc>
                <w:tcPr>
                  <w:tcW w:w="2865" w:type="dxa"/>
                  <w:vMerge w:val="continue"/>
                  <w:tcBorders>
                    <w:left w:val="single" w:color="auto" w:sz="4" w:space="0"/>
                    <w:bottom w:val="single" w:color="auto" w:sz="4" w:space="0"/>
                    <w:right w:val="single" w:color="auto" w:sz="4" w:space="0"/>
                  </w:tcBorders>
                  <w:vAlign w:val="center"/>
                </w:tcPr>
                <w:p>
                  <w:pPr>
                    <w:pStyle w:val="67"/>
                    <w:ind w:firstLine="0"/>
                    <w:jc w:val="center"/>
                    <w:rPr>
                      <w:rFonts w:ascii="Times New Roman" w:cs="Times New Roman"/>
                      <w:color w:val="auto"/>
                      <w:sz w:val="21"/>
                      <w:szCs w:val="21"/>
                    </w:rPr>
                  </w:pPr>
                </w:p>
              </w:tc>
              <w:tc>
                <w:tcPr>
                  <w:tcW w:w="157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eastAsia="宋体"/>
                      <w:color w:val="auto"/>
                      <w:lang w:val="en-US" w:eastAsia="zh-CN"/>
                    </w:rPr>
                  </w:pPr>
                  <w:r>
                    <w:rPr>
                      <w:rFonts w:hint="eastAsia"/>
                      <w:color w:val="auto"/>
                      <w:lang w:val="en-US" w:eastAsia="zh-CN"/>
                    </w:rPr>
                    <w:t>0.3493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7"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pPr>
                </w:p>
              </w:tc>
              <w:tc>
                <w:tcPr>
                  <w:tcW w:w="101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cs="宋体"/>
                      <w:color w:val="auto"/>
                    </w:rPr>
                  </w:pPr>
                  <w:r>
                    <w:rPr>
                      <w:rFonts w:hint="eastAsia" w:cs="宋体"/>
                      <w:color w:val="auto"/>
                    </w:rPr>
                    <w:t>生产车间生产过程</w:t>
                  </w:r>
                </w:p>
              </w:tc>
              <w:tc>
                <w:tcPr>
                  <w:tcW w:w="101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cs="宋体"/>
                      <w:color w:val="auto"/>
                    </w:rPr>
                  </w:pPr>
                  <w:r>
                    <w:rPr>
                      <w:rFonts w:hint="eastAsia" w:cs="宋体"/>
                      <w:color w:val="auto"/>
                    </w:rPr>
                    <w:t>粉尘</w:t>
                  </w:r>
                </w:p>
              </w:tc>
              <w:tc>
                <w:tcPr>
                  <w:tcW w:w="885" w:type="dxa"/>
                  <w:tcBorders>
                    <w:top w:val="single" w:color="auto" w:sz="4" w:space="0"/>
                    <w:left w:val="single" w:color="auto" w:sz="4" w:space="0"/>
                    <w:bottom w:val="single" w:color="auto" w:sz="4" w:space="0"/>
                    <w:right w:val="single" w:color="auto" w:sz="4" w:space="0"/>
                  </w:tcBorders>
                  <w:vAlign w:val="center"/>
                </w:tcPr>
                <w:p>
                  <w:pPr>
                    <w:jc w:val="center"/>
                    <w:rPr>
                      <w:rFonts w:hint="default" w:eastAsia="宋体"/>
                      <w:color w:val="auto"/>
                      <w:lang w:val="en-US" w:eastAsia="zh-CN"/>
                    </w:rPr>
                  </w:pPr>
                  <w:r>
                    <w:rPr>
                      <w:rFonts w:hint="eastAsia"/>
                      <w:color w:val="auto"/>
                    </w:rPr>
                    <w:t>0.</w:t>
                  </w:r>
                  <w:r>
                    <w:rPr>
                      <w:rFonts w:hint="eastAsia"/>
                      <w:color w:val="auto"/>
                      <w:lang w:val="en-US" w:eastAsia="zh-CN"/>
                    </w:rPr>
                    <w:t>041</w:t>
                  </w:r>
                </w:p>
              </w:tc>
              <w:tc>
                <w:tcPr>
                  <w:tcW w:w="2865" w:type="dxa"/>
                  <w:tcBorders>
                    <w:top w:val="single" w:color="auto" w:sz="4" w:space="0"/>
                    <w:left w:val="single" w:color="auto" w:sz="4" w:space="0"/>
                    <w:bottom w:val="single" w:color="auto" w:sz="4" w:space="0"/>
                    <w:right w:val="single" w:color="auto" w:sz="4" w:space="0"/>
                  </w:tcBorders>
                  <w:vAlign w:val="center"/>
                </w:tcPr>
                <w:p>
                  <w:pPr>
                    <w:ind w:left="-84" w:leftChars="-40" w:right="-84" w:rightChars="-40"/>
                    <w:jc w:val="center"/>
                    <w:rPr>
                      <w:color w:val="auto"/>
                    </w:rPr>
                  </w:pPr>
                  <w:r>
                    <w:rPr>
                      <w:rFonts w:hint="eastAsia"/>
                      <w:color w:val="auto"/>
                    </w:rPr>
                    <w:t>袋式脉冲除尘器</w:t>
                  </w:r>
                </w:p>
              </w:tc>
              <w:tc>
                <w:tcPr>
                  <w:tcW w:w="157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eastAsia="宋体"/>
                      <w:color w:val="auto"/>
                      <w:lang w:val="en-US" w:eastAsia="zh-CN"/>
                    </w:rPr>
                  </w:pPr>
                  <w:r>
                    <w:rPr>
                      <w:rFonts w:hint="eastAsia"/>
                      <w:color w:val="auto"/>
                      <w:lang w:val="en-US" w:eastAsia="zh-CN"/>
                    </w:rPr>
                    <w:t>0.041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 w:hRule="atLeast"/>
                <w:jc w:val="center"/>
              </w:trPr>
              <w:tc>
                <w:tcPr>
                  <w:tcW w:w="707" w:type="dxa"/>
                  <w:vMerge w:val="restart"/>
                  <w:tcBorders>
                    <w:top w:val="single" w:color="auto" w:sz="4" w:space="0"/>
                    <w:left w:val="single" w:color="auto" w:sz="4" w:space="0"/>
                    <w:right w:val="single" w:color="auto" w:sz="4" w:space="0"/>
                  </w:tcBorders>
                  <w:vAlign w:val="center"/>
                </w:tcPr>
                <w:p>
                  <w:pPr>
                    <w:adjustRightInd w:val="0"/>
                    <w:snapToGrid w:val="0"/>
                    <w:jc w:val="center"/>
                  </w:pPr>
                  <w:r>
                    <w:rPr>
                      <w:rFonts w:hint="eastAsia" w:cs="宋体"/>
                    </w:rPr>
                    <w:t>废水</w:t>
                  </w:r>
                </w:p>
              </w:tc>
              <w:tc>
                <w:tcPr>
                  <w:tcW w:w="1012" w:type="dxa"/>
                  <w:vMerge w:val="restart"/>
                  <w:tcBorders>
                    <w:top w:val="single" w:color="auto" w:sz="4" w:space="0"/>
                    <w:left w:val="single" w:color="auto" w:sz="4" w:space="0"/>
                    <w:right w:val="single" w:color="auto" w:sz="4" w:space="0"/>
                  </w:tcBorders>
                  <w:vAlign w:val="center"/>
                </w:tcPr>
                <w:p>
                  <w:pPr>
                    <w:adjustRightInd w:val="0"/>
                    <w:snapToGrid w:val="0"/>
                    <w:jc w:val="center"/>
                    <w:rPr>
                      <w:color w:val="auto"/>
                    </w:rPr>
                  </w:pPr>
                  <w:r>
                    <w:rPr>
                      <w:rFonts w:hint="eastAsia" w:cs="宋体"/>
                      <w:color w:val="auto"/>
                    </w:rPr>
                    <w:t>生活污水</w:t>
                  </w:r>
                </w:p>
              </w:tc>
              <w:tc>
                <w:tcPr>
                  <w:tcW w:w="101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s="宋体"/>
                      <w:color w:val="auto"/>
                      <w:sz w:val="21"/>
                      <w:szCs w:val="21"/>
                    </w:rPr>
                  </w:pPr>
                  <w:r>
                    <w:rPr>
                      <w:color w:val="auto"/>
                      <w:kern w:val="0"/>
                      <w:sz w:val="21"/>
                      <w:szCs w:val="21"/>
                    </w:rPr>
                    <w:t>水量</w:t>
                  </w:r>
                  <w:r>
                    <w:rPr>
                      <w:color w:val="auto"/>
                      <w:kern w:val="0"/>
                      <w:sz w:val="21"/>
                      <w:szCs w:val="21"/>
                      <w:lang w:eastAsia="en-US"/>
                    </w:rPr>
                    <w:t>(</w:t>
                  </w:r>
                  <w:r>
                    <w:rPr>
                      <w:color w:val="auto"/>
                      <w:kern w:val="0"/>
                      <w:sz w:val="21"/>
                      <w:szCs w:val="21"/>
                    </w:rPr>
                    <w:t>t</w:t>
                  </w:r>
                  <w:r>
                    <w:rPr>
                      <w:color w:val="auto"/>
                      <w:kern w:val="0"/>
                      <w:sz w:val="21"/>
                      <w:szCs w:val="21"/>
                      <w:lang w:eastAsia="en-US"/>
                    </w:rPr>
                    <w:t>/a)</w:t>
                  </w:r>
                </w:p>
              </w:tc>
              <w:tc>
                <w:tcPr>
                  <w:tcW w:w="88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eastAsia="宋体"/>
                      <w:color w:val="auto"/>
                      <w:lang w:val="en-US" w:eastAsia="zh-CN"/>
                    </w:rPr>
                  </w:pPr>
                  <w:r>
                    <w:rPr>
                      <w:rFonts w:hint="eastAsia"/>
                      <w:color w:val="auto"/>
                      <w:lang w:val="en-US" w:eastAsia="zh-CN"/>
                    </w:rPr>
                    <w:t>1752</w:t>
                  </w:r>
                </w:p>
              </w:tc>
              <w:tc>
                <w:tcPr>
                  <w:tcW w:w="2865" w:type="dxa"/>
                  <w:vMerge w:val="restart"/>
                  <w:tcBorders>
                    <w:top w:val="single" w:color="auto" w:sz="4" w:space="0"/>
                    <w:left w:val="single" w:color="auto" w:sz="4" w:space="0"/>
                    <w:right w:val="single" w:color="auto" w:sz="4" w:space="0"/>
                  </w:tcBorders>
                  <w:vAlign w:val="center"/>
                </w:tcPr>
                <w:p>
                  <w:pPr>
                    <w:adjustRightInd w:val="0"/>
                    <w:snapToGrid w:val="0"/>
                    <w:jc w:val="center"/>
                    <w:rPr>
                      <w:color w:val="auto"/>
                    </w:rPr>
                  </w:pPr>
                  <w:r>
                    <w:rPr>
                      <w:rFonts w:hint="eastAsia" w:cs="宋体"/>
                      <w:color w:val="auto"/>
                    </w:rPr>
                    <w:t>生活污水依托现有化粪池处理后纳管，进入宿州市城南污水处理厂集中处理，达标后排入运粮河</w:t>
                  </w:r>
                </w:p>
              </w:tc>
              <w:tc>
                <w:tcPr>
                  <w:tcW w:w="1575" w:type="dxa"/>
                  <w:tcBorders>
                    <w:top w:val="single" w:color="auto" w:sz="4" w:space="0"/>
                    <w:left w:val="single" w:color="auto" w:sz="4" w:space="0"/>
                    <w:right w:val="single" w:color="auto" w:sz="4" w:space="0"/>
                  </w:tcBorders>
                  <w:vAlign w:val="center"/>
                </w:tcPr>
                <w:p>
                  <w:pPr>
                    <w:adjustRightInd w:val="0"/>
                    <w:snapToGrid w:val="0"/>
                    <w:jc w:val="center"/>
                    <w:rPr>
                      <w:rFonts w:hint="default" w:eastAsia="宋体"/>
                      <w:color w:val="auto"/>
                      <w:lang w:val="en-US" w:eastAsia="zh-CN"/>
                    </w:rPr>
                  </w:pPr>
                  <w:r>
                    <w:rPr>
                      <w:rFonts w:hint="eastAsia"/>
                      <w:color w:val="auto"/>
                      <w:lang w:val="en-US" w:eastAsia="zh-CN"/>
                    </w:rPr>
                    <w:t>1752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 w:hRule="atLeast"/>
                <w:jc w:val="center"/>
              </w:trPr>
              <w:tc>
                <w:tcPr>
                  <w:tcW w:w="707" w:type="dxa"/>
                  <w:vMerge w:val="continue"/>
                  <w:tcBorders>
                    <w:left w:val="single" w:color="auto" w:sz="4" w:space="0"/>
                    <w:right w:val="single" w:color="auto" w:sz="4" w:space="0"/>
                  </w:tcBorders>
                  <w:vAlign w:val="center"/>
                </w:tcPr>
                <w:p>
                  <w:pPr>
                    <w:adjustRightInd w:val="0"/>
                    <w:snapToGrid w:val="0"/>
                    <w:jc w:val="center"/>
                  </w:pPr>
                </w:p>
              </w:tc>
              <w:tc>
                <w:tcPr>
                  <w:tcW w:w="1012" w:type="dxa"/>
                  <w:vMerge w:val="continue"/>
                  <w:tcBorders>
                    <w:left w:val="single" w:color="auto" w:sz="4" w:space="0"/>
                    <w:right w:val="single" w:color="auto" w:sz="4" w:space="0"/>
                  </w:tcBorders>
                  <w:vAlign w:val="center"/>
                </w:tcPr>
                <w:p>
                  <w:pPr>
                    <w:adjustRightInd w:val="0"/>
                    <w:snapToGrid w:val="0"/>
                    <w:jc w:val="center"/>
                    <w:rPr>
                      <w:color w:val="auto"/>
                    </w:rPr>
                  </w:pPr>
                </w:p>
              </w:tc>
              <w:tc>
                <w:tcPr>
                  <w:tcW w:w="101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s="宋体"/>
                      <w:color w:val="auto"/>
                      <w:sz w:val="21"/>
                      <w:szCs w:val="21"/>
                    </w:rPr>
                  </w:pPr>
                  <w:r>
                    <w:rPr>
                      <w:color w:val="auto"/>
                      <w:kern w:val="0"/>
                      <w:sz w:val="21"/>
                      <w:szCs w:val="21"/>
                    </w:rPr>
                    <w:t>COD</w:t>
                  </w:r>
                </w:p>
              </w:tc>
              <w:tc>
                <w:tcPr>
                  <w:tcW w:w="88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eastAsia="宋体" w:cs="宋体"/>
                      <w:color w:val="auto"/>
                      <w:lang w:val="en-US" w:eastAsia="zh-CN"/>
                    </w:rPr>
                  </w:pPr>
                  <w:r>
                    <w:rPr>
                      <w:rFonts w:hint="eastAsia" w:cs="宋体"/>
                      <w:color w:val="auto"/>
                      <w:lang w:val="en-US" w:eastAsia="zh-CN"/>
                    </w:rPr>
                    <w:t>0.438</w:t>
                  </w:r>
                </w:p>
              </w:tc>
              <w:tc>
                <w:tcPr>
                  <w:tcW w:w="2865" w:type="dxa"/>
                  <w:vMerge w:val="continue"/>
                  <w:tcBorders>
                    <w:left w:val="single" w:color="auto" w:sz="4" w:space="0"/>
                    <w:right w:val="single" w:color="auto" w:sz="4" w:space="0"/>
                  </w:tcBorders>
                  <w:vAlign w:val="center"/>
                </w:tcPr>
                <w:p>
                  <w:pPr>
                    <w:adjustRightInd w:val="0"/>
                    <w:snapToGrid w:val="0"/>
                    <w:jc w:val="center"/>
                    <w:rPr>
                      <w:rFonts w:hint="eastAsia" w:cs="宋体"/>
                      <w:color w:val="auto"/>
                    </w:rPr>
                  </w:pPr>
                </w:p>
              </w:tc>
              <w:tc>
                <w:tcPr>
                  <w:tcW w:w="1575" w:type="dxa"/>
                  <w:tcBorders>
                    <w:left w:val="single" w:color="auto" w:sz="4" w:space="0"/>
                    <w:right w:val="single" w:color="auto" w:sz="4" w:space="0"/>
                  </w:tcBorders>
                  <w:vAlign w:val="center"/>
                </w:tcPr>
                <w:p>
                  <w:pPr>
                    <w:adjustRightInd w:val="0"/>
                    <w:snapToGrid w:val="0"/>
                    <w:jc w:val="center"/>
                    <w:rPr>
                      <w:rFonts w:hint="default" w:eastAsia="宋体" w:cs="宋体"/>
                      <w:color w:val="auto"/>
                      <w:lang w:val="en-US" w:eastAsia="zh-CN"/>
                    </w:rPr>
                  </w:pPr>
                  <w:r>
                    <w:rPr>
                      <w:rFonts w:hint="eastAsia" w:cs="宋体"/>
                      <w:color w:val="auto"/>
                      <w:lang w:val="en-US" w:eastAsia="zh-CN"/>
                    </w:rPr>
                    <w:t>0.088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707" w:type="dxa"/>
                  <w:vMerge w:val="continue"/>
                  <w:tcBorders>
                    <w:left w:val="single" w:color="auto" w:sz="4" w:space="0"/>
                    <w:right w:val="single" w:color="auto" w:sz="4" w:space="0"/>
                  </w:tcBorders>
                  <w:vAlign w:val="center"/>
                </w:tcPr>
                <w:p>
                  <w:pPr>
                    <w:adjustRightInd w:val="0"/>
                    <w:snapToGrid w:val="0"/>
                    <w:jc w:val="center"/>
                  </w:pPr>
                </w:p>
              </w:tc>
              <w:tc>
                <w:tcPr>
                  <w:tcW w:w="1012" w:type="dxa"/>
                  <w:vMerge w:val="continue"/>
                  <w:tcBorders>
                    <w:left w:val="single" w:color="auto" w:sz="4" w:space="0"/>
                    <w:right w:val="single" w:color="auto" w:sz="4" w:space="0"/>
                  </w:tcBorders>
                  <w:vAlign w:val="center"/>
                </w:tcPr>
                <w:p>
                  <w:pPr>
                    <w:adjustRightInd w:val="0"/>
                    <w:snapToGrid w:val="0"/>
                    <w:jc w:val="center"/>
                    <w:rPr>
                      <w:color w:val="auto"/>
                    </w:rPr>
                  </w:pPr>
                </w:p>
              </w:tc>
              <w:tc>
                <w:tcPr>
                  <w:tcW w:w="101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s="宋体"/>
                      <w:color w:val="auto"/>
                      <w:sz w:val="21"/>
                      <w:szCs w:val="21"/>
                    </w:rPr>
                  </w:pPr>
                  <w:r>
                    <w:rPr>
                      <w:color w:val="auto"/>
                      <w:kern w:val="0"/>
                      <w:sz w:val="21"/>
                      <w:szCs w:val="21"/>
                    </w:rPr>
                    <w:t>BOD</w:t>
                  </w:r>
                  <w:r>
                    <w:rPr>
                      <w:b/>
                      <w:bCs/>
                      <w:color w:val="auto"/>
                      <w:kern w:val="0"/>
                      <w:sz w:val="21"/>
                      <w:szCs w:val="21"/>
                      <w:vertAlign w:val="subscript"/>
                    </w:rPr>
                    <w:t>5</w:t>
                  </w:r>
                </w:p>
              </w:tc>
              <w:tc>
                <w:tcPr>
                  <w:tcW w:w="88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eastAsia="宋体" w:cs="宋体"/>
                      <w:color w:val="auto"/>
                      <w:lang w:val="en-US" w:eastAsia="zh-CN"/>
                    </w:rPr>
                  </w:pPr>
                  <w:r>
                    <w:rPr>
                      <w:rFonts w:hint="eastAsia" w:cs="宋体"/>
                      <w:color w:val="auto"/>
                      <w:lang w:val="en-US" w:eastAsia="zh-CN"/>
                    </w:rPr>
                    <w:t>0.263</w:t>
                  </w:r>
                </w:p>
              </w:tc>
              <w:tc>
                <w:tcPr>
                  <w:tcW w:w="2865" w:type="dxa"/>
                  <w:vMerge w:val="continue"/>
                  <w:tcBorders>
                    <w:left w:val="single" w:color="auto" w:sz="4" w:space="0"/>
                    <w:right w:val="single" w:color="auto" w:sz="4" w:space="0"/>
                  </w:tcBorders>
                  <w:vAlign w:val="center"/>
                </w:tcPr>
                <w:p>
                  <w:pPr>
                    <w:adjustRightInd w:val="0"/>
                    <w:snapToGrid w:val="0"/>
                    <w:jc w:val="center"/>
                    <w:rPr>
                      <w:rFonts w:hint="eastAsia" w:cs="宋体"/>
                      <w:color w:val="auto"/>
                    </w:rPr>
                  </w:pPr>
                </w:p>
              </w:tc>
              <w:tc>
                <w:tcPr>
                  <w:tcW w:w="1575" w:type="dxa"/>
                  <w:tcBorders>
                    <w:left w:val="single" w:color="auto" w:sz="4" w:space="0"/>
                    <w:right w:val="single" w:color="auto" w:sz="4" w:space="0"/>
                  </w:tcBorders>
                  <w:vAlign w:val="center"/>
                </w:tcPr>
                <w:p>
                  <w:pPr>
                    <w:adjustRightInd w:val="0"/>
                    <w:snapToGrid w:val="0"/>
                    <w:jc w:val="center"/>
                    <w:rPr>
                      <w:rFonts w:hint="default" w:eastAsia="宋体" w:cs="宋体"/>
                      <w:color w:val="auto"/>
                      <w:lang w:val="en-US" w:eastAsia="zh-CN"/>
                    </w:rPr>
                  </w:pPr>
                  <w:r>
                    <w:rPr>
                      <w:rFonts w:hint="eastAsia" w:cs="宋体"/>
                      <w:color w:val="auto"/>
                      <w:lang w:val="en-US" w:eastAsia="zh-CN"/>
                    </w:rPr>
                    <w:t>0.018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7" w:type="dxa"/>
                  <w:vMerge w:val="continue"/>
                  <w:tcBorders>
                    <w:left w:val="single" w:color="auto" w:sz="4" w:space="0"/>
                    <w:right w:val="single" w:color="auto" w:sz="4" w:space="0"/>
                  </w:tcBorders>
                  <w:vAlign w:val="center"/>
                </w:tcPr>
                <w:p>
                  <w:pPr>
                    <w:adjustRightInd w:val="0"/>
                    <w:snapToGrid w:val="0"/>
                    <w:jc w:val="center"/>
                    <w:rPr>
                      <w:rFonts w:hint="eastAsia" w:cs="宋体"/>
                    </w:rPr>
                  </w:pPr>
                </w:p>
              </w:tc>
              <w:tc>
                <w:tcPr>
                  <w:tcW w:w="1012" w:type="dxa"/>
                  <w:vMerge w:val="continue"/>
                  <w:tcBorders>
                    <w:left w:val="single" w:color="auto" w:sz="4" w:space="0"/>
                    <w:right w:val="single" w:color="auto" w:sz="4" w:space="0"/>
                  </w:tcBorders>
                  <w:vAlign w:val="center"/>
                </w:tcPr>
                <w:p>
                  <w:pPr>
                    <w:adjustRightInd w:val="0"/>
                    <w:snapToGrid w:val="0"/>
                    <w:jc w:val="center"/>
                    <w:rPr>
                      <w:rFonts w:hint="eastAsia" w:cs="宋体"/>
                      <w:color w:val="auto"/>
                    </w:rPr>
                  </w:pPr>
                </w:p>
              </w:tc>
              <w:tc>
                <w:tcPr>
                  <w:tcW w:w="101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s="宋体"/>
                      <w:color w:val="auto"/>
                      <w:sz w:val="21"/>
                      <w:szCs w:val="21"/>
                    </w:rPr>
                  </w:pPr>
                  <w:r>
                    <w:rPr>
                      <w:color w:val="auto"/>
                      <w:kern w:val="0"/>
                      <w:sz w:val="21"/>
                      <w:szCs w:val="21"/>
                    </w:rPr>
                    <w:t>NH</w:t>
                  </w:r>
                  <w:r>
                    <w:rPr>
                      <w:b/>
                      <w:bCs/>
                      <w:color w:val="auto"/>
                      <w:kern w:val="0"/>
                      <w:sz w:val="21"/>
                      <w:szCs w:val="21"/>
                      <w:vertAlign w:val="subscript"/>
                    </w:rPr>
                    <w:t>3</w:t>
                  </w:r>
                  <w:r>
                    <w:rPr>
                      <w:b/>
                      <w:bCs/>
                      <w:color w:val="auto"/>
                      <w:kern w:val="0"/>
                      <w:sz w:val="21"/>
                      <w:szCs w:val="21"/>
                    </w:rPr>
                    <w:t>-</w:t>
                  </w:r>
                  <w:r>
                    <w:rPr>
                      <w:color w:val="auto"/>
                      <w:kern w:val="0"/>
                      <w:sz w:val="21"/>
                      <w:szCs w:val="21"/>
                    </w:rPr>
                    <w:t>N</w:t>
                  </w:r>
                </w:p>
              </w:tc>
              <w:tc>
                <w:tcPr>
                  <w:tcW w:w="88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eastAsia="宋体" w:cs="宋体"/>
                      <w:color w:val="auto"/>
                      <w:lang w:val="en-US" w:eastAsia="zh-CN"/>
                    </w:rPr>
                  </w:pPr>
                  <w:r>
                    <w:rPr>
                      <w:rFonts w:hint="eastAsia" w:cs="宋体"/>
                      <w:color w:val="auto"/>
                      <w:lang w:val="en-US" w:eastAsia="zh-CN"/>
                    </w:rPr>
                    <w:t>0.061</w:t>
                  </w:r>
                </w:p>
              </w:tc>
              <w:tc>
                <w:tcPr>
                  <w:tcW w:w="2865" w:type="dxa"/>
                  <w:vMerge w:val="continue"/>
                  <w:tcBorders>
                    <w:left w:val="single" w:color="auto" w:sz="4" w:space="0"/>
                    <w:right w:val="single" w:color="auto" w:sz="4" w:space="0"/>
                  </w:tcBorders>
                  <w:vAlign w:val="center"/>
                </w:tcPr>
                <w:p>
                  <w:pPr>
                    <w:adjustRightInd w:val="0"/>
                    <w:snapToGrid w:val="0"/>
                    <w:jc w:val="center"/>
                    <w:rPr>
                      <w:rFonts w:hint="eastAsia" w:cs="宋体"/>
                      <w:color w:val="auto"/>
                    </w:rPr>
                  </w:pPr>
                </w:p>
              </w:tc>
              <w:tc>
                <w:tcPr>
                  <w:tcW w:w="1575" w:type="dxa"/>
                  <w:tcBorders>
                    <w:left w:val="single" w:color="auto" w:sz="4" w:space="0"/>
                    <w:right w:val="single" w:color="auto" w:sz="4" w:space="0"/>
                  </w:tcBorders>
                  <w:vAlign w:val="center"/>
                </w:tcPr>
                <w:p>
                  <w:pPr>
                    <w:adjustRightInd w:val="0"/>
                    <w:snapToGrid w:val="0"/>
                    <w:jc w:val="center"/>
                    <w:rPr>
                      <w:rFonts w:hint="default" w:eastAsia="宋体" w:cs="宋体"/>
                      <w:color w:val="auto"/>
                      <w:lang w:val="en-US" w:eastAsia="zh-CN"/>
                    </w:rPr>
                  </w:pPr>
                  <w:r>
                    <w:rPr>
                      <w:rFonts w:hint="eastAsia" w:cs="宋体"/>
                      <w:color w:val="auto"/>
                      <w:lang w:val="en-US" w:eastAsia="zh-CN"/>
                    </w:rPr>
                    <w:t>0.009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707" w:type="dxa"/>
                  <w:vMerge w:val="continue"/>
                  <w:tcBorders>
                    <w:left w:val="single" w:color="auto" w:sz="4" w:space="0"/>
                    <w:bottom w:val="single" w:color="auto" w:sz="4" w:space="0"/>
                    <w:right w:val="single" w:color="auto" w:sz="4" w:space="0"/>
                  </w:tcBorders>
                  <w:vAlign w:val="center"/>
                </w:tcPr>
                <w:p>
                  <w:pPr>
                    <w:adjustRightInd w:val="0"/>
                    <w:snapToGrid w:val="0"/>
                    <w:jc w:val="center"/>
                    <w:rPr>
                      <w:rFonts w:hint="eastAsia" w:cs="宋体"/>
                    </w:rPr>
                  </w:pPr>
                </w:p>
              </w:tc>
              <w:tc>
                <w:tcPr>
                  <w:tcW w:w="1012" w:type="dxa"/>
                  <w:vMerge w:val="continue"/>
                  <w:tcBorders>
                    <w:left w:val="single" w:color="auto" w:sz="4" w:space="0"/>
                    <w:bottom w:val="single" w:color="auto" w:sz="4" w:space="0"/>
                    <w:right w:val="single" w:color="auto" w:sz="4" w:space="0"/>
                  </w:tcBorders>
                  <w:vAlign w:val="center"/>
                </w:tcPr>
                <w:p>
                  <w:pPr>
                    <w:adjustRightInd w:val="0"/>
                    <w:snapToGrid w:val="0"/>
                    <w:jc w:val="center"/>
                    <w:rPr>
                      <w:rFonts w:hint="eastAsia" w:cs="宋体"/>
                      <w:color w:val="auto"/>
                    </w:rPr>
                  </w:pPr>
                </w:p>
              </w:tc>
              <w:tc>
                <w:tcPr>
                  <w:tcW w:w="101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cs="宋体"/>
                      <w:color w:val="auto"/>
                      <w:sz w:val="21"/>
                      <w:szCs w:val="21"/>
                    </w:rPr>
                  </w:pPr>
                  <w:r>
                    <w:rPr>
                      <w:color w:val="auto"/>
                      <w:kern w:val="0"/>
                      <w:sz w:val="21"/>
                      <w:szCs w:val="21"/>
                    </w:rPr>
                    <w:t>SS</w:t>
                  </w:r>
                </w:p>
              </w:tc>
              <w:tc>
                <w:tcPr>
                  <w:tcW w:w="88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eastAsia="宋体" w:cs="宋体"/>
                      <w:color w:val="auto"/>
                      <w:lang w:val="en-US" w:eastAsia="zh-CN"/>
                    </w:rPr>
                  </w:pPr>
                  <w:r>
                    <w:rPr>
                      <w:rFonts w:hint="eastAsia" w:cs="宋体"/>
                      <w:color w:val="auto"/>
                      <w:lang w:val="en-US" w:eastAsia="zh-CN"/>
                    </w:rPr>
                    <w:t>0.175</w:t>
                  </w:r>
                </w:p>
              </w:tc>
              <w:tc>
                <w:tcPr>
                  <w:tcW w:w="2865" w:type="dxa"/>
                  <w:vMerge w:val="continue"/>
                  <w:tcBorders>
                    <w:left w:val="single" w:color="auto" w:sz="4" w:space="0"/>
                    <w:bottom w:val="single" w:color="auto" w:sz="4" w:space="0"/>
                    <w:right w:val="single" w:color="auto" w:sz="4" w:space="0"/>
                  </w:tcBorders>
                  <w:vAlign w:val="center"/>
                </w:tcPr>
                <w:p>
                  <w:pPr>
                    <w:adjustRightInd w:val="0"/>
                    <w:snapToGrid w:val="0"/>
                    <w:jc w:val="center"/>
                    <w:rPr>
                      <w:rFonts w:hint="eastAsia" w:cs="宋体"/>
                      <w:color w:val="auto"/>
                    </w:rPr>
                  </w:pPr>
                </w:p>
              </w:tc>
              <w:tc>
                <w:tcPr>
                  <w:tcW w:w="1575" w:type="dxa"/>
                  <w:tcBorders>
                    <w:left w:val="single" w:color="auto" w:sz="4" w:space="0"/>
                    <w:bottom w:val="single" w:color="auto" w:sz="4" w:space="0"/>
                    <w:right w:val="single" w:color="auto" w:sz="4" w:space="0"/>
                  </w:tcBorders>
                  <w:vAlign w:val="center"/>
                </w:tcPr>
                <w:p>
                  <w:pPr>
                    <w:adjustRightInd w:val="0"/>
                    <w:snapToGrid w:val="0"/>
                    <w:jc w:val="center"/>
                    <w:rPr>
                      <w:rFonts w:hint="default" w:eastAsia="宋体" w:cs="宋体"/>
                      <w:color w:val="auto"/>
                      <w:lang w:val="en-US" w:eastAsia="zh-CN"/>
                    </w:rPr>
                  </w:pPr>
                  <w:r>
                    <w:rPr>
                      <w:rFonts w:hint="eastAsia" w:cs="宋体"/>
                      <w:color w:val="auto"/>
                      <w:lang w:val="en-US" w:eastAsia="zh-CN"/>
                    </w:rPr>
                    <w:t>0.018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7"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pPr>
                  <w:r>
                    <w:rPr>
                      <w:rFonts w:hint="eastAsia" w:cs="宋体"/>
                    </w:rPr>
                    <w:t>固废</w:t>
                  </w:r>
                </w:p>
              </w:tc>
              <w:tc>
                <w:tcPr>
                  <w:tcW w:w="202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auto"/>
                    </w:rPr>
                  </w:pPr>
                  <w:r>
                    <w:rPr>
                      <w:rFonts w:hint="eastAsia" w:cs="宋体"/>
                      <w:color w:val="auto"/>
                    </w:rPr>
                    <w:t>生活垃圾</w:t>
                  </w:r>
                </w:p>
              </w:tc>
              <w:tc>
                <w:tcPr>
                  <w:tcW w:w="885"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rFonts w:hint="eastAsia"/>
                      <w:color w:val="auto"/>
                    </w:rPr>
                    <w:t>5.5</w:t>
                  </w:r>
                </w:p>
              </w:tc>
              <w:tc>
                <w:tcPr>
                  <w:tcW w:w="2865"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rFonts w:hint="eastAsia" w:cs="宋体"/>
                      <w:color w:val="auto"/>
                    </w:rPr>
                    <w:t>袋装或桶装分类收集，委托环卫部门统一处理</w:t>
                  </w:r>
                </w:p>
              </w:tc>
              <w:tc>
                <w:tcPr>
                  <w:tcW w:w="1575"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color w:val="auto"/>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707"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pPr>
                </w:p>
              </w:tc>
              <w:tc>
                <w:tcPr>
                  <w:tcW w:w="2025" w:type="dxa"/>
                  <w:gridSpan w:val="2"/>
                  <w:tcBorders>
                    <w:top w:val="single" w:color="auto" w:sz="4" w:space="0"/>
                    <w:left w:val="single" w:color="auto" w:sz="4" w:space="0"/>
                    <w:right w:val="single" w:color="auto" w:sz="4" w:space="0"/>
                  </w:tcBorders>
                  <w:vAlign w:val="center"/>
                </w:tcPr>
                <w:p>
                  <w:pPr>
                    <w:jc w:val="center"/>
                    <w:rPr>
                      <w:color w:val="auto"/>
                    </w:rPr>
                  </w:pPr>
                  <w:r>
                    <w:rPr>
                      <w:rFonts w:hint="eastAsia"/>
                      <w:color w:val="auto"/>
                    </w:rPr>
                    <w:t>废包装材料</w:t>
                  </w:r>
                </w:p>
              </w:tc>
              <w:tc>
                <w:tcPr>
                  <w:tcW w:w="885" w:type="dxa"/>
                  <w:tcBorders>
                    <w:top w:val="single" w:color="auto" w:sz="4" w:space="0"/>
                    <w:left w:val="single" w:color="auto" w:sz="4" w:space="0"/>
                    <w:right w:val="single" w:color="auto" w:sz="4" w:space="0"/>
                  </w:tcBorders>
                  <w:vAlign w:val="center"/>
                </w:tcPr>
                <w:p>
                  <w:pPr>
                    <w:jc w:val="center"/>
                    <w:rPr>
                      <w:color w:val="auto"/>
                    </w:rPr>
                  </w:pPr>
                  <w:r>
                    <w:rPr>
                      <w:rFonts w:hint="eastAsia"/>
                      <w:color w:val="auto"/>
                    </w:rPr>
                    <w:t>10</w:t>
                  </w:r>
                </w:p>
              </w:tc>
              <w:tc>
                <w:tcPr>
                  <w:tcW w:w="2865" w:type="dxa"/>
                  <w:tcBorders>
                    <w:top w:val="single" w:color="auto" w:sz="4" w:space="0"/>
                    <w:left w:val="single" w:color="auto" w:sz="4" w:space="0"/>
                    <w:right w:val="single" w:color="auto" w:sz="4" w:space="0"/>
                  </w:tcBorders>
                  <w:vAlign w:val="center"/>
                </w:tcPr>
                <w:p>
                  <w:pPr>
                    <w:jc w:val="center"/>
                    <w:rPr>
                      <w:color w:val="auto"/>
                    </w:rPr>
                  </w:pPr>
                  <w:r>
                    <w:rPr>
                      <w:color w:val="auto"/>
                    </w:rPr>
                    <w:t>收集后外售综合利用</w:t>
                  </w:r>
                </w:p>
              </w:tc>
              <w:tc>
                <w:tcPr>
                  <w:tcW w:w="1575" w:type="dxa"/>
                  <w:tcBorders>
                    <w:top w:val="single" w:color="auto" w:sz="4" w:space="0"/>
                    <w:left w:val="single" w:color="auto" w:sz="4" w:space="0"/>
                    <w:right w:val="single" w:color="auto" w:sz="4" w:space="0"/>
                  </w:tcBorders>
                  <w:vAlign w:val="center"/>
                </w:tcPr>
                <w:p>
                  <w:pPr>
                    <w:jc w:val="center"/>
                    <w:rPr>
                      <w:color w:val="auto"/>
                    </w:rPr>
                  </w:pPr>
                  <w:r>
                    <w:rPr>
                      <w:rFonts w:hint="eastAsia"/>
                      <w:color w:val="auto"/>
                    </w:rPr>
                    <w:t>0</w:t>
                  </w:r>
                </w:p>
              </w:tc>
            </w:tr>
          </w:tbl>
          <w:p>
            <w:pPr>
              <w:adjustRightInd w:val="0"/>
              <w:snapToGrid w:val="0"/>
              <w:spacing w:line="360" w:lineRule="auto"/>
              <w:ind w:firstLine="480" w:firstLineChars="200"/>
              <w:rPr>
                <w:rFonts w:cs="宋体"/>
                <w:color w:val="auto"/>
                <w:sz w:val="24"/>
                <w:szCs w:val="24"/>
              </w:rPr>
            </w:pPr>
            <w:r>
              <w:rPr>
                <w:rFonts w:hint="eastAsia" w:cs="宋体"/>
                <w:color w:val="auto"/>
                <w:sz w:val="24"/>
                <w:szCs w:val="24"/>
              </w:rPr>
              <w:t>五、原有项目环境保护执行情况</w:t>
            </w:r>
          </w:p>
          <w:p>
            <w:pPr>
              <w:adjustRightInd w:val="0"/>
              <w:snapToGrid w:val="0"/>
              <w:spacing w:line="360" w:lineRule="auto"/>
              <w:ind w:firstLine="480" w:firstLineChars="200"/>
              <w:rPr>
                <w:rFonts w:cs="宋体"/>
                <w:color w:val="auto"/>
                <w:sz w:val="24"/>
                <w:szCs w:val="24"/>
              </w:rPr>
            </w:pPr>
            <w:r>
              <w:rPr>
                <w:rFonts w:hint="eastAsia" w:cs="宋体"/>
                <w:color w:val="auto"/>
                <w:sz w:val="24"/>
                <w:szCs w:val="24"/>
              </w:rPr>
              <w:t>根据宿州万千饲料有限公司年产10万吨饲料加工项目验收材料可知，原有项目情况如下：</w:t>
            </w:r>
          </w:p>
          <w:p>
            <w:pPr>
              <w:adjustRightInd w:val="0"/>
              <w:snapToGrid w:val="0"/>
              <w:spacing w:line="360" w:lineRule="auto"/>
              <w:jc w:val="center"/>
              <w:rPr>
                <w:b/>
                <w:bCs/>
                <w:color w:val="auto"/>
                <w:sz w:val="24"/>
                <w:szCs w:val="24"/>
              </w:rPr>
            </w:pPr>
            <w:r>
              <w:rPr>
                <w:rFonts w:hint="eastAsia" w:cs="宋体"/>
                <w:b/>
                <w:bCs/>
                <w:color w:val="auto"/>
                <w:sz w:val="24"/>
                <w:szCs w:val="24"/>
              </w:rPr>
              <w:t>表</w:t>
            </w:r>
            <w:r>
              <w:rPr>
                <w:b/>
                <w:bCs/>
                <w:color w:val="auto"/>
                <w:sz w:val="24"/>
                <w:szCs w:val="24"/>
              </w:rPr>
              <w:t>2-</w:t>
            </w:r>
            <w:r>
              <w:rPr>
                <w:rFonts w:hint="eastAsia"/>
                <w:b/>
                <w:bCs/>
                <w:color w:val="auto"/>
                <w:sz w:val="24"/>
                <w:szCs w:val="24"/>
              </w:rPr>
              <w:t>13  环境保护执行情况</w:t>
            </w:r>
          </w:p>
          <w:tbl>
            <w:tblPr>
              <w:tblStyle w:val="23"/>
              <w:tblW w:w="80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8"/>
              <w:gridCol w:w="3167"/>
              <w:gridCol w:w="2383"/>
              <w:gridCol w:w="1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38" w:type="dxa"/>
                  <w:tcBorders>
                    <w:top w:val="single" w:color="auto" w:sz="4" w:space="0"/>
                    <w:left w:val="single" w:color="auto" w:sz="4" w:space="0"/>
                    <w:bottom w:val="single" w:color="auto" w:sz="4" w:space="0"/>
                    <w:right w:val="single" w:color="auto" w:sz="4" w:space="0"/>
                    <w:tl2br w:val="single" w:color="auto" w:sz="4" w:space="0"/>
                  </w:tcBorders>
                  <w:vAlign w:val="center"/>
                </w:tcPr>
                <w:p>
                  <w:pPr>
                    <w:adjustRightInd w:val="0"/>
                    <w:snapToGrid w:val="0"/>
                    <w:jc w:val="center"/>
                    <w:rPr>
                      <w:color w:val="auto"/>
                    </w:rPr>
                  </w:pPr>
                </w:p>
              </w:tc>
              <w:tc>
                <w:tcPr>
                  <w:tcW w:w="3167" w:type="dxa"/>
                  <w:tcBorders>
                    <w:top w:val="single" w:color="auto" w:sz="4" w:space="0"/>
                    <w:left w:val="single" w:color="auto" w:sz="4" w:space="0"/>
                    <w:bottom w:val="single" w:color="auto" w:sz="4" w:space="0"/>
                    <w:right w:val="single" w:color="auto" w:sz="4" w:space="0"/>
                  </w:tcBorders>
                  <w:vAlign w:val="center"/>
                </w:tcPr>
                <w:p>
                  <w:pPr>
                    <w:pStyle w:val="30"/>
                    <w:jc w:val="center"/>
                    <w:rPr>
                      <w:rFonts w:ascii="Times New Roman" w:hAnsi="Times New Roman" w:cs="Times New Roman"/>
                      <w:color w:val="auto"/>
                      <w:sz w:val="21"/>
                      <w:szCs w:val="21"/>
                    </w:rPr>
                  </w:pPr>
                  <w:r>
                    <w:rPr>
                      <w:rFonts w:hint="eastAsia" w:ascii="Times New Roman" w:hAnsi="Times New Roman" w:cs="Times New Roman"/>
                      <w:color w:val="auto"/>
                      <w:sz w:val="21"/>
                      <w:szCs w:val="21"/>
                    </w:rPr>
                    <w:t>环评及批复情况</w:t>
                  </w:r>
                </w:p>
              </w:tc>
              <w:tc>
                <w:tcPr>
                  <w:tcW w:w="23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auto"/>
                    </w:rPr>
                  </w:pPr>
                  <w:r>
                    <w:rPr>
                      <w:rFonts w:hint="eastAsia" w:cs="宋体"/>
                      <w:color w:val="auto"/>
                    </w:rPr>
                    <w:t>实际执行情况</w:t>
                  </w:r>
                </w:p>
              </w:tc>
              <w:tc>
                <w:tcPr>
                  <w:tcW w:w="146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auto"/>
                    </w:rPr>
                  </w:pPr>
                  <w:r>
                    <w:rPr>
                      <w:rFonts w:hint="eastAsia" w:cs="宋体"/>
                      <w:color w:val="auto"/>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2" w:hRule="atLeast"/>
                <w:jc w:val="center"/>
              </w:trPr>
              <w:tc>
                <w:tcPr>
                  <w:tcW w:w="103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auto"/>
                    </w:rPr>
                  </w:pPr>
                  <w:r>
                    <w:rPr>
                      <w:rFonts w:hint="eastAsia"/>
                      <w:color w:val="auto"/>
                    </w:rPr>
                    <w:t>建设内容（地点、规模、性质等）</w:t>
                  </w:r>
                </w:p>
              </w:tc>
              <w:tc>
                <w:tcPr>
                  <w:tcW w:w="3167"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rFonts w:hint="eastAsia"/>
                      <w:color w:val="auto"/>
                    </w:rPr>
                    <w:t>宿州万千饲料有限公司位于宿州经济开发区金河路18号，是一家饲料生产企业。2006年底投资1500万元建成年产10万吨饲料加工项目。主要有：生产楼房、办公楼、配电房、锅炉房各一座，以及配套的化粪池生活污水处理设施及排水系统。</w:t>
                  </w:r>
                </w:p>
              </w:tc>
              <w:tc>
                <w:tcPr>
                  <w:tcW w:w="2383" w:type="dxa"/>
                  <w:tcBorders>
                    <w:top w:val="single" w:color="auto" w:sz="4" w:space="0"/>
                    <w:left w:val="single" w:color="auto" w:sz="4" w:space="0"/>
                    <w:bottom w:val="single" w:color="auto" w:sz="4" w:space="0"/>
                    <w:right w:val="single" w:color="auto" w:sz="4" w:space="0"/>
                  </w:tcBorders>
                  <w:vAlign w:val="center"/>
                </w:tcPr>
                <w:p>
                  <w:pPr>
                    <w:ind w:left="-84" w:leftChars="-40" w:right="-84" w:rightChars="-40"/>
                    <w:jc w:val="center"/>
                    <w:rPr>
                      <w:color w:val="auto"/>
                    </w:rPr>
                  </w:pPr>
                  <w:r>
                    <w:rPr>
                      <w:rFonts w:hint="eastAsia"/>
                      <w:color w:val="auto"/>
                      <w:lang w:eastAsia="zh-CN"/>
                    </w:rPr>
                    <w:t>宿州万千饲料有限公司</w:t>
                  </w:r>
                  <w:r>
                    <w:rPr>
                      <w:rFonts w:hint="eastAsia"/>
                      <w:color w:val="auto"/>
                    </w:rPr>
                    <w:t>年产10万吨饲料加工项目</w:t>
                  </w:r>
                  <w:r>
                    <w:rPr>
                      <w:rFonts w:hint="eastAsia"/>
                      <w:color w:val="auto"/>
                      <w:lang w:eastAsia="zh-CN"/>
                    </w:rPr>
                    <w:t>位于</w:t>
                  </w:r>
                  <w:r>
                    <w:rPr>
                      <w:rFonts w:hint="eastAsia"/>
                      <w:color w:val="auto"/>
                    </w:rPr>
                    <w:t>宿州经济开发区金河路18号</w:t>
                  </w:r>
                  <w:r>
                    <w:rPr>
                      <w:rFonts w:hint="eastAsia"/>
                      <w:color w:val="auto"/>
                      <w:lang w:eastAsia="zh-CN"/>
                    </w:rPr>
                    <w:t>，主要建设了生产楼房、办公楼、配电房、锅炉房各一座，本项目</w:t>
                  </w:r>
                  <w:r>
                    <w:rPr>
                      <w:rFonts w:hint="eastAsia"/>
                      <w:color w:val="auto"/>
                    </w:rPr>
                    <w:t>实际投资</w:t>
                  </w:r>
                  <w:r>
                    <w:rPr>
                      <w:rFonts w:hint="eastAsia"/>
                      <w:color w:val="auto"/>
                      <w:lang w:eastAsia="zh-CN"/>
                    </w:rPr>
                    <w:t>为</w:t>
                  </w:r>
                  <w:r>
                    <w:rPr>
                      <w:rFonts w:hint="eastAsia"/>
                      <w:color w:val="auto"/>
                    </w:rPr>
                    <w:t>1450万元。</w:t>
                  </w:r>
                </w:p>
              </w:tc>
              <w:tc>
                <w:tcPr>
                  <w:tcW w:w="1469" w:type="dxa"/>
                  <w:tcBorders>
                    <w:top w:val="single" w:color="auto" w:sz="4" w:space="0"/>
                    <w:left w:val="single" w:color="auto" w:sz="4" w:space="0"/>
                    <w:bottom w:val="single" w:color="auto" w:sz="4" w:space="0"/>
                    <w:right w:val="single" w:color="auto" w:sz="4" w:space="0"/>
                  </w:tcBorders>
                  <w:vAlign w:val="center"/>
                </w:tcPr>
                <w:p>
                  <w:pPr>
                    <w:ind w:left="-84" w:leftChars="-40" w:right="-84" w:rightChars="-40"/>
                    <w:jc w:val="center"/>
                    <w:rPr>
                      <w:rFonts w:hint="eastAsia" w:ascii="Times New Roman" w:hAnsi="Times New Roman" w:eastAsia="宋体" w:cs="Times New Roman"/>
                      <w:color w:val="auto"/>
                      <w:kern w:val="2"/>
                      <w:sz w:val="21"/>
                      <w:szCs w:val="21"/>
                      <w:lang w:val="en-US" w:eastAsia="zh-CN" w:bidi="ar-SA"/>
                    </w:rPr>
                  </w:pPr>
                  <w:r>
                    <w:rPr>
                      <w:rFonts w:hint="eastAsia"/>
                      <w:color w:val="auto"/>
                    </w:rPr>
                    <w:t>建设地点、规模、性质没变</w:t>
                  </w:r>
                  <w:r>
                    <w:rPr>
                      <w:rFonts w:hint="eastAsia"/>
                      <w:color w:val="auto"/>
                      <w:lang w:eastAsia="zh-CN"/>
                    </w:rPr>
                    <w:t>，投资金额由</w:t>
                  </w:r>
                  <w:r>
                    <w:rPr>
                      <w:rFonts w:hint="eastAsia"/>
                      <w:color w:val="auto"/>
                      <w:lang w:val="en-US" w:eastAsia="zh-CN"/>
                    </w:rPr>
                    <w:t>1500万元变为1450万元</w:t>
                  </w:r>
                  <w:r>
                    <w:rPr>
                      <w:rFonts w:hint="eastAsia"/>
                      <w:color w:val="auto"/>
                      <w:lang w:eastAsia="zh-CN"/>
                    </w:rPr>
                    <w:t>，不属于重大变动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03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color w:val="auto"/>
                    </w:rPr>
                  </w:pPr>
                  <w:r>
                    <w:rPr>
                      <w:rFonts w:hint="eastAsia"/>
                      <w:color w:val="auto"/>
                      <w:lang w:eastAsia="zh-CN"/>
                    </w:rPr>
                    <w:t>废气</w:t>
                  </w:r>
                  <w:r>
                    <w:rPr>
                      <w:rFonts w:hint="eastAsia"/>
                      <w:color w:val="auto"/>
                    </w:rPr>
                    <w:t>污染防护设施和措施</w:t>
                  </w:r>
                </w:p>
              </w:tc>
              <w:tc>
                <w:tcPr>
                  <w:tcW w:w="3167"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rFonts w:hint="eastAsia"/>
                      <w:color w:val="auto"/>
                    </w:rPr>
                    <w:t>主要的大气污染物为燃气锅炉产生的烟气以及投料、粉碎、包装等工序产生的粉尘。锅炉烟气直接排放，各生产工序产生的粉尘废气经脉冲除尘器处理后排放</w:t>
                  </w:r>
                </w:p>
              </w:tc>
              <w:tc>
                <w:tcPr>
                  <w:tcW w:w="2383" w:type="dxa"/>
                  <w:tcBorders>
                    <w:top w:val="single" w:color="auto" w:sz="4" w:space="0"/>
                    <w:left w:val="single" w:color="auto" w:sz="4" w:space="0"/>
                    <w:bottom w:val="single" w:color="auto" w:sz="4" w:space="0"/>
                    <w:right w:val="single" w:color="auto" w:sz="4" w:space="0"/>
                  </w:tcBorders>
                  <w:vAlign w:val="center"/>
                </w:tcPr>
                <w:p>
                  <w:pPr>
                    <w:ind w:left="-84" w:leftChars="-40" w:right="-84" w:rightChars="-40"/>
                    <w:jc w:val="center"/>
                    <w:rPr>
                      <w:rFonts w:hint="eastAsia" w:eastAsia="宋体"/>
                      <w:color w:val="auto"/>
                      <w:lang w:eastAsia="zh-CN"/>
                    </w:rPr>
                  </w:pPr>
                  <w:r>
                    <w:rPr>
                      <w:rFonts w:hint="eastAsia"/>
                      <w:color w:val="auto"/>
                    </w:rPr>
                    <w:t>锅炉烟气直接排放</w:t>
                  </w:r>
                  <w:r>
                    <w:rPr>
                      <w:rFonts w:hint="eastAsia"/>
                      <w:color w:val="auto"/>
                      <w:lang w:eastAsia="zh-CN"/>
                    </w:rPr>
                    <w:t>；</w:t>
                  </w:r>
                  <w:r>
                    <w:rPr>
                      <w:rFonts w:hint="eastAsia"/>
                      <w:color w:val="auto"/>
                    </w:rPr>
                    <w:t>各生产工序产生的粉尘废气经脉冲除尘器处理后排放</w:t>
                  </w:r>
                </w:p>
              </w:tc>
              <w:tc>
                <w:tcPr>
                  <w:tcW w:w="1469" w:type="dxa"/>
                  <w:tcBorders>
                    <w:top w:val="single" w:color="auto" w:sz="4" w:space="0"/>
                    <w:left w:val="single" w:color="auto" w:sz="4" w:space="0"/>
                    <w:right w:val="single" w:color="auto" w:sz="4" w:space="0"/>
                  </w:tcBorders>
                  <w:vAlign w:val="center"/>
                </w:tcPr>
                <w:p>
                  <w:pPr>
                    <w:adjustRightInd w:val="0"/>
                    <w:snapToGrid w:val="0"/>
                    <w:jc w:val="center"/>
                    <w:rPr>
                      <w:color w:val="auto"/>
                    </w:rPr>
                  </w:pPr>
                  <w:r>
                    <w:rPr>
                      <w:rFonts w:hint="eastAsia"/>
                      <w:color w:val="auto"/>
                      <w:lang w:eastAsia="zh-CN"/>
                    </w:rPr>
                    <w:t>与环评及批复情况一致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38" w:type="dxa"/>
                  <w:tcBorders>
                    <w:top w:val="single" w:color="auto" w:sz="4" w:space="0"/>
                    <w:left w:val="single" w:color="auto" w:sz="4" w:space="0"/>
                    <w:bottom w:val="single" w:color="auto" w:sz="4" w:space="0"/>
                    <w:right w:val="single" w:color="auto" w:sz="4" w:space="0"/>
                  </w:tcBorders>
                  <w:vAlign w:val="center"/>
                </w:tcPr>
                <w:p>
                  <w:pPr>
                    <w:ind w:left="-84" w:leftChars="-40" w:right="-84" w:rightChars="-40"/>
                    <w:jc w:val="center"/>
                    <w:rPr>
                      <w:rFonts w:hint="eastAsia"/>
                      <w:color w:val="auto"/>
                    </w:rPr>
                  </w:pPr>
                  <w:r>
                    <w:rPr>
                      <w:rFonts w:hint="eastAsia"/>
                      <w:color w:val="auto"/>
                      <w:lang w:eastAsia="zh-CN"/>
                    </w:rPr>
                    <w:t>废水</w:t>
                  </w:r>
                  <w:r>
                    <w:rPr>
                      <w:rFonts w:hint="eastAsia"/>
                      <w:color w:val="auto"/>
                    </w:rPr>
                    <w:t>污染防护设施和措施</w:t>
                  </w:r>
                </w:p>
              </w:tc>
              <w:tc>
                <w:tcPr>
                  <w:tcW w:w="3167"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auto"/>
                    </w:rPr>
                  </w:pPr>
                  <w:r>
                    <w:rPr>
                      <w:rFonts w:hint="eastAsia"/>
                      <w:color w:val="auto"/>
                    </w:rPr>
                    <w:t>生活污水进入化粪池处理后排向城市污水管网，进入宿州市城南污水处理厂</w:t>
                  </w:r>
                </w:p>
              </w:tc>
              <w:tc>
                <w:tcPr>
                  <w:tcW w:w="2383" w:type="dxa"/>
                  <w:tcBorders>
                    <w:top w:val="single" w:color="auto" w:sz="4" w:space="0"/>
                    <w:left w:val="single" w:color="auto" w:sz="4" w:space="0"/>
                    <w:bottom w:val="single" w:color="auto" w:sz="4" w:space="0"/>
                    <w:right w:val="single" w:color="auto" w:sz="4" w:space="0"/>
                  </w:tcBorders>
                  <w:vAlign w:val="center"/>
                </w:tcPr>
                <w:p>
                  <w:pPr>
                    <w:ind w:left="-84" w:leftChars="-40" w:right="-84" w:rightChars="-40"/>
                    <w:jc w:val="center"/>
                    <w:rPr>
                      <w:rFonts w:hint="eastAsia"/>
                      <w:color w:val="auto"/>
                    </w:rPr>
                  </w:pPr>
                  <w:r>
                    <w:rPr>
                      <w:rFonts w:hint="eastAsia"/>
                      <w:color w:val="auto"/>
                    </w:rPr>
                    <w:t>生活污水进入化粪池处理后排向城市污水管网，进入宿州市城南污水处理厂</w:t>
                  </w:r>
                </w:p>
              </w:tc>
              <w:tc>
                <w:tcPr>
                  <w:tcW w:w="1469" w:type="dxa"/>
                  <w:tcBorders>
                    <w:left w:val="single" w:color="auto" w:sz="4" w:space="0"/>
                    <w:right w:val="single" w:color="auto" w:sz="4" w:space="0"/>
                  </w:tcBorders>
                  <w:vAlign w:val="center"/>
                </w:tcPr>
                <w:p>
                  <w:pPr>
                    <w:ind w:left="-84" w:leftChars="-40" w:right="-84" w:rightChars="-40"/>
                    <w:jc w:val="center"/>
                    <w:rPr>
                      <w:rFonts w:hint="eastAsia" w:eastAsia="宋体"/>
                      <w:color w:val="auto"/>
                      <w:lang w:val="en-US" w:eastAsia="zh-CN"/>
                    </w:rPr>
                  </w:pPr>
                  <w:r>
                    <w:rPr>
                      <w:rFonts w:hint="eastAsia"/>
                      <w:color w:val="auto"/>
                      <w:lang w:eastAsia="zh-CN"/>
                    </w:rPr>
                    <w:t>与环评及批复情况一致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38" w:type="dxa"/>
                  <w:tcBorders>
                    <w:top w:val="single" w:color="auto" w:sz="4" w:space="0"/>
                    <w:left w:val="single" w:color="auto" w:sz="4" w:space="0"/>
                    <w:bottom w:val="single" w:color="auto" w:sz="4" w:space="0"/>
                    <w:right w:val="single" w:color="auto" w:sz="4" w:space="0"/>
                  </w:tcBorders>
                  <w:vAlign w:val="center"/>
                </w:tcPr>
                <w:p>
                  <w:pPr>
                    <w:ind w:left="-84" w:leftChars="-40" w:right="-84" w:rightChars="-40"/>
                    <w:jc w:val="center"/>
                    <w:rPr>
                      <w:rFonts w:hint="eastAsia"/>
                      <w:color w:val="auto"/>
                    </w:rPr>
                  </w:pPr>
                  <w:r>
                    <w:rPr>
                      <w:rFonts w:hint="eastAsia"/>
                      <w:color w:val="auto"/>
                      <w:lang w:eastAsia="zh-CN"/>
                    </w:rPr>
                    <w:t>噪声</w:t>
                  </w:r>
                  <w:r>
                    <w:rPr>
                      <w:rFonts w:hint="eastAsia"/>
                      <w:color w:val="auto"/>
                    </w:rPr>
                    <w:t>污染防护设施和措施</w:t>
                  </w:r>
                </w:p>
              </w:tc>
              <w:tc>
                <w:tcPr>
                  <w:tcW w:w="3167"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auto"/>
                    </w:rPr>
                  </w:pPr>
                  <w:r>
                    <w:rPr>
                      <w:rFonts w:hint="eastAsia"/>
                      <w:color w:val="auto"/>
                    </w:rPr>
                    <w:t>噪声源是粉碎机、物料输送机、离心风机等产生的噪声，通过选用低噪设备，采取隔声、减震等措施治理</w:t>
                  </w:r>
                </w:p>
              </w:tc>
              <w:tc>
                <w:tcPr>
                  <w:tcW w:w="2383" w:type="dxa"/>
                  <w:tcBorders>
                    <w:top w:val="single" w:color="auto" w:sz="4" w:space="0"/>
                    <w:left w:val="single" w:color="auto" w:sz="4" w:space="0"/>
                    <w:bottom w:val="single" w:color="auto" w:sz="4" w:space="0"/>
                    <w:right w:val="single" w:color="auto" w:sz="4" w:space="0"/>
                  </w:tcBorders>
                  <w:vAlign w:val="center"/>
                </w:tcPr>
                <w:p>
                  <w:pPr>
                    <w:ind w:left="-84" w:leftChars="-40" w:right="-84" w:rightChars="-40"/>
                    <w:jc w:val="center"/>
                    <w:rPr>
                      <w:rFonts w:hint="eastAsia" w:eastAsia="宋体"/>
                      <w:color w:val="auto"/>
                      <w:lang w:eastAsia="zh-CN"/>
                    </w:rPr>
                  </w:pPr>
                  <w:r>
                    <w:rPr>
                      <w:rFonts w:hint="eastAsia"/>
                      <w:color w:val="auto"/>
                      <w:lang w:eastAsia="zh-CN"/>
                    </w:rPr>
                    <w:t>选</w:t>
                  </w:r>
                  <w:r>
                    <w:rPr>
                      <w:rFonts w:hint="eastAsia"/>
                      <w:color w:val="auto"/>
                    </w:rPr>
                    <w:t>用低噪设备，</w:t>
                  </w:r>
                  <w:r>
                    <w:rPr>
                      <w:rFonts w:hint="eastAsia"/>
                      <w:color w:val="auto"/>
                      <w:lang w:eastAsia="zh-CN"/>
                    </w:rPr>
                    <w:t>同时</w:t>
                  </w:r>
                  <w:r>
                    <w:rPr>
                      <w:rFonts w:hint="eastAsia"/>
                      <w:color w:val="auto"/>
                    </w:rPr>
                    <w:t>采取隔声、减震等措施治理</w:t>
                  </w:r>
                </w:p>
              </w:tc>
              <w:tc>
                <w:tcPr>
                  <w:tcW w:w="1469" w:type="dxa"/>
                  <w:tcBorders>
                    <w:left w:val="single" w:color="auto" w:sz="4" w:space="0"/>
                    <w:bottom w:val="single" w:color="auto" w:sz="4" w:space="0"/>
                    <w:right w:val="single" w:color="auto" w:sz="4" w:space="0"/>
                  </w:tcBorders>
                  <w:vAlign w:val="center"/>
                </w:tcPr>
                <w:p>
                  <w:pPr>
                    <w:ind w:left="-84" w:leftChars="-40" w:right="-84" w:rightChars="-40"/>
                    <w:jc w:val="center"/>
                    <w:rPr>
                      <w:rFonts w:hint="eastAsia" w:eastAsia="宋体"/>
                      <w:color w:val="auto"/>
                      <w:lang w:val="en-US" w:eastAsia="zh-CN"/>
                    </w:rPr>
                  </w:pPr>
                  <w:r>
                    <w:rPr>
                      <w:rFonts w:hint="eastAsia"/>
                      <w:color w:val="auto"/>
                      <w:lang w:eastAsia="zh-CN"/>
                    </w:rPr>
                    <w:t>与环评及批复情况一致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5" w:hRule="atLeast"/>
                <w:jc w:val="center"/>
              </w:trPr>
              <w:tc>
                <w:tcPr>
                  <w:tcW w:w="1038" w:type="dxa"/>
                  <w:tcBorders>
                    <w:top w:val="single" w:color="auto" w:sz="4" w:space="0"/>
                    <w:left w:val="single" w:color="auto" w:sz="4" w:space="0"/>
                    <w:bottom w:val="single" w:color="auto" w:sz="4" w:space="0"/>
                    <w:right w:val="single" w:color="auto" w:sz="4" w:space="0"/>
                  </w:tcBorders>
                  <w:vAlign w:val="center"/>
                </w:tcPr>
                <w:p>
                  <w:pPr>
                    <w:ind w:left="-84" w:leftChars="-40" w:right="-84" w:rightChars="-40"/>
                    <w:jc w:val="center"/>
                    <w:rPr>
                      <w:rFonts w:hint="eastAsia"/>
                      <w:color w:val="auto"/>
                    </w:rPr>
                  </w:pPr>
                  <w:r>
                    <w:rPr>
                      <w:rFonts w:hint="eastAsia"/>
                      <w:color w:val="auto"/>
                      <w:lang w:eastAsia="zh-CN"/>
                    </w:rPr>
                    <w:t>固废</w:t>
                  </w:r>
                  <w:r>
                    <w:rPr>
                      <w:rFonts w:hint="eastAsia"/>
                      <w:color w:val="auto"/>
                    </w:rPr>
                    <w:t>污染防护设施和措施</w:t>
                  </w:r>
                </w:p>
              </w:tc>
              <w:tc>
                <w:tcPr>
                  <w:tcW w:w="3167" w:type="dxa"/>
                  <w:tcBorders>
                    <w:top w:val="single" w:color="auto" w:sz="4" w:space="0"/>
                    <w:left w:val="single" w:color="auto" w:sz="4" w:space="0"/>
                    <w:bottom w:val="single" w:color="auto" w:sz="4" w:space="0"/>
                    <w:right w:val="single" w:color="auto" w:sz="4" w:space="0"/>
                  </w:tcBorders>
                  <w:vAlign w:val="center"/>
                </w:tcPr>
                <w:p>
                  <w:pPr>
                    <w:ind w:left="-84" w:leftChars="-40" w:right="-84" w:rightChars="-40"/>
                    <w:jc w:val="center"/>
                    <w:rPr>
                      <w:rFonts w:hint="eastAsia"/>
                      <w:color w:val="auto"/>
                    </w:rPr>
                  </w:pPr>
                  <w:r>
                    <w:rPr>
                      <w:rFonts w:hint="eastAsia"/>
                      <w:color w:val="auto"/>
                    </w:rPr>
                    <w:t>固体废物主要为废弃包装物和生活垃圾，均为一般固体废物。包装物出售，生活垃圾由环卫部门统一清运</w:t>
                  </w:r>
                </w:p>
              </w:tc>
              <w:tc>
                <w:tcPr>
                  <w:tcW w:w="2383" w:type="dxa"/>
                  <w:tcBorders>
                    <w:top w:val="single" w:color="auto" w:sz="4" w:space="0"/>
                    <w:left w:val="single" w:color="auto" w:sz="4" w:space="0"/>
                    <w:bottom w:val="single" w:color="auto" w:sz="4" w:space="0"/>
                    <w:right w:val="single" w:color="auto" w:sz="4" w:space="0"/>
                  </w:tcBorders>
                  <w:vAlign w:val="center"/>
                </w:tcPr>
                <w:p>
                  <w:pPr>
                    <w:ind w:left="-84" w:leftChars="-40" w:right="-84" w:rightChars="-40"/>
                    <w:jc w:val="center"/>
                    <w:rPr>
                      <w:rFonts w:hint="eastAsia" w:eastAsia="宋体"/>
                      <w:color w:val="auto"/>
                      <w:lang w:eastAsia="zh-CN"/>
                    </w:rPr>
                  </w:pPr>
                  <w:r>
                    <w:rPr>
                      <w:rFonts w:hint="eastAsia"/>
                      <w:color w:val="auto"/>
                      <w:lang w:eastAsia="zh-CN"/>
                    </w:rPr>
                    <w:t>生活垃圾经袋装或桶装收集后委托环卫部门统一清运；</w:t>
                  </w:r>
                  <w:r>
                    <w:rPr>
                      <w:rFonts w:hint="eastAsia"/>
                      <w:color w:val="auto"/>
                    </w:rPr>
                    <w:t>废弃包装物</w:t>
                  </w:r>
                  <w:r>
                    <w:rPr>
                      <w:rFonts w:hint="eastAsia"/>
                      <w:color w:val="auto"/>
                      <w:lang w:eastAsia="zh-CN"/>
                    </w:rPr>
                    <w:t>经收集后外售处理</w:t>
                  </w:r>
                </w:p>
              </w:tc>
              <w:tc>
                <w:tcPr>
                  <w:tcW w:w="1469" w:type="dxa"/>
                  <w:tcBorders>
                    <w:left w:val="single" w:color="auto" w:sz="4" w:space="0"/>
                    <w:bottom w:val="single" w:color="auto" w:sz="4" w:space="0"/>
                    <w:right w:val="single" w:color="auto" w:sz="4" w:space="0"/>
                  </w:tcBorders>
                  <w:vAlign w:val="center"/>
                </w:tcPr>
                <w:p>
                  <w:pPr>
                    <w:ind w:left="-84" w:leftChars="-40" w:right="-84" w:rightChars="-40"/>
                    <w:jc w:val="center"/>
                    <w:rPr>
                      <w:rFonts w:hint="eastAsia" w:eastAsia="宋体"/>
                      <w:color w:val="auto"/>
                      <w:lang w:val="en-US" w:eastAsia="zh-CN"/>
                    </w:rPr>
                  </w:pPr>
                  <w:r>
                    <w:rPr>
                      <w:rFonts w:hint="eastAsia"/>
                      <w:color w:val="auto"/>
                      <w:lang w:eastAsia="zh-CN"/>
                    </w:rPr>
                    <w:t>与环评及批复情况一致</w:t>
                  </w:r>
                </w:p>
              </w:tc>
            </w:tr>
          </w:tbl>
          <w:p>
            <w:pPr>
              <w:adjustRightInd w:val="0"/>
              <w:snapToGrid w:val="0"/>
              <w:spacing w:line="360" w:lineRule="auto"/>
              <w:ind w:firstLine="482" w:firstLineChars="200"/>
              <w:rPr>
                <w:sz w:val="24"/>
                <w:szCs w:val="24"/>
              </w:rPr>
            </w:pPr>
            <w:r>
              <w:rPr>
                <w:rFonts w:hint="eastAsia" w:cs="宋体"/>
                <w:b/>
                <w:bCs/>
                <w:sz w:val="24"/>
                <w:szCs w:val="24"/>
              </w:rPr>
              <w:t>六、原有工程主要环境问题</w:t>
            </w:r>
          </w:p>
          <w:p>
            <w:pPr>
              <w:spacing w:line="360" w:lineRule="auto"/>
              <w:ind w:firstLine="480"/>
              <w:rPr>
                <w:rFonts w:cs="宋体"/>
                <w:sz w:val="24"/>
              </w:rPr>
            </w:pPr>
            <w:r>
              <w:rPr>
                <w:rFonts w:hint="eastAsia" w:cs="宋体"/>
                <w:sz w:val="24"/>
              </w:rPr>
              <w:t>原有工程存在的环境问题及整改措施</w:t>
            </w:r>
            <w:r>
              <w:rPr>
                <w:rFonts w:cs="宋体"/>
                <w:sz w:val="24"/>
              </w:rPr>
              <w:t>见下表。</w:t>
            </w:r>
          </w:p>
          <w:p>
            <w:pPr>
              <w:spacing w:line="360" w:lineRule="auto"/>
              <w:ind w:firstLine="482" w:firstLineChars="200"/>
              <w:jc w:val="center"/>
              <w:rPr>
                <w:b/>
                <w:sz w:val="24"/>
              </w:rPr>
            </w:pPr>
            <w:r>
              <w:rPr>
                <w:rFonts w:cs="宋体"/>
                <w:b/>
                <w:sz w:val="24"/>
              </w:rPr>
              <w:t>表</w:t>
            </w:r>
            <w:r>
              <w:rPr>
                <w:rFonts w:hint="eastAsia" w:cs="宋体"/>
                <w:b/>
                <w:sz w:val="24"/>
              </w:rPr>
              <w:t>2-14  原有工程存在的环境问题及整改措施</w:t>
            </w:r>
          </w:p>
          <w:tbl>
            <w:tblPr>
              <w:tblStyle w:val="23"/>
              <w:tblW w:w="80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6"/>
              <w:gridCol w:w="3373"/>
              <w:gridCol w:w="4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86" w:type="dxa"/>
                  <w:tcBorders>
                    <w:top w:val="single" w:color="auto" w:sz="4" w:space="0"/>
                    <w:left w:val="single" w:color="auto" w:sz="4" w:space="0"/>
                    <w:bottom w:val="single" w:color="auto" w:sz="4" w:space="0"/>
                    <w:right w:val="single" w:color="auto" w:sz="4" w:space="0"/>
                  </w:tcBorders>
                  <w:vAlign w:val="center"/>
                </w:tcPr>
                <w:p>
                  <w:pPr>
                    <w:ind w:left="-63" w:leftChars="-30" w:right="-63" w:rightChars="-30"/>
                    <w:jc w:val="center"/>
                    <w:rPr>
                      <w:rFonts w:cs="宋体"/>
                    </w:rPr>
                  </w:pPr>
                  <w:r>
                    <w:t>序号</w:t>
                  </w:r>
                </w:p>
              </w:tc>
              <w:tc>
                <w:tcPr>
                  <w:tcW w:w="3373" w:type="dxa"/>
                  <w:tcBorders>
                    <w:top w:val="single" w:color="auto" w:sz="4" w:space="0"/>
                    <w:left w:val="single" w:color="auto" w:sz="4" w:space="0"/>
                    <w:bottom w:val="single" w:color="auto" w:sz="4" w:space="0"/>
                    <w:right w:val="single" w:color="auto" w:sz="4" w:space="0"/>
                  </w:tcBorders>
                  <w:vAlign w:val="center"/>
                </w:tcPr>
                <w:p>
                  <w:pPr>
                    <w:ind w:left="-42" w:leftChars="-20" w:right="-42" w:rightChars="-20"/>
                    <w:jc w:val="center"/>
                    <w:rPr>
                      <w:rFonts w:cs="宋体"/>
                    </w:rPr>
                  </w:pPr>
                  <w:r>
                    <w:rPr>
                      <w:rFonts w:hint="eastAsia"/>
                    </w:rPr>
                    <w:t>原</w:t>
                  </w:r>
                  <w:r>
                    <w:t>有工程环境问题</w:t>
                  </w:r>
                </w:p>
              </w:tc>
              <w:tc>
                <w:tcPr>
                  <w:tcW w:w="4039" w:type="dxa"/>
                  <w:tcBorders>
                    <w:top w:val="single" w:color="auto" w:sz="4" w:space="0"/>
                    <w:left w:val="single" w:color="auto" w:sz="4" w:space="0"/>
                    <w:bottom w:val="single" w:color="auto" w:sz="4" w:space="0"/>
                    <w:right w:val="single" w:color="auto" w:sz="4" w:space="0"/>
                  </w:tcBorders>
                  <w:vAlign w:val="center"/>
                </w:tcPr>
                <w:p>
                  <w:pPr>
                    <w:ind w:left="-42" w:leftChars="-20" w:right="-42" w:rightChars="-20"/>
                    <w:jc w:val="center"/>
                    <w:rPr>
                      <w:rFonts w:cs="宋体"/>
                    </w:rPr>
                  </w:pPr>
                  <w:r>
                    <w:t>整改要求及建议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8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cs="宋体"/>
                      <w:color w:val="auto"/>
                    </w:rPr>
                  </w:pPr>
                  <w:r>
                    <w:rPr>
                      <w:rFonts w:hint="eastAsia" w:cs="宋体"/>
                      <w:color w:val="auto"/>
                    </w:rPr>
                    <w:t>1</w:t>
                  </w:r>
                </w:p>
              </w:tc>
              <w:tc>
                <w:tcPr>
                  <w:tcW w:w="3373" w:type="dxa"/>
                  <w:tcBorders>
                    <w:top w:val="single" w:color="auto" w:sz="4" w:space="0"/>
                    <w:left w:val="single" w:color="auto" w:sz="4" w:space="0"/>
                    <w:bottom w:val="single" w:color="auto" w:sz="4" w:space="0"/>
                    <w:right w:val="single" w:color="auto" w:sz="4" w:space="0"/>
                  </w:tcBorders>
                  <w:vAlign w:val="center"/>
                </w:tcPr>
                <w:p>
                  <w:pPr>
                    <w:ind w:left="-42" w:leftChars="-20" w:right="-42" w:rightChars="-20"/>
                    <w:jc w:val="center"/>
                    <w:rPr>
                      <w:rFonts w:cs="宋体"/>
                      <w:color w:val="auto"/>
                    </w:rPr>
                  </w:pPr>
                  <w:r>
                    <w:rPr>
                      <w:rFonts w:hint="eastAsia"/>
                      <w:color w:val="auto"/>
                    </w:rPr>
                    <w:t>燃气锅炉未设置低氮燃烧器</w:t>
                  </w:r>
                </w:p>
              </w:tc>
              <w:tc>
                <w:tcPr>
                  <w:tcW w:w="4039" w:type="dxa"/>
                  <w:tcBorders>
                    <w:top w:val="single" w:color="auto" w:sz="4" w:space="0"/>
                    <w:left w:val="single" w:color="auto" w:sz="4" w:space="0"/>
                    <w:bottom w:val="single" w:color="auto" w:sz="4" w:space="0"/>
                    <w:right w:val="single" w:color="auto" w:sz="4" w:space="0"/>
                  </w:tcBorders>
                  <w:vAlign w:val="center"/>
                </w:tcPr>
                <w:p>
                  <w:pPr>
                    <w:ind w:left="-42" w:leftChars="-20" w:right="-42" w:rightChars="-20"/>
                    <w:jc w:val="center"/>
                    <w:rPr>
                      <w:rFonts w:cs="宋体"/>
                      <w:color w:val="auto"/>
                    </w:rPr>
                  </w:pPr>
                  <w:r>
                    <w:rPr>
                      <w:rFonts w:hint="eastAsia" w:cs="宋体"/>
                      <w:color w:val="auto"/>
                    </w:rPr>
                    <w:t>本环评要求企业燃气锅炉设置低氮燃烧器</w:t>
                  </w:r>
                </w:p>
              </w:tc>
            </w:tr>
          </w:tbl>
          <w:p>
            <w:pPr>
              <w:spacing w:line="360" w:lineRule="auto"/>
              <w:ind w:firstLine="480" w:firstLineChars="200"/>
              <w:rPr>
                <w:rFonts w:hint="eastAsia" w:cs="宋体"/>
                <w:color w:val="auto"/>
                <w:sz w:val="24"/>
              </w:rPr>
            </w:pPr>
            <w:r>
              <w:rPr>
                <w:rFonts w:hint="eastAsia" w:cs="宋体"/>
                <w:color w:val="auto"/>
                <w:sz w:val="24"/>
              </w:rPr>
              <w:t>原有工程将进行整体拆除，</w:t>
            </w:r>
            <w:r>
              <w:rPr>
                <w:rFonts w:hint="eastAsia"/>
                <w:color w:val="auto"/>
                <w:sz w:val="24"/>
                <w:szCs w:val="24"/>
              </w:rPr>
              <w:t>所有设备重新购置，不利旧，</w:t>
            </w:r>
            <w:r>
              <w:rPr>
                <w:rFonts w:hint="eastAsia" w:cs="宋体"/>
                <w:color w:val="auto"/>
                <w:sz w:val="24"/>
              </w:rPr>
              <w:t>原厂拆除完成后，</w:t>
            </w:r>
            <w:r>
              <w:rPr>
                <w:rFonts w:hint="eastAsia" w:ascii="宋体" w:hAnsi="宋体" w:cs="宋体"/>
                <w:color w:val="auto"/>
                <w:sz w:val="24"/>
                <w:szCs w:val="24"/>
              </w:rPr>
              <w:t>对原有场地无遗留问题</w:t>
            </w:r>
            <w:r>
              <w:rPr>
                <w:rFonts w:hint="eastAsia" w:cs="宋体"/>
                <w:color w:val="auto"/>
                <w:sz w:val="24"/>
              </w:rPr>
              <w:t>。</w:t>
            </w:r>
          </w:p>
          <w:p>
            <w:pPr>
              <w:spacing w:line="360" w:lineRule="auto"/>
              <w:ind w:firstLine="480" w:firstLineChars="200"/>
              <w:rPr>
                <w:rFonts w:hint="eastAsia" w:ascii="宋体" w:hAnsi="宋体" w:cs="宋体"/>
                <w:color w:val="auto"/>
                <w:sz w:val="24"/>
                <w:szCs w:val="24"/>
                <w:lang w:eastAsia="zh-CN"/>
              </w:rPr>
            </w:pPr>
            <w:r>
              <w:rPr>
                <w:rStyle w:val="28"/>
                <w:rFonts w:hint="eastAsia"/>
                <w:color w:val="auto"/>
                <w:kern w:val="0"/>
                <w:sz w:val="24"/>
                <w:szCs w:val="24"/>
                <w:lang w:eastAsia="zh-CN"/>
              </w:rPr>
              <w:t>根据</w:t>
            </w:r>
            <w:r>
              <w:rPr>
                <w:rFonts w:hint="eastAsia" w:ascii="宋体" w:hAnsi="宋体" w:eastAsia="宋体" w:cs="宋体"/>
                <w:color w:val="auto"/>
                <w:sz w:val="24"/>
                <w:szCs w:val="24"/>
              </w:rPr>
              <w:t>《企业拆除活动污染防治技术规定（试行）》（原环境保护部公告</w:t>
            </w:r>
            <w:r>
              <w:rPr>
                <w:rFonts w:hint="default" w:ascii="Times New Roman" w:hAnsi="Times New Roman" w:eastAsia="宋体" w:cs="Times New Roman"/>
                <w:color w:val="auto"/>
                <w:sz w:val="24"/>
                <w:szCs w:val="24"/>
              </w:rPr>
              <w:t>2017年第78</w:t>
            </w:r>
            <w:r>
              <w:rPr>
                <w:rFonts w:hint="eastAsia" w:ascii="宋体" w:hAnsi="宋体" w:eastAsia="宋体" w:cs="宋体"/>
                <w:color w:val="auto"/>
                <w:sz w:val="24"/>
                <w:szCs w:val="24"/>
              </w:rPr>
              <w:t>号）</w:t>
            </w:r>
            <w:r>
              <w:rPr>
                <w:rFonts w:hint="eastAsia" w:ascii="宋体" w:hAnsi="宋体" w:cs="宋体"/>
                <w:color w:val="auto"/>
                <w:sz w:val="24"/>
                <w:szCs w:val="24"/>
                <w:lang w:eastAsia="zh-CN"/>
              </w:rPr>
              <w:t>中相关要求，本次环评对拆除工作提出了以下几点要求：</w:t>
            </w:r>
          </w:p>
          <w:p>
            <w:pPr>
              <w:spacing w:line="360" w:lineRule="auto"/>
              <w:ind w:firstLine="480" w:firstLineChars="200"/>
              <w:rPr>
                <w:rFonts w:ascii="宋体" w:hAnsi="宋体" w:eastAsia="宋体" w:cs="宋体"/>
                <w:color w:val="auto"/>
                <w:sz w:val="24"/>
                <w:szCs w:val="24"/>
              </w:rPr>
            </w:pPr>
            <w:r>
              <w:rPr>
                <w:rFonts w:hint="default" w:ascii="Times New Roman" w:hAnsi="Times New Roman" w:cs="Times New Roman"/>
                <w:color w:val="auto"/>
                <w:sz w:val="24"/>
                <w:szCs w:val="24"/>
                <w:lang w:eastAsia="zh-CN"/>
              </w:rPr>
              <w:t>①</w:t>
            </w:r>
            <w:r>
              <w:rPr>
                <w:rFonts w:hint="eastAsia" w:ascii="Times New Roman" w:hAnsi="Times New Roman" w:cs="Times New Roman"/>
                <w:color w:val="auto"/>
                <w:sz w:val="24"/>
                <w:szCs w:val="24"/>
                <w:lang w:eastAsia="zh-CN"/>
              </w:rPr>
              <w:t>为防止废水污染土壤，</w:t>
            </w:r>
            <w:r>
              <w:rPr>
                <w:rFonts w:ascii="宋体" w:hAnsi="宋体" w:eastAsia="宋体" w:cs="宋体"/>
                <w:color w:val="auto"/>
                <w:sz w:val="24"/>
                <w:szCs w:val="24"/>
              </w:rPr>
              <w:t>拆除活动应充分利用原有雨污分流、废水收集及处理系统，对拆除现场及拆除过程中产生的各类废水（含清洗废水）、污水、积水收集处理，禁止随意排放。没有收集处理系统或原有收集处理系统不可用的，应采取临时收集处理措施。物料放空、拆解、清洗、临时堆放等区域，应设置适当的防雨、防渗、拦挡等隔离措施，必要时设置围堰，防止废水外溢或渗漏。对现场遗留的污水、废水以及拆除过程产生的废水等，应当制定后续处理方案。</w:t>
            </w:r>
          </w:p>
          <w:p>
            <w:pPr>
              <w:spacing w:line="360" w:lineRule="auto"/>
              <w:ind w:firstLine="480" w:firstLineChars="200"/>
              <w:rPr>
                <w:rFonts w:hint="eastAsia" w:eastAsia="宋体"/>
                <w:lang w:eastAsia="zh-CN"/>
              </w:rPr>
            </w:pPr>
            <w:r>
              <w:rPr>
                <w:rFonts w:hint="default" w:ascii="Times New Roman" w:hAnsi="Times New Roman" w:cs="Times New Roman"/>
                <w:color w:val="auto"/>
                <w:sz w:val="24"/>
                <w:szCs w:val="24"/>
                <w:lang w:eastAsia="zh-CN"/>
              </w:rPr>
              <w:t>②</w:t>
            </w:r>
            <w:r>
              <w:rPr>
                <w:rFonts w:hint="eastAsia" w:ascii="Times New Roman" w:hAnsi="Times New Roman" w:cs="Times New Roman"/>
                <w:color w:val="auto"/>
                <w:sz w:val="24"/>
                <w:szCs w:val="24"/>
                <w:lang w:eastAsia="zh-CN"/>
              </w:rPr>
              <w:t>为防止固体废物污染土壤，</w:t>
            </w:r>
            <w:r>
              <w:rPr>
                <w:rFonts w:ascii="宋体" w:hAnsi="宋体" w:eastAsia="宋体" w:cs="宋体"/>
                <w:color w:val="auto"/>
                <w:sz w:val="24"/>
                <w:szCs w:val="24"/>
              </w:rPr>
              <w:t>拆除活动中应尽量减少固体废物的产生。对遗留的固体废物，以及拆除活动产生的建筑垃圾、第</w:t>
            </w:r>
            <w:r>
              <w:rPr>
                <w:rFonts w:hint="default" w:ascii="Times New Roman" w:hAnsi="Times New Roman" w:eastAsia="宋体" w:cs="Times New Roman"/>
                <w:color w:val="auto"/>
                <w:sz w:val="24"/>
                <w:szCs w:val="24"/>
              </w:rPr>
              <w:t>I</w:t>
            </w:r>
            <w:r>
              <w:rPr>
                <w:rFonts w:ascii="宋体" w:hAnsi="宋体" w:eastAsia="宋体" w:cs="宋体"/>
                <w:color w:val="auto"/>
                <w:sz w:val="24"/>
                <w:szCs w:val="24"/>
              </w:rPr>
              <w:t>类一般工业固体废物、第</w:t>
            </w:r>
            <w:r>
              <w:rPr>
                <w:rFonts w:hint="default" w:ascii="Times New Roman" w:hAnsi="Times New Roman" w:eastAsia="宋体" w:cs="Times New Roman"/>
                <w:color w:val="auto"/>
                <w:sz w:val="24"/>
                <w:szCs w:val="24"/>
              </w:rPr>
              <w:t>II</w:t>
            </w:r>
            <w:r>
              <w:rPr>
                <w:rFonts w:ascii="宋体" w:hAnsi="宋体" w:eastAsia="宋体" w:cs="宋体"/>
                <w:color w:val="auto"/>
                <w:sz w:val="24"/>
                <w:szCs w:val="24"/>
              </w:rPr>
              <w:t>类一般工业固体废物、危险废物需要现场暂存的，应当分类贮存，贮存区域应当采取必要的防渗漏（如水泥硬化）等措施，并分别制定后续处理或利用处置方案。</w:t>
            </w:r>
          </w:p>
        </w:tc>
      </w:tr>
    </w:tbl>
    <w:p>
      <w:pPr>
        <w:pStyle w:val="20"/>
        <w:jc w:val="center"/>
        <w:rPr>
          <w:rFonts w:ascii="黑体" w:hAnsi="黑体" w:eastAsia="黑体"/>
          <w:snapToGrid w:val="0"/>
          <w:sz w:val="36"/>
          <w:szCs w:val="36"/>
        </w:rPr>
        <w:sectPr>
          <w:pgSz w:w="11906" w:h="16838"/>
          <w:pgMar w:top="1701" w:right="1531" w:bottom="1701" w:left="1531" w:header="851" w:footer="851" w:gutter="0"/>
          <w:cols w:space="720" w:num="1"/>
          <w:docGrid w:linePitch="312" w:charSpace="0"/>
        </w:sectPr>
      </w:pPr>
    </w:p>
    <w:p>
      <w:pPr>
        <w:pStyle w:val="20"/>
        <w:jc w:val="center"/>
        <w:outlineLvl w:val="0"/>
        <w:rPr>
          <w:rFonts w:ascii="黑体" w:hAnsi="黑体" w:eastAsia="黑体"/>
          <w:snapToGrid w:val="0"/>
          <w:sz w:val="30"/>
          <w:szCs w:val="30"/>
        </w:rPr>
      </w:pPr>
      <w:r>
        <w:rPr>
          <w:rFonts w:hint="eastAsia" w:ascii="黑体" w:hAnsi="黑体" w:eastAsia="黑体" w:cs="黑体"/>
          <w:snapToGrid w:val="0"/>
          <w:sz w:val="30"/>
          <w:szCs w:val="30"/>
        </w:rPr>
        <w:t>三、区域环境质量现状、环境保护目标及评价标准</w:t>
      </w:r>
    </w:p>
    <w:tbl>
      <w:tblPr>
        <w:tblStyle w:val="23"/>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00"/>
        <w:gridCol w:w="819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91" w:hRule="atLeast"/>
          <w:jc w:val="center"/>
        </w:trPr>
        <w:tc>
          <w:tcPr>
            <w:tcW w:w="800" w:type="dxa"/>
            <w:tcBorders>
              <w:top w:val="single" w:color="auto" w:sz="8" w:space="0"/>
            </w:tcBorders>
            <w:vAlign w:val="center"/>
          </w:tcPr>
          <w:p>
            <w:pPr>
              <w:adjustRightInd w:val="0"/>
              <w:snapToGrid w:val="0"/>
              <w:jc w:val="center"/>
              <w:rPr>
                <w:kern w:val="0"/>
              </w:rPr>
            </w:pPr>
            <w:r>
              <w:rPr>
                <w:kern w:val="0"/>
              </w:rPr>
              <w:t>区域</w:t>
            </w:r>
          </w:p>
          <w:p>
            <w:pPr>
              <w:adjustRightInd w:val="0"/>
              <w:snapToGrid w:val="0"/>
              <w:jc w:val="center"/>
              <w:rPr>
                <w:kern w:val="0"/>
              </w:rPr>
            </w:pPr>
            <w:r>
              <w:rPr>
                <w:kern w:val="0"/>
              </w:rPr>
              <w:t>环境</w:t>
            </w:r>
          </w:p>
          <w:p>
            <w:pPr>
              <w:adjustRightInd w:val="0"/>
              <w:snapToGrid w:val="0"/>
              <w:jc w:val="center"/>
              <w:rPr>
                <w:kern w:val="0"/>
              </w:rPr>
            </w:pPr>
            <w:r>
              <w:rPr>
                <w:kern w:val="0"/>
              </w:rPr>
              <w:t>质量</w:t>
            </w:r>
          </w:p>
          <w:p>
            <w:pPr>
              <w:adjustRightInd w:val="0"/>
              <w:snapToGrid w:val="0"/>
              <w:jc w:val="center"/>
              <w:rPr>
                <w:kern w:val="0"/>
              </w:rPr>
            </w:pPr>
            <w:r>
              <w:rPr>
                <w:kern w:val="0"/>
              </w:rPr>
              <w:t>现状</w:t>
            </w:r>
          </w:p>
        </w:tc>
        <w:tc>
          <w:tcPr>
            <w:tcW w:w="8190" w:type="dxa"/>
            <w:tcBorders>
              <w:top w:val="single" w:color="auto" w:sz="8" w:space="0"/>
            </w:tcBorders>
          </w:tcPr>
          <w:p>
            <w:pPr>
              <w:adjustRightInd w:val="0"/>
              <w:snapToGrid w:val="0"/>
              <w:spacing w:line="360" w:lineRule="auto"/>
              <w:ind w:firstLine="482" w:firstLineChars="200"/>
              <w:rPr>
                <w:sz w:val="24"/>
                <w:szCs w:val="24"/>
              </w:rPr>
            </w:pPr>
            <w:r>
              <w:rPr>
                <w:rFonts w:hint="eastAsia"/>
                <w:b/>
                <w:bCs/>
                <w:sz w:val="24"/>
                <w:szCs w:val="24"/>
              </w:rPr>
              <w:t>1、</w:t>
            </w:r>
            <w:r>
              <w:rPr>
                <w:b/>
                <w:bCs/>
                <w:sz w:val="24"/>
                <w:szCs w:val="24"/>
              </w:rPr>
              <w:t>环境空气</w:t>
            </w:r>
          </w:p>
          <w:p>
            <w:pPr>
              <w:spacing w:line="360" w:lineRule="auto"/>
              <w:ind w:firstLine="480" w:firstLineChars="200"/>
              <w:rPr>
                <w:sz w:val="24"/>
                <w:szCs w:val="24"/>
              </w:rPr>
            </w:pPr>
            <w:r>
              <w:rPr>
                <w:sz w:val="24"/>
                <w:szCs w:val="24"/>
              </w:rPr>
              <w:t>（1）根据</w:t>
            </w:r>
            <w:r>
              <w:rPr>
                <w:rFonts w:hint="eastAsia"/>
                <w:color w:val="auto"/>
                <w:sz w:val="24"/>
              </w:rPr>
              <w:t>宿州市2020年环境质量公报以及</w:t>
            </w:r>
            <w:r>
              <w:rPr>
                <w:rFonts w:hint="eastAsia" w:ascii="宋体" w:hAnsi="宋体" w:cs="宋体"/>
                <w:color w:val="auto"/>
                <w:sz w:val="24"/>
                <w:szCs w:val="24"/>
              </w:rPr>
              <w:t>“基于</w:t>
            </w:r>
            <w:r>
              <w:rPr>
                <w:rFonts w:hint="eastAsia" w:ascii="宋体" w:hAnsi="宋体" w:cs="宋体"/>
                <w:sz w:val="24"/>
                <w:szCs w:val="24"/>
              </w:rPr>
              <w:t>互联网的环境影响评价技术服务平台”</w:t>
            </w:r>
            <w:r>
              <w:rPr>
                <w:sz w:val="24"/>
                <w:szCs w:val="24"/>
              </w:rPr>
              <w:t>发布的信息，宿州市2020年环境空气质量基础污染物监测浓度见下表3-1：</w:t>
            </w:r>
          </w:p>
          <w:p>
            <w:pPr>
              <w:spacing w:line="360" w:lineRule="auto"/>
              <w:jc w:val="center"/>
              <w:rPr>
                <w:sz w:val="24"/>
                <w:szCs w:val="24"/>
              </w:rPr>
            </w:pPr>
            <w:r>
              <w:rPr>
                <w:b/>
                <w:bCs/>
                <w:sz w:val="24"/>
                <w:szCs w:val="24"/>
              </w:rPr>
              <w:t>表3-1  区域空气质量现状评价表</w:t>
            </w:r>
          </w:p>
          <w:tbl>
            <w:tblPr>
              <w:tblStyle w:val="23"/>
              <w:tblW w:w="8105"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826"/>
              <w:gridCol w:w="2634"/>
              <w:gridCol w:w="1707"/>
              <w:gridCol w:w="1143"/>
              <w:gridCol w:w="890"/>
              <w:gridCol w:w="90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796" w:hRule="atLeast"/>
                <w:jc w:val="center"/>
              </w:trPr>
              <w:tc>
                <w:tcPr>
                  <w:tcW w:w="509" w:type="pct"/>
                  <w:tcBorders>
                    <w:top w:val="single" w:color="auto" w:sz="6" w:space="0"/>
                    <w:left w:val="single" w:color="auto" w:sz="6" w:space="0"/>
                    <w:bottom w:val="single" w:color="auto" w:sz="6" w:space="0"/>
                    <w:right w:val="single" w:color="auto" w:sz="6" w:space="0"/>
                  </w:tcBorders>
                  <w:vAlign w:val="center"/>
                </w:tcPr>
                <w:p>
                  <w:pPr>
                    <w:jc w:val="center"/>
                  </w:pPr>
                  <w:r>
                    <w:t>污染物</w:t>
                  </w:r>
                </w:p>
              </w:tc>
              <w:tc>
                <w:tcPr>
                  <w:tcW w:w="1624" w:type="pct"/>
                  <w:tcBorders>
                    <w:top w:val="single" w:color="auto" w:sz="6" w:space="0"/>
                    <w:left w:val="single" w:color="auto" w:sz="6" w:space="0"/>
                    <w:bottom w:val="single" w:color="auto" w:sz="6" w:space="0"/>
                    <w:right w:val="single" w:color="auto" w:sz="6" w:space="0"/>
                  </w:tcBorders>
                  <w:vAlign w:val="center"/>
                </w:tcPr>
                <w:p>
                  <w:pPr>
                    <w:jc w:val="center"/>
                  </w:pPr>
                  <w:r>
                    <w:t>年评价指标</w:t>
                  </w:r>
                </w:p>
              </w:tc>
              <w:tc>
                <w:tcPr>
                  <w:tcW w:w="1053" w:type="pct"/>
                  <w:tcBorders>
                    <w:top w:val="single" w:color="auto" w:sz="6" w:space="0"/>
                    <w:left w:val="single" w:color="auto" w:sz="6" w:space="0"/>
                    <w:bottom w:val="single" w:color="auto" w:sz="6" w:space="0"/>
                    <w:right w:val="single" w:color="auto" w:sz="6" w:space="0"/>
                  </w:tcBorders>
                  <w:vAlign w:val="center"/>
                </w:tcPr>
                <w:p>
                  <w:pPr>
                    <w:jc w:val="center"/>
                  </w:pPr>
                  <w:r>
                    <w:t>现状浓度（ug/m</w:t>
                  </w:r>
                  <w:r>
                    <w:rPr>
                      <w:vertAlign w:val="superscript"/>
                    </w:rPr>
                    <w:t>3</w:t>
                  </w:r>
                  <w:r>
                    <w:t>）</w:t>
                  </w:r>
                </w:p>
              </w:tc>
              <w:tc>
                <w:tcPr>
                  <w:tcW w:w="705" w:type="pct"/>
                  <w:tcBorders>
                    <w:top w:val="single" w:color="auto" w:sz="6" w:space="0"/>
                    <w:left w:val="single" w:color="auto" w:sz="6" w:space="0"/>
                    <w:bottom w:val="single" w:color="auto" w:sz="6" w:space="0"/>
                    <w:right w:val="single" w:color="auto" w:sz="6" w:space="0"/>
                  </w:tcBorders>
                  <w:vAlign w:val="center"/>
                </w:tcPr>
                <w:p>
                  <w:pPr>
                    <w:jc w:val="center"/>
                  </w:pPr>
                  <w:r>
                    <w:t>标准值（ug/m</w:t>
                  </w:r>
                  <w:r>
                    <w:rPr>
                      <w:vertAlign w:val="superscript"/>
                    </w:rPr>
                    <w:t>3</w:t>
                  </w:r>
                  <w:r>
                    <w:t>）</w:t>
                  </w:r>
                </w:p>
              </w:tc>
              <w:tc>
                <w:tcPr>
                  <w:tcW w:w="549" w:type="pct"/>
                  <w:tcBorders>
                    <w:top w:val="single" w:color="auto" w:sz="6" w:space="0"/>
                    <w:left w:val="single" w:color="auto" w:sz="6" w:space="0"/>
                    <w:bottom w:val="single" w:color="auto" w:sz="6" w:space="0"/>
                    <w:right w:val="single" w:color="auto" w:sz="6" w:space="0"/>
                  </w:tcBorders>
                  <w:vAlign w:val="center"/>
                </w:tcPr>
                <w:p>
                  <w:pPr>
                    <w:jc w:val="center"/>
                  </w:pPr>
                  <w:r>
                    <w:t>占标率</w:t>
                  </w:r>
                </w:p>
              </w:tc>
              <w:tc>
                <w:tcPr>
                  <w:tcW w:w="558" w:type="pct"/>
                  <w:tcBorders>
                    <w:top w:val="single" w:color="auto" w:sz="6" w:space="0"/>
                    <w:left w:val="single" w:color="auto" w:sz="6" w:space="0"/>
                    <w:bottom w:val="single" w:color="auto" w:sz="6" w:space="0"/>
                    <w:right w:val="single" w:color="auto" w:sz="6" w:space="0"/>
                  </w:tcBorders>
                  <w:vAlign w:val="center"/>
                </w:tcPr>
                <w:p>
                  <w:pPr>
                    <w:jc w:val="center"/>
                  </w:pPr>
                  <w:r>
                    <w:t>达标情况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36" w:hRule="atLeast"/>
                <w:jc w:val="center"/>
              </w:trPr>
              <w:tc>
                <w:tcPr>
                  <w:tcW w:w="509" w:type="pct"/>
                  <w:tcBorders>
                    <w:top w:val="single" w:color="auto" w:sz="6" w:space="0"/>
                    <w:left w:val="single" w:color="auto" w:sz="6" w:space="0"/>
                    <w:bottom w:val="single" w:color="auto" w:sz="6" w:space="0"/>
                    <w:right w:val="single" w:color="auto" w:sz="6" w:space="0"/>
                  </w:tcBorders>
                  <w:vAlign w:val="center"/>
                </w:tcPr>
                <w:p>
                  <w:pPr>
                    <w:jc w:val="center"/>
                  </w:pPr>
                  <w:r>
                    <w:t>SO</w:t>
                  </w:r>
                  <w:r>
                    <w:rPr>
                      <w:vertAlign w:val="subscript"/>
                    </w:rPr>
                    <w:t>2</w:t>
                  </w:r>
                </w:p>
              </w:tc>
              <w:tc>
                <w:tcPr>
                  <w:tcW w:w="1624" w:type="pct"/>
                  <w:tcBorders>
                    <w:top w:val="single" w:color="auto" w:sz="6" w:space="0"/>
                    <w:left w:val="single" w:color="auto" w:sz="6" w:space="0"/>
                    <w:bottom w:val="single" w:color="auto" w:sz="6" w:space="0"/>
                    <w:right w:val="single" w:color="auto" w:sz="6" w:space="0"/>
                  </w:tcBorders>
                  <w:vAlign w:val="center"/>
                </w:tcPr>
                <w:p>
                  <w:pPr>
                    <w:jc w:val="center"/>
                  </w:pPr>
                  <w:r>
                    <w:t>年平均质量浓度</w:t>
                  </w:r>
                </w:p>
              </w:tc>
              <w:tc>
                <w:tcPr>
                  <w:tcW w:w="1053" w:type="pct"/>
                  <w:tcBorders>
                    <w:top w:val="single" w:color="auto" w:sz="6" w:space="0"/>
                    <w:left w:val="single" w:color="auto" w:sz="6" w:space="0"/>
                    <w:bottom w:val="single" w:color="auto" w:sz="6" w:space="0"/>
                    <w:right w:val="single" w:color="auto" w:sz="6" w:space="0"/>
                  </w:tcBorders>
                  <w:vAlign w:val="center"/>
                </w:tcPr>
                <w:p>
                  <w:pPr>
                    <w:jc w:val="center"/>
                  </w:pPr>
                  <w:r>
                    <w:t>7</w:t>
                  </w:r>
                </w:p>
              </w:tc>
              <w:tc>
                <w:tcPr>
                  <w:tcW w:w="705" w:type="pct"/>
                  <w:tcBorders>
                    <w:top w:val="single" w:color="auto" w:sz="6" w:space="0"/>
                    <w:left w:val="single" w:color="auto" w:sz="6" w:space="0"/>
                    <w:bottom w:val="single" w:color="auto" w:sz="6" w:space="0"/>
                    <w:right w:val="single" w:color="auto" w:sz="6" w:space="0"/>
                  </w:tcBorders>
                  <w:vAlign w:val="center"/>
                </w:tcPr>
                <w:p>
                  <w:pPr>
                    <w:jc w:val="center"/>
                  </w:pPr>
                  <w:r>
                    <w:t>60</w:t>
                  </w:r>
                </w:p>
              </w:tc>
              <w:tc>
                <w:tcPr>
                  <w:tcW w:w="549" w:type="pct"/>
                  <w:tcBorders>
                    <w:top w:val="single" w:color="auto" w:sz="6" w:space="0"/>
                    <w:left w:val="single" w:color="auto" w:sz="6" w:space="0"/>
                    <w:bottom w:val="single" w:color="auto" w:sz="6" w:space="0"/>
                    <w:right w:val="single" w:color="auto" w:sz="6" w:space="0"/>
                  </w:tcBorders>
                  <w:vAlign w:val="center"/>
                </w:tcPr>
                <w:p>
                  <w:pPr>
                    <w:jc w:val="center"/>
                  </w:pPr>
                  <w:r>
                    <w:t>11.7%</w:t>
                  </w:r>
                </w:p>
              </w:tc>
              <w:tc>
                <w:tcPr>
                  <w:tcW w:w="558" w:type="pct"/>
                  <w:tcBorders>
                    <w:top w:val="single" w:color="auto" w:sz="6" w:space="0"/>
                    <w:left w:val="single" w:color="auto" w:sz="6" w:space="0"/>
                    <w:bottom w:val="single" w:color="auto" w:sz="6" w:space="0"/>
                    <w:right w:val="single" w:color="auto" w:sz="6" w:space="0"/>
                  </w:tcBorders>
                  <w:vAlign w:val="center"/>
                </w:tcPr>
                <w:p>
                  <w:pPr>
                    <w:jc w:val="center"/>
                  </w:pPr>
                  <w:r>
                    <w:t>达标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77" w:hRule="atLeast"/>
                <w:jc w:val="center"/>
              </w:trPr>
              <w:tc>
                <w:tcPr>
                  <w:tcW w:w="509" w:type="pct"/>
                  <w:tcBorders>
                    <w:top w:val="single" w:color="auto" w:sz="6" w:space="0"/>
                    <w:left w:val="single" w:color="auto" w:sz="6" w:space="0"/>
                    <w:bottom w:val="single" w:color="auto" w:sz="6" w:space="0"/>
                    <w:right w:val="single" w:color="auto" w:sz="6" w:space="0"/>
                  </w:tcBorders>
                  <w:vAlign w:val="center"/>
                </w:tcPr>
                <w:p>
                  <w:pPr>
                    <w:jc w:val="center"/>
                  </w:pPr>
                  <w:r>
                    <w:t>NO</w:t>
                  </w:r>
                  <w:r>
                    <w:rPr>
                      <w:vertAlign w:val="subscript"/>
                    </w:rPr>
                    <w:t>2</w:t>
                  </w:r>
                </w:p>
              </w:tc>
              <w:tc>
                <w:tcPr>
                  <w:tcW w:w="1624" w:type="pct"/>
                  <w:tcBorders>
                    <w:top w:val="single" w:color="auto" w:sz="6" w:space="0"/>
                    <w:left w:val="single" w:color="auto" w:sz="6" w:space="0"/>
                    <w:bottom w:val="single" w:color="auto" w:sz="6" w:space="0"/>
                    <w:right w:val="single" w:color="auto" w:sz="6" w:space="0"/>
                  </w:tcBorders>
                  <w:vAlign w:val="center"/>
                </w:tcPr>
                <w:p>
                  <w:pPr>
                    <w:jc w:val="center"/>
                  </w:pPr>
                  <w:r>
                    <w:t>年平均质量浓度</w:t>
                  </w:r>
                </w:p>
              </w:tc>
              <w:tc>
                <w:tcPr>
                  <w:tcW w:w="1053" w:type="pct"/>
                  <w:tcBorders>
                    <w:top w:val="single" w:color="auto" w:sz="6" w:space="0"/>
                    <w:left w:val="single" w:color="auto" w:sz="6" w:space="0"/>
                    <w:bottom w:val="single" w:color="auto" w:sz="6" w:space="0"/>
                    <w:right w:val="single" w:color="auto" w:sz="6" w:space="0"/>
                  </w:tcBorders>
                  <w:vAlign w:val="center"/>
                </w:tcPr>
                <w:p>
                  <w:pPr>
                    <w:jc w:val="center"/>
                  </w:pPr>
                  <w:r>
                    <w:t>27</w:t>
                  </w:r>
                </w:p>
              </w:tc>
              <w:tc>
                <w:tcPr>
                  <w:tcW w:w="705" w:type="pct"/>
                  <w:tcBorders>
                    <w:top w:val="single" w:color="auto" w:sz="6" w:space="0"/>
                    <w:left w:val="single" w:color="auto" w:sz="6" w:space="0"/>
                    <w:bottom w:val="single" w:color="auto" w:sz="6" w:space="0"/>
                    <w:right w:val="single" w:color="auto" w:sz="6" w:space="0"/>
                  </w:tcBorders>
                  <w:vAlign w:val="center"/>
                </w:tcPr>
                <w:p>
                  <w:pPr>
                    <w:jc w:val="center"/>
                  </w:pPr>
                  <w:r>
                    <w:t>40</w:t>
                  </w:r>
                </w:p>
              </w:tc>
              <w:tc>
                <w:tcPr>
                  <w:tcW w:w="549" w:type="pct"/>
                  <w:tcBorders>
                    <w:top w:val="single" w:color="auto" w:sz="6" w:space="0"/>
                    <w:left w:val="single" w:color="auto" w:sz="6" w:space="0"/>
                    <w:bottom w:val="single" w:color="auto" w:sz="6" w:space="0"/>
                    <w:right w:val="single" w:color="auto" w:sz="6" w:space="0"/>
                  </w:tcBorders>
                  <w:vAlign w:val="center"/>
                </w:tcPr>
                <w:p>
                  <w:pPr>
                    <w:jc w:val="center"/>
                  </w:pPr>
                  <w:r>
                    <w:t>67.5%</w:t>
                  </w:r>
                </w:p>
              </w:tc>
              <w:tc>
                <w:tcPr>
                  <w:tcW w:w="558" w:type="pct"/>
                  <w:tcBorders>
                    <w:top w:val="single" w:color="auto" w:sz="6" w:space="0"/>
                    <w:left w:val="single" w:color="auto" w:sz="6" w:space="0"/>
                    <w:bottom w:val="single" w:color="auto" w:sz="6" w:space="0"/>
                    <w:right w:val="single" w:color="auto" w:sz="6" w:space="0"/>
                  </w:tcBorders>
                  <w:vAlign w:val="center"/>
                </w:tcPr>
                <w:p>
                  <w:pPr>
                    <w:jc w:val="center"/>
                  </w:pPr>
                  <w:r>
                    <w:t>达标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07" w:hRule="atLeast"/>
                <w:jc w:val="center"/>
              </w:trPr>
              <w:tc>
                <w:tcPr>
                  <w:tcW w:w="509" w:type="pct"/>
                  <w:tcBorders>
                    <w:top w:val="single" w:color="auto" w:sz="6" w:space="0"/>
                    <w:left w:val="single" w:color="auto" w:sz="6" w:space="0"/>
                    <w:bottom w:val="single" w:color="auto" w:sz="6" w:space="0"/>
                    <w:right w:val="single" w:color="auto" w:sz="6" w:space="0"/>
                  </w:tcBorders>
                  <w:vAlign w:val="center"/>
                </w:tcPr>
                <w:p>
                  <w:pPr>
                    <w:jc w:val="center"/>
                  </w:pPr>
                  <w:r>
                    <w:t>PM</w:t>
                  </w:r>
                  <w:r>
                    <w:rPr>
                      <w:vertAlign w:val="subscript"/>
                    </w:rPr>
                    <w:t>10</w:t>
                  </w:r>
                </w:p>
              </w:tc>
              <w:tc>
                <w:tcPr>
                  <w:tcW w:w="1624" w:type="pct"/>
                  <w:tcBorders>
                    <w:top w:val="single" w:color="auto" w:sz="6" w:space="0"/>
                    <w:left w:val="single" w:color="auto" w:sz="6" w:space="0"/>
                    <w:bottom w:val="single" w:color="auto" w:sz="6" w:space="0"/>
                    <w:right w:val="single" w:color="auto" w:sz="6" w:space="0"/>
                  </w:tcBorders>
                  <w:vAlign w:val="center"/>
                </w:tcPr>
                <w:p>
                  <w:pPr>
                    <w:jc w:val="center"/>
                  </w:pPr>
                  <w:r>
                    <w:t>年平均质量浓度</w:t>
                  </w:r>
                </w:p>
              </w:tc>
              <w:tc>
                <w:tcPr>
                  <w:tcW w:w="1053" w:type="pct"/>
                  <w:tcBorders>
                    <w:top w:val="single" w:color="auto" w:sz="6" w:space="0"/>
                    <w:left w:val="single" w:color="auto" w:sz="6" w:space="0"/>
                    <w:bottom w:val="single" w:color="auto" w:sz="6" w:space="0"/>
                    <w:right w:val="single" w:color="auto" w:sz="6" w:space="0"/>
                  </w:tcBorders>
                  <w:vAlign w:val="center"/>
                </w:tcPr>
                <w:p>
                  <w:pPr>
                    <w:jc w:val="center"/>
                  </w:pPr>
                  <w:r>
                    <w:t>74</w:t>
                  </w:r>
                </w:p>
              </w:tc>
              <w:tc>
                <w:tcPr>
                  <w:tcW w:w="705" w:type="pct"/>
                  <w:tcBorders>
                    <w:top w:val="single" w:color="auto" w:sz="6" w:space="0"/>
                    <w:left w:val="single" w:color="auto" w:sz="6" w:space="0"/>
                    <w:bottom w:val="single" w:color="auto" w:sz="6" w:space="0"/>
                    <w:right w:val="single" w:color="auto" w:sz="6" w:space="0"/>
                  </w:tcBorders>
                  <w:vAlign w:val="center"/>
                </w:tcPr>
                <w:p>
                  <w:pPr>
                    <w:jc w:val="center"/>
                  </w:pPr>
                  <w:r>
                    <w:t>70</w:t>
                  </w:r>
                </w:p>
              </w:tc>
              <w:tc>
                <w:tcPr>
                  <w:tcW w:w="549" w:type="pct"/>
                  <w:tcBorders>
                    <w:top w:val="single" w:color="auto" w:sz="6" w:space="0"/>
                    <w:left w:val="single" w:color="auto" w:sz="6" w:space="0"/>
                    <w:bottom w:val="single" w:color="auto" w:sz="6" w:space="0"/>
                    <w:right w:val="single" w:color="auto" w:sz="6" w:space="0"/>
                  </w:tcBorders>
                  <w:vAlign w:val="center"/>
                </w:tcPr>
                <w:p>
                  <w:pPr>
                    <w:jc w:val="center"/>
                  </w:pPr>
                  <w:r>
                    <w:t>105%</w:t>
                  </w:r>
                </w:p>
              </w:tc>
              <w:tc>
                <w:tcPr>
                  <w:tcW w:w="558" w:type="pct"/>
                  <w:tcBorders>
                    <w:top w:val="single" w:color="auto" w:sz="6" w:space="0"/>
                    <w:left w:val="single" w:color="auto" w:sz="6" w:space="0"/>
                    <w:bottom w:val="single" w:color="auto" w:sz="6" w:space="0"/>
                    <w:right w:val="single" w:color="auto" w:sz="6" w:space="0"/>
                  </w:tcBorders>
                  <w:vAlign w:val="center"/>
                </w:tcPr>
                <w:p>
                  <w:pPr>
                    <w:jc w:val="center"/>
                  </w:pPr>
                  <w:r>
                    <w:t>不达标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97" w:hRule="atLeast"/>
                <w:jc w:val="center"/>
              </w:trPr>
              <w:tc>
                <w:tcPr>
                  <w:tcW w:w="509" w:type="pct"/>
                  <w:tcBorders>
                    <w:top w:val="single" w:color="auto" w:sz="6" w:space="0"/>
                    <w:left w:val="single" w:color="auto" w:sz="6" w:space="0"/>
                    <w:bottom w:val="single" w:color="auto" w:sz="6" w:space="0"/>
                    <w:right w:val="single" w:color="auto" w:sz="6" w:space="0"/>
                  </w:tcBorders>
                  <w:vAlign w:val="center"/>
                </w:tcPr>
                <w:p>
                  <w:pPr>
                    <w:jc w:val="center"/>
                  </w:pPr>
                  <w:r>
                    <w:t>PM</w:t>
                  </w:r>
                  <w:r>
                    <w:rPr>
                      <w:vertAlign w:val="subscript"/>
                    </w:rPr>
                    <w:t>2.5</w:t>
                  </w:r>
                </w:p>
              </w:tc>
              <w:tc>
                <w:tcPr>
                  <w:tcW w:w="1624" w:type="pct"/>
                  <w:tcBorders>
                    <w:top w:val="single" w:color="auto" w:sz="6" w:space="0"/>
                    <w:left w:val="single" w:color="auto" w:sz="6" w:space="0"/>
                    <w:bottom w:val="single" w:color="auto" w:sz="6" w:space="0"/>
                    <w:right w:val="single" w:color="auto" w:sz="6" w:space="0"/>
                  </w:tcBorders>
                  <w:vAlign w:val="center"/>
                </w:tcPr>
                <w:p>
                  <w:pPr>
                    <w:jc w:val="center"/>
                  </w:pPr>
                  <w:r>
                    <w:t>年平均质量浓度</w:t>
                  </w:r>
                </w:p>
              </w:tc>
              <w:tc>
                <w:tcPr>
                  <w:tcW w:w="1053" w:type="pct"/>
                  <w:tcBorders>
                    <w:top w:val="single" w:color="auto" w:sz="6" w:space="0"/>
                    <w:left w:val="single" w:color="auto" w:sz="6" w:space="0"/>
                    <w:bottom w:val="single" w:color="auto" w:sz="6" w:space="0"/>
                    <w:right w:val="single" w:color="auto" w:sz="6" w:space="0"/>
                  </w:tcBorders>
                  <w:vAlign w:val="center"/>
                </w:tcPr>
                <w:p>
                  <w:pPr>
                    <w:jc w:val="center"/>
                  </w:pPr>
                  <w:r>
                    <w:t>46</w:t>
                  </w:r>
                </w:p>
              </w:tc>
              <w:tc>
                <w:tcPr>
                  <w:tcW w:w="705" w:type="pct"/>
                  <w:tcBorders>
                    <w:top w:val="single" w:color="auto" w:sz="6" w:space="0"/>
                    <w:left w:val="single" w:color="auto" w:sz="6" w:space="0"/>
                    <w:bottom w:val="single" w:color="auto" w:sz="6" w:space="0"/>
                    <w:right w:val="single" w:color="auto" w:sz="6" w:space="0"/>
                  </w:tcBorders>
                  <w:vAlign w:val="center"/>
                </w:tcPr>
                <w:p>
                  <w:pPr>
                    <w:jc w:val="center"/>
                  </w:pPr>
                  <w:r>
                    <w:t>35</w:t>
                  </w:r>
                </w:p>
              </w:tc>
              <w:tc>
                <w:tcPr>
                  <w:tcW w:w="549" w:type="pct"/>
                  <w:tcBorders>
                    <w:top w:val="single" w:color="auto" w:sz="6" w:space="0"/>
                    <w:left w:val="single" w:color="auto" w:sz="6" w:space="0"/>
                    <w:bottom w:val="single" w:color="auto" w:sz="6" w:space="0"/>
                    <w:right w:val="single" w:color="auto" w:sz="6" w:space="0"/>
                  </w:tcBorders>
                  <w:vAlign w:val="center"/>
                </w:tcPr>
                <w:p>
                  <w:pPr>
                    <w:jc w:val="center"/>
                  </w:pPr>
                  <w:r>
                    <w:t>131%</w:t>
                  </w:r>
                </w:p>
              </w:tc>
              <w:tc>
                <w:tcPr>
                  <w:tcW w:w="558" w:type="pct"/>
                  <w:tcBorders>
                    <w:top w:val="single" w:color="auto" w:sz="6" w:space="0"/>
                    <w:left w:val="single" w:color="auto" w:sz="6" w:space="0"/>
                    <w:bottom w:val="single" w:color="auto" w:sz="6" w:space="0"/>
                    <w:right w:val="single" w:color="auto" w:sz="6" w:space="0"/>
                  </w:tcBorders>
                  <w:vAlign w:val="center"/>
                </w:tcPr>
                <w:p>
                  <w:pPr>
                    <w:jc w:val="center"/>
                  </w:pPr>
                  <w:r>
                    <w:t>不达标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03" w:hRule="atLeast"/>
                <w:jc w:val="center"/>
              </w:trPr>
              <w:tc>
                <w:tcPr>
                  <w:tcW w:w="509" w:type="pct"/>
                  <w:tcBorders>
                    <w:top w:val="single" w:color="auto" w:sz="6" w:space="0"/>
                    <w:left w:val="single" w:color="auto" w:sz="6" w:space="0"/>
                    <w:bottom w:val="single" w:color="auto" w:sz="6" w:space="0"/>
                    <w:right w:val="single" w:color="auto" w:sz="6" w:space="0"/>
                  </w:tcBorders>
                  <w:vAlign w:val="center"/>
                </w:tcPr>
                <w:p>
                  <w:pPr>
                    <w:jc w:val="center"/>
                  </w:pPr>
                  <w:r>
                    <w:t>CO</w:t>
                  </w:r>
                </w:p>
              </w:tc>
              <w:tc>
                <w:tcPr>
                  <w:tcW w:w="1624" w:type="pct"/>
                  <w:tcBorders>
                    <w:top w:val="single" w:color="auto" w:sz="6" w:space="0"/>
                    <w:left w:val="single" w:color="auto" w:sz="6" w:space="0"/>
                    <w:bottom w:val="single" w:color="auto" w:sz="6" w:space="0"/>
                    <w:right w:val="single" w:color="auto" w:sz="6" w:space="0"/>
                  </w:tcBorders>
                  <w:vAlign w:val="center"/>
                </w:tcPr>
                <w:p>
                  <w:pPr>
                    <w:jc w:val="center"/>
                  </w:pPr>
                  <w:r>
                    <w:t>24小时平均第95百分位数</w:t>
                  </w:r>
                </w:p>
              </w:tc>
              <w:tc>
                <w:tcPr>
                  <w:tcW w:w="1053" w:type="pct"/>
                  <w:tcBorders>
                    <w:top w:val="single" w:color="auto" w:sz="6" w:space="0"/>
                    <w:left w:val="single" w:color="auto" w:sz="6" w:space="0"/>
                    <w:bottom w:val="single" w:color="auto" w:sz="6" w:space="0"/>
                    <w:right w:val="single" w:color="auto" w:sz="6" w:space="0"/>
                  </w:tcBorders>
                  <w:vAlign w:val="center"/>
                </w:tcPr>
                <w:p>
                  <w:pPr>
                    <w:jc w:val="center"/>
                  </w:pPr>
                  <w:r>
                    <w:t>1100</w:t>
                  </w:r>
                </w:p>
              </w:tc>
              <w:tc>
                <w:tcPr>
                  <w:tcW w:w="705" w:type="pct"/>
                  <w:tcBorders>
                    <w:top w:val="single" w:color="auto" w:sz="6" w:space="0"/>
                    <w:left w:val="single" w:color="auto" w:sz="6" w:space="0"/>
                    <w:bottom w:val="single" w:color="auto" w:sz="6" w:space="0"/>
                    <w:right w:val="single" w:color="auto" w:sz="6" w:space="0"/>
                  </w:tcBorders>
                  <w:vAlign w:val="center"/>
                </w:tcPr>
                <w:p>
                  <w:pPr>
                    <w:jc w:val="center"/>
                  </w:pPr>
                  <w:r>
                    <w:t>4000</w:t>
                  </w:r>
                </w:p>
              </w:tc>
              <w:tc>
                <w:tcPr>
                  <w:tcW w:w="549" w:type="pct"/>
                  <w:tcBorders>
                    <w:top w:val="single" w:color="auto" w:sz="6" w:space="0"/>
                    <w:left w:val="single" w:color="auto" w:sz="6" w:space="0"/>
                    <w:bottom w:val="single" w:color="auto" w:sz="6" w:space="0"/>
                    <w:right w:val="single" w:color="auto" w:sz="6" w:space="0"/>
                  </w:tcBorders>
                  <w:vAlign w:val="center"/>
                </w:tcPr>
                <w:p>
                  <w:pPr>
                    <w:jc w:val="center"/>
                  </w:pPr>
                  <w:r>
                    <w:t>27.5%</w:t>
                  </w:r>
                </w:p>
              </w:tc>
              <w:tc>
                <w:tcPr>
                  <w:tcW w:w="558" w:type="pct"/>
                  <w:tcBorders>
                    <w:top w:val="single" w:color="auto" w:sz="6" w:space="0"/>
                    <w:left w:val="single" w:color="auto" w:sz="6" w:space="0"/>
                    <w:bottom w:val="single" w:color="auto" w:sz="6" w:space="0"/>
                    <w:right w:val="single" w:color="auto" w:sz="6" w:space="0"/>
                  </w:tcBorders>
                  <w:vAlign w:val="center"/>
                </w:tcPr>
                <w:p>
                  <w:pPr>
                    <w:jc w:val="center"/>
                  </w:pPr>
                  <w:r>
                    <w:t>达标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63" w:hRule="atLeast"/>
                <w:jc w:val="center"/>
              </w:trPr>
              <w:tc>
                <w:tcPr>
                  <w:tcW w:w="509" w:type="pct"/>
                  <w:tcBorders>
                    <w:top w:val="single" w:color="auto" w:sz="6" w:space="0"/>
                    <w:left w:val="single" w:color="auto" w:sz="6" w:space="0"/>
                    <w:bottom w:val="single" w:color="auto" w:sz="6" w:space="0"/>
                    <w:right w:val="single" w:color="auto" w:sz="6" w:space="0"/>
                  </w:tcBorders>
                  <w:vAlign w:val="center"/>
                </w:tcPr>
                <w:p>
                  <w:pPr>
                    <w:jc w:val="center"/>
                  </w:pPr>
                  <w:r>
                    <w:t>O</w:t>
                  </w:r>
                  <w:r>
                    <w:rPr>
                      <w:vertAlign w:val="subscript"/>
                    </w:rPr>
                    <w:t>3</w:t>
                  </w:r>
                </w:p>
              </w:tc>
              <w:tc>
                <w:tcPr>
                  <w:tcW w:w="1624" w:type="pct"/>
                  <w:tcBorders>
                    <w:top w:val="single" w:color="auto" w:sz="6" w:space="0"/>
                    <w:left w:val="single" w:color="auto" w:sz="6" w:space="0"/>
                    <w:bottom w:val="single" w:color="auto" w:sz="6" w:space="0"/>
                    <w:right w:val="single" w:color="auto" w:sz="6" w:space="0"/>
                  </w:tcBorders>
                  <w:vAlign w:val="center"/>
                </w:tcPr>
                <w:p>
                  <w:pPr>
                    <w:jc w:val="center"/>
                  </w:pPr>
                  <w:r>
                    <w:t>日最大8小时平均第90百分位数</w:t>
                  </w:r>
                </w:p>
              </w:tc>
              <w:tc>
                <w:tcPr>
                  <w:tcW w:w="1053" w:type="pct"/>
                  <w:tcBorders>
                    <w:top w:val="single" w:color="auto" w:sz="6" w:space="0"/>
                    <w:left w:val="single" w:color="auto" w:sz="6" w:space="0"/>
                    <w:bottom w:val="single" w:color="auto" w:sz="6" w:space="0"/>
                    <w:right w:val="single" w:color="auto" w:sz="6" w:space="0"/>
                  </w:tcBorders>
                  <w:vAlign w:val="center"/>
                </w:tcPr>
                <w:p>
                  <w:pPr>
                    <w:jc w:val="center"/>
                  </w:pPr>
                  <w:r>
                    <w:t>162</w:t>
                  </w:r>
                </w:p>
              </w:tc>
              <w:tc>
                <w:tcPr>
                  <w:tcW w:w="705" w:type="pct"/>
                  <w:tcBorders>
                    <w:top w:val="single" w:color="auto" w:sz="6" w:space="0"/>
                    <w:left w:val="single" w:color="auto" w:sz="6" w:space="0"/>
                    <w:bottom w:val="single" w:color="auto" w:sz="6" w:space="0"/>
                    <w:right w:val="single" w:color="auto" w:sz="6" w:space="0"/>
                  </w:tcBorders>
                  <w:vAlign w:val="center"/>
                </w:tcPr>
                <w:p>
                  <w:pPr>
                    <w:jc w:val="center"/>
                  </w:pPr>
                  <w:r>
                    <w:t>160</w:t>
                  </w:r>
                </w:p>
              </w:tc>
              <w:tc>
                <w:tcPr>
                  <w:tcW w:w="549" w:type="pct"/>
                  <w:tcBorders>
                    <w:top w:val="single" w:color="auto" w:sz="6" w:space="0"/>
                    <w:left w:val="single" w:color="auto" w:sz="6" w:space="0"/>
                    <w:bottom w:val="single" w:color="auto" w:sz="6" w:space="0"/>
                    <w:right w:val="single" w:color="auto" w:sz="6" w:space="0"/>
                  </w:tcBorders>
                  <w:vAlign w:val="center"/>
                </w:tcPr>
                <w:p>
                  <w:pPr>
                    <w:jc w:val="center"/>
                  </w:pPr>
                  <w:r>
                    <w:t>101%</w:t>
                  </w:r>
                </w:p>
              </w:tc>
              <w:tc>
                <w:tcPr>
                  <w:tcW w:w="558" w:type="pct"/>
                  <w:tcBorders>
                    <w:top w:val="single" w:color="auto" w:sz="6" w:space="0"/>
                    <w:left w:val="single" w:color="auto" w:sz="6" w:space="0"/>
                    <w:bottom w:val="single" w:color="auto" w:sz="6" w:space="0"/>
                    <w:right w:val="single" w:color="auto" w:sz="6" w:space="0"/>
                  </w:tcBorders>
                  <w:vAlign w:val="center"/>
                </w:tcPr>
                <w:p>
                  <w:pPr>
                    <w:jc w:val="center"/>
                  </w:pPr>
                  <w:r>
                    <w:t>不达标</w:t>
                  </w:r>
                </w:p>
              </w:tc>
            </w:tr>
          </w:tbl>
          <w:p>
            <w:pPr>
              <w:spacing w:line="360" w:lineRule="auto"/>
              <w:ind w:firstLine="482"/>
              <w:rPr>
                <w:sz w:val="24"/>
                <w:szCs w:val="24"/>
              </w:rPr>
            </w:pPr>
            <w:r>
              <w:rPr>
                <w:sz w:val="24"/>
                <w:szCs w:val="24"/>
              </w:rPr>
              <w:t>由上表可知，宿州市2020年SO</w:t>
            </w:r>
            <w:r>
              <w:rPr>
                <w:sz w:val="24"/>
                <w:szCs w:val="24"/>
                <w:vertAlign w:val="subscript"/>
              </w:rPr>
              <w:t>2</w:t>
            </w:r>
            <w:r>
              <w:rPr>
                <w:sz w:val="24"/>
                <w:szCs w:val="24"/>
              </w:rPr>
              <w:t>、NO</w:t>
            </w:r>
            <w:r>
              <w:rPr>
                <w:sz w:val="24"/>
                <w:szCs w:val="24"/>
                <w:vertAlign w:val="subscript"/>
              </w:rPr>
              <w:t>2</w:t>
            </w:r>
            <w:r>
              <w:rPr>
                <w:sz w:val="24"/>
                <w:szCs w:val="24"/>
              </w:rPr>
              <w:t>、PM</w:t>
            </w:r>
            <w:r>
              <w:rPr>
                <w:sz w:val="24"/>
                <w:szCs w:val="24"/>
                <w:vertAlign w:val="subscript"/>
              </w:rPr>
              <w:t>10</w:t>
            </w:r>
            <w:r>
              <w:rPr>
                <w:sz w:val="24"/>
                <w:szCs w:val="24"/>
              </w:rPr>
              <w:t>、PM</w:t>
            </w:r>
            <w:r>
              <w:rPr>
                <w:sz w:val="24"/>
                <w:szCs w:val="24"/>
                <w:vertAlign w:val="subscript"/>
              </w:rPr>
              <w:t>2.5</w:t>
            </w:r>
            <w:r>
              <w:rPr>
                <w:sz w:val="24"/>
                <w:szCs w:val="24"/>
              </w:rPr>
              <w:t>年均浓度分别为7ug/m</w:t>
            </w:r>
            <w:r>
              <w:rPr>
                <w:sz w:val="24"/>
                <w:szCs w:val="24"/>
                <w:vertAlign w:val="superscript"/>
              </w:rPr>
              <w:t>3</w:t>
            </w:r>
            <w:r>
              <w:rPr>
                <w:sz w:val="24"/>
                <w:szCs w:val="24"/>
              </w:rPr>
              <w:t>、27ug/m</w:t>
            </w:r>
            <w:r>
              <w:rPr>
                <w:sz w:val="24"/>
                <w:szCs w:val="24"/>
                <w:vertAlign w:val="superscript"/>
              </w:rPr>
              <w:t>3</w:t>
            </w:r>
            <w:r>
              <w:rPr>
                <w:sz w:val="24"/>
                <w:szCs w:val="24"/>
              </w:rPr>
              <w:t>、74ug/m</w:t>
            </w:r>
            <w:r>
              <w:rPr>
                <w:sz w:val="24"/>
                <w:szCs w:val="24"/>
                <w:vertAlign w:val="superscript"/>
              </w:rPr>
              <w:t>3</w:t>
            </w:r>
            <w:r>
              <w:rPr>
                <w:sz w:val="24"/>
                <w:szCs w:val="24"/>
              </w:rPr>
              <w:t>、46ug/m</w:t>
            </w:r>
            <w:r>
              <w:rPr>
                <w:sz w:val="24"/>
                <w:szCs w:val="24"/>
                <w:vertAlign w:val="superscript"/>
              </w:rPr>
              <w:t>3</w:t>
            </w:r>
            <w:r>
              <w:rPr>
                <w:sz w:val="24"/>
                <w:szCs w:val="24"/>
              </w:rPr>
              <w:t>；CO 24小时平均第95百分位数为1.1mg/m</w:t>
            </w:r>
            <w:r>
              <w:rPr>
                <w:sz w:val="24"/>
                <w:szCs w:val="24"/>
                <w:vertAlign w:val="superscript"/>
              </w:rPr>
              <w:t>3</w:t>
            </w:r>
            <w:r>
              <w:rPr>
                <w:sz w:val="24"/>
                <w:szCs w:val="24"/>
              </w:rPr>
              <w:t>，O</w:t>
            </w:r>
            <w:r>
              <w:rPr>
                <w:sz w:val="24"/>
                <w:szCs w:val="24"/>
                <w:vertAlign w:val="subscript"/>
              </w:rPr>
              <w:t>3</w:t>
            </w:r>
            <w:r>
              <w:rPr>
                <w:sz w:val="24"/>
                <w:szCs w:val="24"/>
              </w:rPr>
              <w:t>日最大8小时平均第90百分位数为162ug/m</w:t>
            </w:r>
            <w:r>
              <w:rPr>
                <w:sz w:val="24"/>
                <w:szCs w:val="24"/>
                <w:vertAlign w:val="superscript"/>
              </w:rPr>
              <w:t>3</w:t>
            </w:r>
            <w:r>
              <w:rPr>
                <w:sz w:val="24"/>
                <w:szCs w:val="24"/>
              </w:rPr>
              <w:t>；超过《环境空气质量标准》（GB3095-2012）中二级标准限值的污染物为PM</w:t>
            </w:r>
            <w:r>
              <w:rPr>
                <w:sz w:val="24"/>
                <w:szCs w:val="24"/>
                <w:vertAlign w:val="subscript"/>
              </w:rPr>
              <w:t>10</w:t>
            </w:r>
            <w:r>
              <w:rPr>
                <w:sz w:val="24"/>
                <w:szCs w:val="24"/>
              </w:rPr>
              <w:t>、O</w:t>
            </w:r>
            <w:r>
              <w:rPr>
                <w:sz w:val="24"/>
                <w:szCs w:val="24"/>
                <w:vertAlign w:val="subscript"/>
              </w:rPr>
              <w:t>3</w:t>
            </w:r>
            <w:r>
              <w:rPr>
                <w:sz w:val="24"/>
                <w:szCs w:val="24"/>
              </w:rPr>
              <w:t>、PM</w:t>
            </w:r>
            <w:r>
              <w:rPr>
                <w:sz w:val="24"/>
                <w:szCs w:val="24"/>
                <w:vertAlign w:val="subscript"/>
              </w:rPr>
              <w:t>2.5</w:t>
            </w:r>
            <w:r>
              <w:rPr>
                <w:sz w:val="24"/>
                <w:szCs w:val="24"/>
              </w:rPr>
              <w:t>，宿州市环境空气质量为不达标区。</w:t>
            </w:r>
          </w:p>
          <w:p>
            <w:pPr>
              <w:spacing w:line="360" w:lineRule="auto"/>
              <w:ind w:firstLine="480" w:firstLineChars="200"/>
              <w:rPr>
                <w:sz w:val="24"/>
                <w:szCs w:val="24"/>
              </w:rPr>
            </w:pPr>
            <w:r>
              <w:rPr>
                <w:sz w:val="24"/>
                <w:szCs w:val="24"/>
              </w:rPr>
              <w:t>（2）其他污染物环境质量现状评价</w:t>
            </w:r>
          </w:p>
          <w:p>
            <w:pPr>
              <w:spacing w:line="360" w:lineRule="auto"/>
              <w:ind w:firstLine="480" w:firstLineChars="200"/>
            </w:pPr>
            <w:r>
              <w:rPr>
                <w:sz w:val="24"/>
                <w:szCs w:val="24"/>
              </w:rPr>
              <w:t>本项目位于</w:t>
            </w:r>
            <w:r>
              <w:rPr>
                <w:rFonts w:hint="eastAsia" w:cs="宋体"/>
                <w:color w:val="000000"/>
                <w:kern w:val="0"/>
                <w:sz w:val="24"/>
                <w:szCs w:val="24"/>
              </w:rPr>
              <w:t>宿州市经济技术开发区金泰路</w:t>
            </w:r>
            <w:r>
              <w:rPr>
                <w:sz w:val="24"/>
                <w:szCs w:val="24"/>
              </w:rPr>
              <w:t>，而</w:t>
            </w:r>
            <w:r>
              <w:rPr>
                <w:kern w:val="0"/>
                <w:sz w:val="24"/>
                <w:szCs w:val="24"/>
              </w:rPr>
              <w:t>《宿州经济技术开发区环境影响区域评估报告》委托安徽环科检测中心有限公司于2020年11月</w:t>
            </w:r>
            <w:r>
              <w:rPr>
                <w:rFonts w:hint="eastAsia"/>
                <w:kern w:val="0"/>
                <w:sz w:val="24"/>
                <w:szCs w:val="24"/>
              </w:rPr>
              <w:t>10</w:t>
            </w:r>
            <w:r>
              <w:rPr>
                <w:kern w:val="0"/>
                <w:sz w:val="24"/>
                <w:szCs w:val="24"/>
              </w:rPr>
              <w:t>日~11月</w:t>
            </w:r>
            <w:r>
              <w:rPr>
                <w:rFonts w:hint="eastAsia"/>
                <w:kern w:val="0"/>
                <w:sz w:val="24"/>
                <w:szCs w:val="24"/>
              </w:rPr>
              <w:t>16</w:t>
            </w:r>
            <w:r>
              <w:rPr>
                <w:kern w:val="0"/>
                <w:sz w:val="24"/>
                <w:szCs w:val="24"/>
              </w:rPr>
              <w:t>日</w:t>
            </w:r>
            <w:r>
              <w:rPr>
                <w:sz w:val="24"/>
                <w:szCs w:val="24"/>
              </w:rPr>
              <w:t>对园区大气环境进行检测，其中监测点位</w:t>
            </w:r>
            <w:r>
              <w:rPr>
                <w:rFonts w:hint="eastAsia"/>
                <w:sz w:val="24"/>
                <w:szCs w:val="24"/>
              </w:rPr>
              <w:t>段家村</w:t>
            </w:r>
            <w:r>
              <w:rPr>
                <w:sz w:val="24"/>
                <w:szCs w:val="24"/>
              </w:rPr>
              <w:t>、</w:t>
            </w:r>
            <w:r>
              <w:rPr>
                <w:rFonts w:hint="eastAsia"/>
                <w:sz w:val="24"/>
                <w:szCs w:val="24"/>
              </w:rPr>
              <w:t>宿州博洋工业园</w:t>
            </w:r>
            <w:r>
              <w:rPr>
                <w:sz w:val="24"/>
                <w:szCs w:val="24"/>
              </w:rPr>
              <w:t>、</w:t>
            </w:r>
            <w:r>
              <w:rPr>
                <w:rFonts w:hint="eastAsia"/>
                <w:sz w:val="24"/>
                <w:szCs w:val="24"/>
              </w:rPr>
              <w:t>宿州现代粮食物流产业园</w:t>
            </w:r>
            <w:r>
              <w:rPr>
                <w:sz w:val="24"/>
                <w:szCs w:val="24"/>
              </w:rPr>
              <w:t>均在本项目5km范围内，现状监测的时效与范围符合《建设项目环境影响报告表编制技术指南（污染影响类）（试行）》的要求，故本报告引用该报告中大气环境质量中</w:t>
            </w:r>
            <w:r>
              <w:rPr>
                <w:rFonts w:hint="eastAsia"/>
                <w:sz w:val="24"/>
                <w:szCs w:val="24"/>
              </w:rPr>
              <w:t>TSP</w:t>
            </w:r>
            <w:r>
              <w:rPr>
                <w:sz w:val="24"/>
                <w:szCs w:val="24"/>
              </w:rPr>
              <w:t>监测数据。</w:t>
            </w:r>
          </w:p>
          <w:p>
            <w:pPr>
              <w:spacing w:line="360" w:lineRule="auto"/>
              <w:ind w:firstLine="480" w:firstLineChars="200"/>
              <w:rPr>
                <w:kern w:val="1"/>
              </w:rPr>
            </w:pPr>
            <w:r>
              <w:rPr>
                <w:kern w:val="1"/>
                <w:sz w:val="24"/>
                <w:szCs w:val="24"/>
              </w:rPr>
              <w:t>①监测点位</w:t>
            </w:r>
          </w:p>
          <w:p>
            <w:pPr>
              <w:tabs>
                <w:tab w:val="left" w:pos="420"/>
              </w:tabs>
              <w:spacing w:line="360" w:lineRule="auto"/>
              <w:jc w:val="center"/>
              <w:rPr>
                <w:b/>
                <w:bCs/>
                <w:sz w:val="24"/>
                <w:szCs w:val="24"/>
              </w:rPr>
            </w:pPr>
            <w:r>
              <w:rPr>
                <w:b/>
                <w:bCs/>
                <w:sz w:val="24"/>
                <w:szCs w:val="24"/>
              </w:rPr>
              <w:t>表3-2  环境空气质量监测布点表</w:t>
            </w:r>
          </w:p>
          <w:tbl>
            <w:tblPr>
              <w:tblStyle w:val="23"/>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71"/>
              <w:gridCol w:w="822"/>
              <w:gridCol w:w="823"/>
              <w:gridCol w:w="980"/>
              <w:gridCol w:w="2236"/>
              <w:gridCol w:w="862"/>
              <w:gridCol w:w="8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5" w:hRule="atLeast"/>
                <w:jc w:val="center"/>
              </w:trPr>
              <w:tc>
                <w:tcPr>
                  <w:tcW w:w="859" w:type="pct"/>
                  <w:vMerge w:val="restart"/>
                  <w:tcBorders>
                    <w:top w:val="single" w:color="000000" w:sz="4" w:space="0"/>
                    <w:left w:val="single" w:color="000000" w:sz="4" w:space="0"/>
                    <w:bottom w:val="single" w:color="000000" w:sz="4" w:space="0"/>
                    <w:right w:val="single" w:color="000000" w:sz="4" w:space="0"/>
                  </w:tcBorders>
                  <w:vAlign w:val="center"/>
                </w:tcPr>
                <w:p>
                  <w:pPr>
                    <w:jc w:val="center"/>
                  </w:pPr>
                  <w:r>
                    <w:t>监测点名称</w:t>
                  </w:r>
                </w:p>
              </w:tc>
              <w:tc>
                <w:tcPr>
                  <w:tcW w:w="1033" w:type="pct"/>
                  <w:gridSpan w:val="2"/>
                  <w:tcBorders>
                    <w:top w:val="single" w:color="000000" w:sz="4" w:space="0"/>
                    <w:left w:val="single" w:color="000000" w:sz="4" w:space="0"/>
                    <w:bottom w:val="single" w:color="000000" w:sz="4" w:space="0"/>
                    <w:right w:val="single" w:color="000000" w:sz="4" w:space="0"/>
                  </w:tcBorders>
                  <w:vAlign w:val="center"/>
                </w:tcPr>
                <w:p>
                  <w:pPr>
                    <w:jc w:val="center"/>
                  </w:pPr>
                  <w:r>
                    <w:t>监测点坐标</w:t>
                  </w:r>
                </w:p>
              </w:tc>
              <w:tc>
                <w:tcPr>
                  <w:tcW w:w="615" w:type="pct"/>
                  <w:vMerge w:val="restart"/>
                  <w:tcBorders>
                    <w:top w:val="single" w:color="000000" w:sz="4" w:space="0"/>
                    <w:left w:val="single" w:color="000000" w:sz="4" w:space="0"/>
                    <w:bottom w:val="single" w:color="000000" w:sz="4" w:space="0"/>
                    <w:right w:val="single" w:color="000000" w:sz="4" w:space="0"/>
                  </w:tcBorders>
                  <w:vAlign w:val="center"/>
                </w:tcPr>
                <w:p>
                  <w:pPr>
                    <w:jc w:val="center"/>
                  </w:pPr>
                  <w:r>
                    <w:t>监测因子</w:t>
                  </w:r>
                </w:p>
              </w:tc>
              <w:tc>
                <w:tcPr>
                  <w:tcW w:w="1403" w:type="pct"/>
                  <w:vMerge w:val="restart"/>
                  <w:tcBorders>
                    <w:top w:val="single" w:color="000000" w:sz="4" w:space="0"/>
                    <w:left w:val="single" w:color="000000" w:sz="4" w:space="0"/>
                    <w:bottom w:val="single" w:color="000000" w:sz="4" w:space="0"/>
                    <w:right w:val="single" w:color="000000" w:sz="4" w:space="0"/>
                  </w:tcBorders>
                  <w:vAlign w:val="center"/>
                </w:tcPr>
                <w:p>
                  <w:pPr>
                    <w:jc w:val="center"/>
                  </w:pPr>
                  <w:r>
                    <w:t>监测时段</w:t>
                  </w:r>
                </w:p>
              </w:tc>
              <w:tc>
                <w:tcPr>
                  <w:tcW w:w="541" w:type="pct"/>
                  <w:vMerge w:val="restart"/>
                  <w:tcBorders>
                    <w:top w:val="single" w:color="000000" w:sz="4" w:space="0"/>
                    <w:left w:val="single" w:color="000000" w:sz="4" w:space="0"/>
                    <w:bottom w:val="single" w:color="000000" w:sz="4" w:space="0"/>
                    <w:right w:val="single" w:color="000000" w:sz="4" w:space="0"/>
                  </w:tcBorders>
                  <w:vAlign w:val="center"/>
                </w:tcPr>
                <w:p>
                  <w:pPr>
                    <w:jc w:val="center"/>
                  </w:pPr>
                  <w:r>
                    <w:t>相对厂址方位</w:t>
                  </w:r>
                </w:p>
              </w:tc>
              <w:tc>
                <w:tcPr>
                  <w:tcW w:w="546" w:type="pct"/>
                  <w:vMerge w:val="restart"/>
                  <w:tcBorders>
                    <w:top w:val="single" w:color="000000" w:sz="4" w:space="0"/>
                    <w:left w:val="single" w:color="000000" w:sz="4" w:space="0"/>
                    <w:bottom w:val="single" w:color="000000" w:sz="4" w:space="0"/>
                    <w:right w:val="single" w:color="000000" w:sz="4" w:space="0"/>
                  </w:tcBorders>
                  <w:vAlign w:val="center"/>
                </w:tcPr>
                <w:p>
                  <w:pPr>
                    <w:jc w:val="center"/>
                  </w:pPr>
                  <w:r>
                    <w:t>相对厂界距离/m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859"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b/>
                      <w:bCs/>
                    </w:rPr>
                  </w:pPr>
                </w:p>
              </w:tc>
              <w:tc>
                <w:tcPr>
                  <w:tcW w:w="516" w:type="pct"/>
                  <w:tcBorders>
                    <w:top w:val="single" w:color="000000" w:sz="4" w:space="0"/>
                    <w:left w:val="single" w:color="000000" w:sz="4" w:space="0"/>
                    <w:bottom w:val="single" w:color="000000" w:sz="4" w:space="0"/>
                    <w:right w:val="single" w:color="000000" w:sz="4" w:space="0"/>
                  </w:tcBorders>
                  <w:vAlign w:val="center"/>
                </w:tcPr>
                <w:p>
                  <w:pPr>
                    <w:jc w:val="center"/>
                  </w:pPr>
                  <w:r>
                    <w:t>X</w:t>
                  </w:r>
                </w:p>
              </w:tc>
              <w:tc>
                <w:tcPr>
                  <w:tcW w:w="517" w:type="pct"/>
                  <w:tcBorders>
                    <w:top w:val="single" w:color="000000" w:sz="4" w:space="0"/>
                    <w:left w:val="single" w:color="000000" w:sz="4" w:space="0"/>
                    <w:bottom w:val="single" w:color="000000" w:sz="4" w:space="0"/>
                    <w:right w:val="single" w:color="000000" w:sz="4" w:space="0"/>
                  </w:tcBorders>
                  <w:vAlign w:val="center"/>
                </w:tcPr>
                <w:p>
                  <w:pPr>
                    <w:jc w:val="center"/>
                  </w:pPr>
                  <w:r>
                    <w:t>Y</w:t>
                  </w:r>
                </w:p>
              </w:tc>
              <w:tc>
                <w:tcPr>
                  <w:tcW w:w="615"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b/>
                      <w:bCs/>
                    </w:rPr>
                  </w:pPr>
                </w:p>
              </w:tc>
              <w:tc>
                <w:tcPr>
                  <w:tcW w:w="1403"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b/>
                      <w:bCs/>
                    </w:rPr>
                  </w:pPr>
                </w:p>
              </w:tc>
              <w:tc>
                <w:tcPr>
                  <w:tcW w:w="541"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b/>
                      <w:bCs/>
                    </w:rPr>
                  </w:pPr>
                </w:p>
              </w:tc>
              <w:tc>
                <w:tcPr>
                  <w:tcW w:w="546"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b/>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8" w:hRule="atLeast"/>
                <w:jc w:val="center"/>
              </w:trPr>
              <w:tc>
                <w:tcPr>
                  <w:tcW w:w="859" w:type="pct"/>
                  <w:tcBorders>
                    <w:top w:val="single" w:color="000000" w:sz="4" w:space="0"/>
                    <w:left w:val="single" w:color="000000" w:sz="4" w:space="0"/>
                    <w:bottom w:val="single" w:color="000000" w:sz="4" w:space="0"/>
                    <w:right w:val="single" w:color="000000" w:sz="4" w:space="0"/>
                  </w:tcBorders>
                  <w:vAlign w:val="center"/>
                </w:tcPr>
                <w:p>
                  <w:pPr>
                    <w:snapToGrid w:val="0"/>
                    <w:jc w:val="center"/>
                  </w:pPr>
                  <w:r>
                    <w:rPr>
                      <w:rFonts w:hint="eastAsia"/>
                    </w:rPr>
                    <w:t>段家村</w:t>
                  </w:r>
                </w:p>
              </w:tc>
              <w:tc>
                <w:tcPr>
                  <w:tcW w:w="516" w:type="pct"/>
                  <w:tcBorders>
                    <w:top w:val="single" w:color="000000" w:sz="4" w:space="0"/>
                    <w:left w:val="single" w:color="000000" w:sz="4" w:space="0"/>
                    <w:bottom w:val="single" w:color="000000" w:sz="4" w:space="0"/>
                    <w:right w:val="single" w:color="000000" w:sz="4" w:space="0"/>
                  </w:tcBorders>
                  <w:vAlign w:val="center"/>
                </w:tcPr>
                <w:p>
                  <w:pPr>
                    <w:snapToGrid w:val="0"/>
                    <w:jc w:val="center"/>
                  </w:pPr>
                  <w:r>
                    <w:rPr>
                      <w:rFonts w:hint="eastAsia"/>
                    </w:rPr>
                    <w:t>-1549</w:t>
                  </w:r>
                </w:p>
              </w:tc>
              <w:tc>
                <w:tcPr>
                  <w:tcW w:w="517" w:type="pct"/>
                  <w:tcBorders>
                    <w:top w:val="single" w:color="000000" w:sz="4" w:space="0"/>
                    <w:left w:val="single" w:color="000000" w:sz="4" w:space="0"/>
                    <w:bottom w:val="single" w:color="000000" w:sz="4" w:space="0"/>
                    <w:right w:val="single" w:color="000000" w:sz="4" w:space="0"/>
                  </w:tcBorders>
                  <w:vAlign w:val="center"/>
                </w:tcPr>
                <w:p>
                  <w:pPr>
                    <w:snapToGrid w:val="0"/>
                    <w:jc w:val="center"/>
                  </w:pPr>
                  <w:r>
                    <w:rPr>
                      <w:rFonts w:hint="eastAsia"/>
                    </w:rPr>
                    <w:t>-2284</w:t>
                  </w:r>
                </w:p>
              </w:tc>
              <w:tc>
                <w:tcPr>
                  <w:tcW w:w="615" w:type="pct"/>
                  <w:vMerge w:val="restart"/>
                  <w:tcBorders>
                    <w:top w:val="single" w:color="000000" w:sz="4" w:space="0"/>
                    <w:left w:val="single" w:color="000000" w:sz="4" w:space="0"/>
                    <w:bottom w:val="single" w:color="000000" w:sz="4" w:space="0"/>
                    <w:right w:val="single" w:color="000000" w:sz="4" w:space="0"/>
                  </w:tcBorders>
                  <w:vAlign w:val="center"/>
                </w:tcPr>
                <w:p>
                  <w:pPr>
                    <w:suppressAutoHyphens/>
                    <w:adjustRightInd w:val="0"/>
                    <w:snapToGrid w:val="0"/>
                    <w:jc w:val="center"/>
                  </w:pPr>
                  <w:r>
                    <w:rPr>
                      <w:rFonts w:hint="eastAsia"/>
                    </w:rPr>
                    <w:t>TSP</w:t>
                  </w:r>
                </w:p>
              </w:tc>
              <w:tc>
                <w:tcPr>
                  <w:tcW w:w="1403" w:type="pct"/>
                  <w:vMerge w:val="restart"/>
                  <w:tcBorders>
                    <w:top w:val="single" w:color="000000" w:sz="4" w:space="0"/>
                    <w:left w:val="single" w:color="000000" w:sz="4" w:space="0"/>
                    <w:bottom w:val="single" w:color="000000" w:sz="4" w:space="0"/>
                    <w:right w:val="single" w:color="000000" w:sz="4" w:space="0"/>
                  </w:tcBorders>
                  <w:vAlign w:val="center"/>
                </w:tcPr>
                <w:p>
                  <w:pPr>
                    <w:jc w:val="center"/>
                  </w:pPr>
                  <w:r>
                    <w:t>连续监测7天，每天4次</w:t>
                  </w:r>
                </w:p>
              </w:tc>
              <w:tc>
                <w:tcPr>
                  <w:tcW w:w="541" w:type="pc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rPr>
                    <w:t>S</w:t>
                  </w:r>
                  <w:r>
                    <w:t>E</w:t>
                  </w:r>
                </w:p>
              </w:tc>
              <w:tc>
                <w:tcPr>
                  <w:tcW w:w="546" w:type="pct"/>
                  <w:tcBorders>
                    <w:top w:val="single" w:color="000000" w:sz="4" w:space="0"/>
                    <w:left w:val="single" w:color="000000" w:sz="4" w:space="0"/>
                    <w:bottom w:val="single" w:color="000000" w:sz="4" w:space="0"/>
                    <w:right w:val="single" w:color="000000" w:sz="4" w:space="0"/>
                  </w:tcBorders>
                  <w:vAlign w:val="center"/>
                </w:tcPr>
                <w:p>
                  <w:pPr>
                    <w:pStyle w:val="22"/>
                    <w:spacing w:after="0"/>
                    <w:ind w:firstLine="0" w:firstLineChars="0"/>
                    <w:jc w:val="center"/>
                  </w:pPr>
                  <w:r>
                    <w:rPr>
                      <w:rFonts w:hint="eastAsia"/>
                    </w:rPr>
                    <w:t>2834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8" w:hRule="atLeast"/>
                <w:jc w:val="center"/>
              </w:trPr>
              <w:tc>
                <w:tcPr>
                  <w:tcW w:w="859" w:type="pct"/>
                  <w:tcBorders>
                    <w:top w:val="single" w:color="000000" w:sz="4" w:space="0"/>
                    <w:left w:val="single" w:color="000000" w:sz="4" w:space="0"/>
                    <w:bottom w:val="single" w:color="000000" w:sz="4" w:space="0"/>
                    <w:right w:val="single" w:color="000000" w:sz="4" w:space="0"/>
                  </w:tcBorders>
                  <w:vAlign w:val="center"/>
                </w:tcPr>
                <w:p>
                  <w:pPr>
                    <w:snapToGrid w:val="0"/>
                    <w:jc w:val="center"/>
                  </w:pPr>
                  <w:r>
                    <w:rPr>
                      <w:rFonts w:hint="eastAsia"/>
                    </w:rPr>
                    <w:t>宿州现代粮食物流产业园</w:t>
                  </w:r>
                </w:p>
              </w:tc>
              <w:tc>
                <w:tcPr>
                  <w:tcW w:w="516" w:type="pct"/>
                  <w:tcBorders>
                    <w:top w:val="single" w:color="000000" w:sz="4" w:space="0"/>
                    <w:left w:val="single" w:color="000000" w:sz="4" w:space="0"/>
                    <w:bottom w:val="single" w:color="000000" w:sz="4" w:space="0"/>
                    <w:right w:val="single" w:color="000000" w:sz="4" w:space="0"/>
                  </w:tcBorders>
                  <w:vAlign w:val="center"/>
                </w:tcPr>
                <w:p>
                  <w:pPr>
                    <w:snapToGrid w:val="0"/>
                    <w:jc w:val="center"/>
                  </w:pPr>
                  <w:r>
                    <w:rPr>
                      <w:rFonts w:hint="eastAsia"/>
                    </w:rPr>
                    <w:t>1132</w:t>
                  </w:r>
                </w:p>
              </w:tc>
              <w:tc>
                <w:tcPr>
                  <w:tcW w:w="517" w:type="pct"/>
                  <w:tcBorders>
                    <w:top w:val="single" w:color="000000" w:sz="4" w:space="0"/>
                    <w:left w:val="single" w:color="000000" w:sz="4" w:space="0"/>
                    <w:bottom w:val="single" w:color="000000" w:sz="4" w:space="0"/>
                    <w:right w:val="single" w:color="000000" w:sz="4" w:space="0"/>
                  </w:tcBorders>
                  <w:vAlign w:val="center"/>
                </w:tcPr>
                <w:p>
                  <w:pPr>
                    <w:snapToGrid w:val="0"/>
                    <w:jc w:val="center"/>
                  </w:pPr>
                  <w:r>
                    <w:rPr>
                      <w:rFonts w:hint="eastAsia"/>
                    </w:rPr>
                    <w:t>0</w:t>
                  </w:r>
                </w:p>
              </w:tc>
              <w:tc>
                <w:tcPr>
                  <w:tcW w:w="615" w:type="pct"/>
                  <w:vMerge w:val="continue"/>
                  <w:tcBorders>
                    <w:top w:val="single" w:color="000000" w:sz="4" w:space="0"/>
                    <w:left w:val="single" w:color="000000" w:sz="4" w:space="0"/>
                    <w:bottom w:val="single" w:color="000000" w:sz="4" w:space="0"/>
                    <w:right w:val="single" w:color="000000" w:sz="4" w:space="0"/>
                  </w:tcBorders>
                  <w:vAlign w:val="center"/>
                </w:tcPr>
                <w:p>
                  <w:pPr>
                    <w:suppressAutoHyphens/>
                    <w:adjustRightInd w:val="0"/>
                    <w:snapToGrid w:val="0"/>
                    <w:jc w:val="center"/>
                  </w:pPr>
                </w:p>
              </w:tc>
              <w:tc>
                <w:tcPr>
                  <w:tcW w:w="1403" w:type="pct"/>
                  <w:vMerge w:val="continue"/>
                  <w:tcBorders>
                    <w:top w:val="single" w:color="000000" w:sz="4" w:space="0"/>
                    <w:left w:val="single" w:color="000000" w:sz="4" w:space="0"/>
                    <w:bottom w:val="single" w:color="000000" w:sz="4" w:space="0"/>
                    <w:right w:val="single" w:color="000000" w:sz="4" w:space="0"/>
                  </w:tcBorders>
                  <w:vAlign w:val="center"/>
                </w:tcPr>
                <w:p>
                  <w:pPr>
                    <w:jc w:val="center"/>
                  </w:pPr>
                </w:p>
              </w:tc>
              <w:tc>
                <w:tcPr>
                  <w:tcW w:w="541" w:type="pct"/>
                  <w:tcBorders>
                    <w:top w:val="single" w:color="000000" w:sz="4" w:space="0"/>
                    <w:left w:val="single" w:color="000000" w:sz="4" w:space="0"/>
                    <w:bottom w:val="single" w:color="000000" w:sz="4" w:space="0"/>
                    <w:right w:val="single" w:color="000000" w:sz="4" w:space="0"/>
                  </w:tcBorders>
                  <w:vAlign w:val="center"/>
                </w:tcPr>
                <w:p>
                  <w:pPr>
                    <w:jc w:val="center"/>
                  </w:pPr>
                  <w:r>
                    <w:t>S</w:t>
                  </w:r>
                  <w:r>
                    <w:rPr>
                      <w:rFonts w:hint="eastAsia"/>
                    </w:rPr>
                    <w:t>W</w:t>
                  </w:r>
                </w:p>
              </w:tc>
              <w:tc>
                <w:tcPr>
                  <w:tcW w:w="546" w:type="pct"/>
                  <w:tcBorders>
                    <w:top w:val="single" w:color="000000" w:sz="4" w:space="0"/>
                    <w:left w:val="single" w:color="000000" w:sz="4" w:space="0"/>
                    <w:bottom w:val="single" w:color="000000" w:sz="4" w:space="0"/>
                    <w:right w:val="single" w:color="000000" w:sz="4" w:space="0"/>
                  </w:tcBorders>
                  <w:vAlign w:val="center"/>
                </w:tcPr>
                <w:p>
                  <w:pPr>
                    <w:pStyle w:val="22"/>
                    <w:spacing w:after="0"/>
                    <w:ind w:firstLine="0" w:firstLineChars="0"/>
                    <w:jc w:val="center"/>
                  </w:pPr>
                  <w:r>
                    <w:rPr>
                      <w:rFonts w:hint="eastAsia"/>
                    </w:rPr>
                    <w:t>1072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859" w:type="pct"/>
                  <w:tcBorders>
                    <w:top w:val="single" w:color="000000" w:sz="4" w:space="0"/>
                    <w:left w:val="single" w:color="000000" w:sz="4" w:space="0"/>
                    <w:bottom w:val="single" w:color="000000" w:sz="4" w:space="0"/>
                    <w:right w:val="single" w:color="000000" w:sz="4" w:space="0"/>
                  </w:tcBorders>
                  <w:vAlign w:val="center"/>
                </w:tcPr>
                <w:p>
                  <w:pPr>
                    <w:snapToGrid w:val="0"/>
                    <w:jc w:val="center"/>
                  </w:pPr>
                  <w:r>
                    <w:rPr>
                      <w:rFonts w:hint="eastAsia"/>
                    </w:rPr>
                    <w:t>宿州博洋工业园</w:t>
                  </w:r>
                </w:p>
              </w:tc>
              <w:tc>
                <w:tcPr>
                  <w:tcW w:w="516" w:type="pct"/>
                  <w:tcBorders>
                    <w:top w:val="single" w:color="000000" w:sz="4" w:space="0"/>
                    <w:left w:val="single" w:color="000000" w:sz="4" w:space="0"/>
                    <w:bottom w:val="single" w:color="000000" w:sz="4" w:space="0"/>
                    <w:right w:val="single" w:color="000000" w:sz="4" w:space="0"/>
                  </w:tcBorders>
                  <w:vAlign w:val="center"/>
                </w:tcPr>
                <w:p>
                  <w:pPr>
                    <w:snapToGrid w:val="0"/>
                    <w:jc w:val="center"/>
                  </w:pPr>
                  <w:r>
                    <w:rPr>
                      <w:rFonts w:hint="eastAsia"/>
                    </w:rPr>
                    <w:t>-326</w:t>
                  </w:r>
                </w:p>
              </w:tc>
              <w:tc>
                <w:tcPr>
                  <w:tcW w:w="517" w:type="pct"/>
                  <w:tcBorders>
                    <w:top w:val="single" w:color="000000" w:sz="4" w:space="0"/>
                    <w:left w:val="single" w:color="000000" w:sz="4" w:space="0"/>
                    <w:bottom w:val="single" w:color="000000" w:sz="4" w:space="0"/>
                    <w:right w:val="single" w:color="000000" w:sz="4" w:space="0"/>
                  </w:tcBorders>
                  <w:vAlign w:val="center"/>
                </w:tcPr>
                <w:p>
                  <w:pPr>
                    <w:snapToGrid w:val="0"/>
                    <w:jc w:val="center"/>
                  </w:pPr>
                  <w:r>
                    <w:rPr>
                      <w:rFonts w:hint="eastAsia"/>
                    </w:rPr>
                    <w:t>779</w:t>
                  </w:r>
                </w:p>
              </w:tc>
              <w:tc>
                <w:tcPr>
                  <w:tcW w:w="615"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b/>
                      <w:bCs/>
                    </w:rPr>
                  </w:pPr>
                </w:p>
              </w:tc>
              <w:tc>
                <w:tcPr>
                  <w:tcW w:w="1403"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b/>
                      <w:bCs/>
                    </w:rPr>
                  </w:pPr>
                </w:p>
              </w:tc>
              <w:tc>
                <w:tcPr>
                  <w:tcW w:w="541" w:type="pct"/>
                  <w:tcBorders>
                    <w:top w:val="single" w:color="000000" w:sz="4" w:space="0"/>
                    <w:left w:val="single" w:color="000000" w:sz="4" w:space="0"/>
                    <w:bottom w:val="single" w:color="000000" w:sz="4" w:space="0"/>
                    <w:right w:val="single" w:color="000000" w:sz="4" w:space="0"/>
                  </w:tcBorders>
                  <w:vAlign w:val="center"/>
                </w:tcPr>
                <w:p>
                  <w:pPr>
                    <w:pStyle w:val="74"/>
                    <w:spacing w:before="25"/>
                    <w:ind w:left="90" w:right="84"/>
                    <w:jc w:val="center"/>
                    <w:rPr>
                      <w:kern w:val="2"/>
                      <w:sz w:val="21"/>
                      <w:szCs w:val="21"/>
                    </w:rPr>
                  </w:pPr>
                  <w:r>
                    <w:rPr>
                      <w:rFonts w:hint="eastAsia"/>
                      <w:kern w:val="2"/>
                      <w:sz w:val="21"/>
                      <w:szCs w:val="21"/>
                    </w:rPr>
                    <w:t>N</w:t>
                  </w:r>
                </w:p>
              </w:tc>
              <w:tc>
                <w:tcPr>
                  <w:tcW w:w="546" w:type="pct"/>
                  <w:tcBorders>
                    <w:top w:val="single" w:color="000000" w:sz="4" w:space="0"/>
                    <w:left w:val="single" w:color="000000" w:sz="4" w:space="0"/>
                    <w:bottom w:val="single" w:color="000000" w:sz="4" w:space="0"/>
                    <w:right w:val="single" w:color="000000" w:sz="4" w:space="0"/>
                  </w:tcBorders>
                  <w:vAlign w:val="center"/>
                </w:tcPr>
                <w:p>
                  <w:pPr>
                    <w:pStyle w:val="22"/>
                    <w:spacing w:after="0"/>
                    <w:ind w:firstLine="0" w:firstLineChars="0"/>
                    <w:jc w:val="center"/>
                  </w:pPr>
                  <w:r>
                    <w:rPr>
                      <w:rFonts w:hint="eastAsia"/>
                    </w:rPr>
                    <w:t>762</w:t>
                  </w:r>
                </w:p>
              </w:tc>
            </w:tr>
          </w:tbl>
          <w:p>
            <w:pPr>
              <w:widowControl/>
              <w:spacing w:line="360" w:lineRule="auto"/>
              <w:ind w:firstLine="480" w:firstLineChars="200"/>
              <w:rPr>
                <w:b/>
                <w:bCs/>
                <w:sz w:val="24"/>
                <w:szCs w:val="24"/>
              </w:rPr>
            </w:pPr>
            <w:r>
              <w:rPr>
                <w:sz w:val="24"/>
                <w:szCs w:val="24"/>
              </w:rPr>
              <w:t>注：本项目以</w:t>
            </w:r>
            <w:r>
              <w:rPr>
                <w:rFonts w:hint="eastAsia"/>
                <w:sz w:val="24"/>
                <w:szCs w:val="24"/>
              </w:rPr>
              <w:t>项目地</w:t>
            </w:r>
            <w:r>
              <w:rPr>
                <w:sz w:val="24"/>
                <w:szCs w:val="24"/>
              </w:rPr>
              <w:t>中心为坐标原点</w:t>
            </w:r>
            <w:r>
              <w:rPr>
                <w:rFonts w:hint="eastAsia"/>
                <w:sz w:val="24"/>
                <w:szCs w:val="24"/>
              </w:rPr>
              <w:t>，</w:t>
            </w:r>
            <w:r>
              <w:rPr>
                <w:sz w:val="24"/>
                <w:szCs w:val="24"/>
              </w:rPr>
              <w:t>即地理位置：东经11</w:t>
            </w:r>
            <w:r>
              <w:rPr>
                <w:rFonts w:hint="eastAsia"/>
                <w:sz w:val="24"/>
                <w:szCs w:val="24"/>
              </w:rPr>
              <w:t>7.029597</w:t>
            </w:r>
            <w:r>
              <w:rPr>
                <w:sz w:val="24"/>
                <w:szCs w:val="24"/>
              </w:rPr>
              <w:t>°，北纬</w:t>
            </w:r>
            <w:r>
              <w:rPr>
                <w:rFonts w:hint="eastAsia"/>
                <w:sz w:val="24"/>
                <w:szCs w:val="24"/>
              </w:rPr>
              <w:t>33.594692</w:t>
            </w:r>
            <w:r>
              <w:rPr>
                <w:sz w:val="24"/>
                <w:szCs w:val="24"/>
              </w:rPr>
              <w:t>°。</w:t>
            </w:r>
          </w:p>
          <w:p>
            <w:pPr>
              <w:spacing w:line="460" w:lineRule="exact"/>
              <w:ind w:firstLine="480"/>
              <w:rPr>
                <w:b/>
                <w:bCs/>
                <w:sz w:val="24"/>
                <w:szCs w:val="24"/>
              </w:rPr>
            </w:pPr>
            <w:r>
              <w:rPr>
                <w:sz w:val="24"/>
                <w:szCs w:val="24"/>
              </w:rPr>
              <w:t>②检测结果</w:t>
            </w:r>
          </w:p>
          <w:p>
            <w:pPr>
              <w:tabs>
                <w:tab w:val="left" w:pos="420"/>
              </w:tabs>
              <w:spacing w:line="360" w:lineRule="auto"/>
              <w:jc w:val="center"/>
              <w:rPr>
                <w:b/>
                <w:bCs/>
                <w:sz w:val="24"/>
                <w:szCs w:val="24"/>
              </w:rPr>
            </w:pPr>
            <w:r>
              <w:rPr>
                <w:b/>
                <w:bCs/>
                <w:sz w:val="24"/>
                <w:szCs w:val="24"/>
              </w:rPr>
              <w:t>表3-3  环境空气</w:t>
            </w:r>
            <w:r>
              <w:rPr>
                <w:rFonts w:hint="eastAsia"/>
                <w:b/>
                <w:bCs/>
                <w:sz w:val="24"/>
                <w:szCs w:val="24"/>
              </w:rPr>
              <w:t>TSP</w:t>
            </w:r>
            <w:r>
              <w:rPr>
                <w:b/>
                <w:bCs/>
                <w:sz w:val="24"/>
                <w:szCs w:val="24"/>
              </w:rPr>
              <w:t>结果  (单位：ug/m</w:t>
            </w:r>
            <w:r>
              <w:rPr>
                <w:b/>
                <w:bCs/>
                <w:sz w:val="24"/>
                <w:szCs w:val="24"/>
                <w:vertAlign w:val="superscript"/>
              </w:rPr>
              <w:t>3</w:t>
            </w:r>
            <w:r>
              <w:rPr>
                <w:b/>
                <w:bCs/>
                <w:sz w:val="24"/>
                <w:szCs w:val="24"/>
              </w:rPr>
              <w:t>)</w:t>
            </w:r>
          </w:p>
          <w:tbl>
            <w:tblPr>
              <w:tblStyle w:val="23"/>
              <w:tblW w:w="4996"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55"/>
              <w:gridCol w:w="1273"/>
              <w:gridCol w:w="1679"/>
              <w:gridCol w:w="31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1165" w:type="pct"/>
                  <w:tcBorders>
                    <w:top w:val="single" w:color="000000" w:sz="4" w:space="0"/>
                    <w:left w:val="single" w:color="000000" w:sz="4" w:space="0"/>
                    <w:bottom w:val="single" w:color="000000" w:sz="4" w:space="0"/>
                    <w:right w:val="single" w:color="000000" w:sz="4" w:space="0"/>
                  </w:tcBorders>
                  <w:vAlign w:val="center"/>
                </w:tcPr>
                <w:p>
                  <w:pPr>
                    <w:jc w:val="center"/>
                  </w:pPr>
                  <w:r>
                    <w:t>采样日期</w:t>
                  </w:r>
                </w:p>
              </w:tc>
              <w:tc>
                <w:tcPr>
                  <w:tcW w:w="799" w:type="pc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rPr>
                    <w:t>监测因子</w:t>
                  </w:r>
                </w:p>
              </w:tc>
              <w:tc>
                <w:tcPr>
                  <w:tcW w:w="1055" w:type="pct"/>
                  <w:tcBorders>
                    <w:top w:val="single" w:color="000000" w:sz="4" w:space="0"/>
                    <w:left w:val="single" w:color="000000" w:sz="4" w:space="0"/>
                    <w:bottom w:val="single" w:color="000000" w:sz="4" w:space="0"/>
                    <w:right w:val="single" w:color="000000" w:sz="4" w:space="0"/>
                  </w:tcBorders>
                  <w:vAlign w:val="center"/>
                </w:tcPr>
                <w:p>
                  <w:pPr>
                    <w:jc w:val="center"/>
                  </w:pPr>
                  <w:r>
                    <w:t>检测地点</w:t>
                  </w:r>
                </w:p>
              </w:tc>
              <w:tc>
                <w:tcPr>
                  <w:tcW w:w="1979" w:type="pct"/>
                  <w:tcBorders>
                    <w:top w:val="single" w:color="000000" w:sz="4" w:space="0"/>
                    <w:left w:val="single" w:color="000000" w:sz="4" w:space="0"/>
                    <w:bottom w:val="single" w:color="000000" w:sz="4" w:space="0"/>
                    <w:right w:val="single" w:color="000000" w:sz="4" w:space="0"/>
                  </w:tcBorders>
                  <w:vAlign w:val="center"/>
                </w:tcPr>
                <w:p>
                  <w:pPr>
                    <w:jc w:val="center"/>
                  </w:pPr>
                  <w:r>
                    <w:t>检测结果浓度范围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1165" w:type="pct"/>
                  <w:vMerge w:val="restart"/>
                  <w:tcBorders>
                    <w:top w:val="single" w:color="000000" w:sz="4" w:space="0"/>
                    <w:left w:val="single" w:color="000000" w:sz="4" w:space="0"/>
                    <w:bottom w:val="single" w:color="000000" w:sz="4" w:space="0"/>
                    <w:right w:val="single" w:color="000000" w:sz="4" w:space="0"/>
                  </w:tcBorders>
                  <w:vAlign w:val="center"/>
                </w:tcPr>
                <w:p>
                  <w:pPr>
                    <w:jc w:val="center"/>
                  </w:pPr>
                  <w:r>
                    <w:t>2020.11.</w:t>
                  </w:r>
                  <w:r>
                    <w:rPr>
                      <w:rFonts w:hint="eastAsia"/>
                    </w:rPr>
                    <w:t>10</w:t>
                  </w:r>
                  <w:r>
                    <w:t>~11.1</w:t>
                  </w:r>
                  <w:r>
                    <w:rPr>
                      <w:rFonts w:hint="eastAsia"/>
                    </w:rPr>
                    <w:t>6</w:t>
                  </w:r>
                </w:p>
              </w:tc>
              <w:tc>
                <w:tcPr>
                  <w:tcW w:w="799" w:type="pct"/>
                  <w:vMerge w:val="restart"/>
                  <w:tcBorders>
                    <w:top w:val="single" w:color="000000" w:sz="4" w:space="0"/>
                    <w:left w:val="single" w:color="000000" w:sz="4" w:space="0"/>
                    <w:right w:val="single" w:color="000000" w:sz="4" w:space="0"/>
                  </w:tcBorders>
                  <w:vAlign w:val="center"/>
                </w:tcPr>
                <w:p>
                  <w:pPr>
                    <w:snapToGrid w:val="0"/>
                    <w:jc w:val="center"/>
                  </w:pPr>
                  <w:r>
                    <w:rPr>
                      <w:rFonts w:hint="eastAsia"/>
                    </w:rPr>
                    <w:t>TSP</w:t>
                  </w:r>
                </w:p>
              </w:tc>
              <w:tc>
                <w:tcPr>
                  <w:tcW w:w="1055" w:type="pct"/>
                  <w:tcBorders>
                    <w:top w:val="single" w:color="000000" w:sz="4" w:space="0"/>
                    <w:left w:val="single" w:color="000000" w:sz="4" w:space="0"/>
                    <w:bottom w:val="single" w:color="000000" w:sz="4" w:space="0"/>
                    <w:right w:val="single" w:color="000000" w:sz="4" w:space="0"/>
                  </w:tcBorders>
                  <w:vAlign w:val="center"/>
                </w:tcPr>
                <w:p>
                  <w:pPr>
                    <w:snapToGrid w:val="0"/>
                    <w:jc w:val="center"/>
                  </w:pPr>
                  <w:r>
                    <w:rPr>
                      <w:rFonts w:hint="eastAsia"/>
                    </w:rPr>
                    <w:t>段家村</w:t>
                  </w:r>
                </w:p>
              </w:tc>
              <w:tc>
                <w:tcPr>
                  <w:tcW w:w="1979" w:type="pct"/>
                  <w:tcBorders>
                    <w:top w:val="single" w:color="000000" w:sz="4" w:space="0"/>
                    <w:left w:val="single" w:color="000000" w:sz="4" w:space="0"/>
                    <w:bottom w:val="single" w:color="000000" w:sz="4" w:space="0"/>
                    <w:right w:val="single" w:color="000000" w:sz="4" w:space="0"/>
                  </w:tcBorders>
                  <w:vAlign w:val="center"/>
                </w:tcPr>
                <w:p>
                  <w:pPr>
                    <w:snapToGrid w:val="0"/>
                    <w:jc w:val="center"/>
                  </w:pPr>
                  <w:r>
                    <w:rPr>
                      <w:rFonts w:hint="eastAsia"/>
                    </w:rPr>
                    <w:t>110~166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1165" w:type="pct"/>
                  <w:vMerge w:val="continue"/>
                  <w:tcBorders>
                    <w:top w:val="single" w:color="000000" w:sz="4" w:space="0"/>
                    <w:left w:val="single" w:color="000000" w:sz="4" w:space="0"/>
                    <w:bottom w:val="single" w:color="000000" w:sz="4" w:space="0"/>
                    <w:right w:val="single" w:color="000000" w:sz="4" w:space="0"/>
                  </w:tcBorders>
                  <w:vAlign w:val="center"/>
                </w:tcPr>
                <w:p>
                  <w:pPr>
                    <w:jc w:val="center"/>
                  </w:pPr>
                </w:p>
              </w:tc>
              <w:tc>
                <w:tcPr>
                  <w:tcW w:w="799" w:type="pct"/>
                  <w:vMerge w:val="continue"/>
                  <w:tcBorders>
                    <w:left w:val="single" w:color="000000" w:sz="4" w:space="0"/>
                    <w:right w:val="single" w:color="000000" w:sz="4" w:space="0"/>
                  </w:tcBorders>
                  <w:vAlign w:val="center"/>
                </w:tcPr>
                <w:p>
                  <w:pPr>
                    <w:snapToGrid w:val="0"/>
                    <w:jc w:val="center"/>
                  </w:pPr>
                </w:p>
              </w:tc>
              <w:tc>
                <w:tcPr>
                  <w:tcW w:w="1055" w:type="pct"/>
                  <w:tcBorders>
                    <w:top w:val="single" w:color="000000" w:sz="4" w:space="0"/>
                    <w:left w:val="single" w:color="000000" w:sz="4" w:space="0"/>
                    <w:bottom w:val="single" w:color="000000" w:sz="4" w:space="0"/>
                    <w:right w:val="single" w:color="000000" w:sz="4" w:space="0"/>
                  </w:tcBorders>
                  <w:vAlign w:val="center"/>
                </w:tcPr>
                <w:p>
                  <w:pPr>
                    <w:snapToGrid w:val="0"/>
                    <w:jc w:val="center"/>
                  </w:pPr>
                  <w:r>
                    <w:rPr>
                      <w:rFonts w:hint="eastAsia"/>
                    </w:rPr>
                    <w:t>宿州现代粮食物流产业园</w:t>
                  </w:r>
                </w:p>
              </w:tc>
              <w:tc>
                <w:tcPr>
                  <w:tcW w:w="1979" w:type="pct"/>
                  <w:tcBorders>
                    <w:top w:val="single" w:color="000000" w:sz="4" w:space="0"/>
                    <w:left w:val="single" w:color="000000" w:sz="4" w:space="0"/>
                    <w:bottom w:val="single" w:color="000000" w:sz="4" w:space="0"/>
                    <w:right w:val="single" w:color="000000" w:sz="4" w:space="0"/>
                  </w:tcBorders>
                  <w:vAlign w:val="center"/>
                </w:tcPr>
                <w:p>
                  <w:pPr>
                    <w:snapToGrid w:val="0"/>
                    <w:jc w:val="center"/>
                  </w:pPr>
                  <w:r>
                    <w:rPr>
                      <w:rFonts w:hint="eastAsia"/>
                    </w:rPr>
                    <w:t>112~157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1165" w:type="pct"/>
                  <w:vMerge w:val="continue"/>
                  <w:tcBorders>
                    <w:top w:val="single" w:color="000000" w:sz="4" w:space="0"/>
                    <w:left w:val="single" w:color="000000" w:sz="4" w:space="0"/>
                    <w:bottom w:val="single" w:color="000000" w:sz="4" w:space="0"/>
                    <w:right w:val="single" w:color="000000" w:sz="4" w:space="0"/>
                  </w:tcBorders>
                  <w:vAlign w:val="center"/>
                </w:tcPr>
                <w:p>
                  <w:pPr>
                    <w:jc w:val="center"/>
                  </w:pPr>
                </w:p>
              </w:tc>
              <w:tc>
                <w:tcPr>
                  <w:tcW w:w="799" w:type="pct"/>
                  <w:vMerge w:val="continue"/>
                  <w:tcBorders>
                    <w:left w:val="single" w:color="000000" w:sz="4" w:space="0"/>
                    <w:bottom w:val="single" w:color="000000" w:sz="4" w:space="0"/>
                    <w:right w:val="single" w:color="000000" w:sz="4" w:space="0"/>
                  </w:tcBorders>
                  <w:vAlign w:val="center"/>
                </w:tcPr>
                <w:p>
                  <w:pPr>
                    <w:snapToGrid w:val="0"/>
                    <w:jc w:val="center"/>
                  </w:pPr>
                </w:p>
              </w:tc>
              <w:tc>
                <w:tcPr>
                  <w:tcW w:w="1055" w:type="pct"/>
                  <w:tcBorders>
                    <w:top w:val="single" w:color="000000" w:sz="4" w:space="0"/>
                    <w:left w:val="single" w:color="000000" w:sz="4" w:space="0"/>
                    <w:bottom w:val="single" w:color="000000" w:sz="4" w:space="0"/>
                    <w:right w:val="single" w:color="000000" w:sz="4" w:space="0"/>
                  </w:tcBorders>
                  <w:vAlign w:val="center"/>
                </w:tcPr>
                <w:p>
                  <w:pPr>
                    <w:snapToGrid w:val="0"/>
                    <w:jc w:val="center"/>
                  </w:pPr>
                  <w:r>
                    <w:rPr>
                      <w:rFonts w:hint="eastAsia"/>
                    </w:rPr>
                    <w:t>宿州博洋工业园</w:t>
                  </w:r>
                </w:p>
              </w:tc>
              <w:tc>
                <w:tcPr>
                  <w:tcW w:w="1979" w:type="pct"/>
                  <w:tcBorders>
                    <w:top w:val="single" w:color="000000" w:sz="4" w:space="0"/>
                    <w:left w:val="single" w:color="000000" w:sz="4" w:space="0"/>
                    <w:bottom w:val="single" w:color="000000" w:sz="4" w:space="0"/>
                    <w:right w:val="single" w:color="000000" w:sz="4" w:space="0"/>
                  </w:tcBorders>
                  <w:vAlign w:val="center"/>
                </w:tcPr>
                <w:p>
                  <w:pPr>
                    <w:snapToGrid w:val="0"/>
                    <w:jc w:val="center"/>
                  </w:pPr>
                  <w:r>
                    <w:rPr>
                      <w:rFonts w:hint="eastAsia"/>
                    </w:rPr>
                    <w:t>112~160</w:t>
                  </w:r>
                </w:p>
              </w:tc>
            </w:tr>
          </w:tbl>
          <w:p>
            <w:pPr>
              <w:spacing w:line="360" w:lineRule="auto"/>
              <w:ind w:firstLine="480"/>
              <w:jc w:val="left"/>
              <w:rPr>
                <w:sz w:val="24"/>
                <w:szCs w:val="24"/>
              </w:rPr>
            </w:pPr>
            <w:r>
              <w:rPr>
                <w:sz w:val="24"/>
                <w:szCs w:val="24"/>
              </w:rPr>
              <w:t>③评价方法</w:t>
            </w:r>
          </w:p>
          <w:p>
            <w:pPr>
              <w:spacing w:line="360" w:lineRule="auto"/>
              <w:ind w:firstLine="480"/>
              <w:jc w:val="left"/>
              <w:rPr>
                <w:sz w:val="24"/>
                <w:szCs w:val="24"/>
              </w:rPr>
            </w:pPr>
            <w:r>
              <w:rPr>
                <w:sz w:val="24"/>
                <w:szCs w:val="24"/>
              </w:rPr>
              <w:t>评价方法采用单因子污染指数法，其计算公式为：</w:t>
            </w:r>
          </w:p>
          <w:p>
            <w:pPr>
              <w:spacing w:line="360" w:lineRule="auto"/>
              <w:ind w:firstLine="1200"/>
              <w:jc w:val="left"/>
              <w:rPr>
                <w:sz w:val="24"/>
                <w:szCs w:val="24"/>
              </w:rPr>
            </w:pPr>
            <w:r>
              <w:rPr>
                <w:sz w:val="24"/>
                <w:szCs w:val="24"/>
              </w:rPr>
              <w:t>Pi＝Ci/ Csi</w:t>
            </w:r>
          </w:p>
          <w:p>
            <w:pPr>
              <w:spacing w:line="360" w:lineRule="auto"/>
              <w:ind w:firstLine="480"/>
              <w:jc w:val="left"/>
              <w:rPr>
                <w:sz w:val="24"/>
                <w:szCs w:val="24"/>
              </w:rPr>
            </w:pPr>
            <w:r>
              <w:rPr>
                <w:sz w:val="24"/>
                <w:szCs w:val="24"/>
              </w:rPr>
              <w:t>式中：P</w:t>
            </w:r>
            <w:r>
              <w:rPr>
                <w:sz w:val="24"/>
                <w:szCs w:val="24"/>
                <w:vertAlign w:val="subscript"/>
              </w:rPr>
              <w:t>i</w:t>
            </w:r>
            <w:r>
              <w:rPr>
                <w:sz w:val="24"/>
                <w:szCs w:val="24"/>
              </w:rPr>
              <w:t>——i污染物单因子指数；</w:t>
            </w:r>
          </w:p>
          <w:p>
            <w:pPr>
              <w:spacing w:line="360" w:lineRule="auto"/>
              <w:ind w:firstLine="1200"/>
              <w:jc w:val="left"/>
              <w:rPr>
                <w:sz w:val="24"/>
                <w:szCs w:val="24"/>
              </w:rPr>
            </w:pPr>
            <w:r>
              <w:rPr>
                <w:sz w:val="24"/>
                <w:szCs w:val="24"/>
              </w:rPr>
              <w:t>C</w:t>
            </w:r>
            <w:r>
              <w:rPr>
                <w:sz w:val="24"/>
                <w:szCs w:val="24"/>
                <w:vertAlign w:val="subscript"/>
              </w:rPr>
              <w:t>i</w:t>
            </w:r>
            <w:r>
              <w:rPr>
                <w:sz w:val="24"/>
                <w:szCs w:val="24"/>
              </w:rPr>
              <w:t>——i污染物实测浓度，mg/m</w:t>
            </w:r>
            <w:r>
              <w:rPr>
                <w:sz w:val="24"/>
                <w:szCs w:val="24"/>
                <w:vertAlign w:val="superscript"/>
              </w:rPr>
              <w:t>3</w:t>
            </w:r>
            <w:r>
              <w:rPr>
                <w:sz w:val="24"/>
                <w:szCs w:val="24"/>
              </w:rPr>
              <w:t>；</w:t>
            </w:r>
          </w:p>
          <w:p>
            <w:pPr>
              <w:spacing w:line="360" w:lineRule="auto"/>
              <w:ind w:firstLine="1200"/>
              <w:jc w:val="left"/>
              <w:rPr>
                <w:sz w:val="24"/>
                <w:szCs w:val="24"/>
              </w:rPr>
            </w:pPr>
            <w:r>
              <w:rPr>
                <w:sz w:val="24"/>
                <w:szCs w:val="24"/>
              </w:rPr>
              <w:t>C</w:t>
            </w:r>
            <w:r>
              <w:rPr>
                <w:sz w:val="24"/>
                <w:szCs w:val="24"/>
                <w:vertAlign w:val="subscript"/>
              </w:rPr>
              <w:t>si</w:t>
            </w:r>
            <w:r>
              <w:rPr>
                <w:sz w:val="24"/>
                <w:szCs w:val="24"/>
              </w:rPr>
              <w:t>——i污染物评价标准，mg/m</w:t>
            </w:r>
            <w:r>
              <w:rPr>
                <w:sz w:val="24"/>
                <w:szCs w:val="24"/>
                <w:vertAlign w:val="superscript"/>
              </w:rPr>
              <w:t>3</w:t>
            </w:r>
            <w:r>
              <w:rPr>
                <w:sz w:val="24"/>
                <w:szCs w:val="24"/>
              </w:rPr>
              <w:t>。</w:t>
            </w:r>
          </w:p>
          <w:p>
            <w:pPr>
              <w:spacing w:line="360" w:lineRule="auto"/>
              <w:ind w:firstLine="480"/>
              <w:jc w:val="left"/>
              <w:rPr>
                <w:sz w:val="24"/>
                <w:szCs w:val="24"/>
              </w:rPr>
            </w:pPr>
            <w:r>
              <w:rPr>
                <w:sz w:val="24"/>
                <w:szCs w:val="24"/>
              </w:rPr>
              <w:t>当P</w:t>
            </w:r>
            <w:r>
              <w:rPr>
                <w:sz w:val="24"/>
                <w:szCs w:val="24"/>
                <w:vertAlign w:val="subscript"/>
              </w:rPr>
              <w:t>i</w:t>
            </w:r>
            <w:r>
              <w:rPr>
                <w:sz w:val="24"/>
                <w:szCs w:val="24"/>
              </w:rPr>
              <w:t>&gt;1时，即该因子超标。</w:t>
            </w:r>
          </w:p>
          <w:p>
            <w:pPr>
              <w:spacing w:line="360" w:lineRule="auto"/>
              <w:ind w:firstLine="482"/>
              <w:jc w:val="left"/>
              <w:rPr>
                <w:sz w:val="24"/>
                <w:szCs w:val="24"/>
              </w:rPr>
            </w:pPr>
            <w:r>
              <w:rPr>
                <w:sz w:val="24"/>
                <w:szCs w:val="24"/>
              </w:rPr>
              <w:t>④现状评价结果</w:t>
            </w:r>
          </w:p>
          <w:p>
            <w:pPr>
              <w:spacing w:line="360" w:lineRule="auto"/>
              <w:ind w:firstLine="480"/>
              <w:rPr>
                <w:sz w:val="24"/>
                <w:szCs w:val="24"/>
              </w:rPr>
            </w:pPr>
            <w:r>
              <w:rPr>
                <w:sz w:val="24"/>
                <w:szCs w:val="24"/>
              </w:rPr>
              <w:t>环境空气现状监测统计及评价结果见下表。</w:t>
            </w:r>
          </w:p>
          <w:p>
            <w:pPr>
              <w:tabs>
                <w:tab w:val="left" w:pos="420"/>
              </w:tabs>
              <w:spacing w:line="360" w:lineRule="auto"/>
              <w:jc w:val="center"/>
              <w:rPr>
                <w:b/>
                <w:bCs/>
                <w:sz w:val="24"/>
                <w:szCs w:val="24"/>
              </w:rPr>
            </w:pPr>
            <w:r>
              <w:rPr>
                <w:b/>
                <w:bCs/>
                <w:sz w:val="24"/>
                <w:szCs w:val="24"/>
              </w:rPr>
              <w:t>表3-4  各监测点监测统计及评价结果</w:t>
            </w:r>
          </w:p>
          <w:tbl>
            <w:tblPr>
              <w:tblStyle w:val="23"/>
              <w:tblW w:w="805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15"/>
              <w:gridCol w:w="1669"/>
              <w:gridCol w:w="1226"/>
              <w:gridCol w:w="1379"/>
              <w:gridCol w:w="1266"/>
              <w:gridCol w:w="10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jc w:val="center"/>
              </w:trPr>
              <w:tc>
                <w:tcPr>
                  <w:tcW w:w="940" w:type="pct"/>
                  <w:tcBorders>
                    <w:top w:val="single" w:color="000000" w:sz="4" w:space="0"/>
                    <w:left w:val="single" w:color="000000" w:sz="4" w:space="0"/>
                    <w:bottom w:val="single" w:color="000000" w:sz="4" w:space="0"/>
                    <w:right w:val="single" w:color="000000" w:sz="4" w:space="0"/>
                  </w:tcBorders>
                  <w:vAlign w:val="center"/>
                </w:tcPr>
                <w:p>
                  <w:pPr>
                    <w:jc w:val="center"/>
                  </w:pPr>
                  <w:r>
                    <w:t>监测点位</w:t>
                  </w:r>
                </w:p>
              </w:tc>
              <w:tc>
                <w:tcPr>
                  <w:tcW w:w="1035" w:type="pct"/>
                  <w:tcBorders>
                    <w:top w:val="single" w:color="000000" w:sz="4" w:space="0"/>
                    <w:left w:val="single" w:color="000000" w:sz="4" w:space="0"/>
                    <w:bottom w:val="single" w:color="000000" w:sz="4" w:space="0"/>
                    <w:right w:val="single" w:color="000000" w:sz="4" w:space="0"/>
                  </w:tcBorders>
                  <w:vAlign w:val="center"/>
                </w:tcPr>
                <w:p>
                  <w:pPr>
                    <w:jc w:val="center"/>
                  </w:pPr>
                  <w:r>
                    <w:t>污染物</w:t>
                  </w:r>
                </w:p>
              </w:tc>
              <w:tc>
                <w:tcPr>
                  <w:tcW w:w="760" w:type="pct"/>
                  <w:tcBorders>
                    <w:top w:val="single" w:color="000000" w:sz="4" w:space="0"/>
                    <w:left w:val="single" w:color="000000" w:sz="4" w:space="0"/>
                    <w:bottom w:val="single" w:color="000000" w:sz="4" w:space="0"/>
                    <w:right w:val="single" w:color="000000" w:sz="4" w:space="0"/>
                  </w:tcBorders>
                  <w:vAlign w:val="center"/>
                </w:tcPr>
                <w:p>
                  <w:pPr>
                    <w:jc w:val="center"/>
                  </w:pPr>
                  <w:r>
                    <w:t>评级标准（mg/m</w:t>
                  </w:r>
                  <w:r>
                    <w:rPr>
                      <w:vertAlign w:val="superscript"/>
                    </w:rPr>
                    <w:t>3</w:t>
                  </w:r>
                  <w:r>
                    <w:t>）</w:t>
                  </w:r>
                </w:p>
              </w:tc>
              <w:tc>
                <w:tcPr>
                  <w:tcW w:w="855" w:type="pct"/>
                  <w:tcBorders>
                    <w:top w:val="single" w:color="000000" w:sz="4" w:space="0"/>
                    <w:left w:val="single" w:color="000000" w:sz="4" w:space="0"/>
                    <w:bottom w:val="single" w:color="000000" w:sz="4" w:space="0"/>
                    <w:right w:val="single" w:color="000000" w:sz="4" w:space="0"/>
                  </w:tcBorders>
                  <w:vAlign w:val="center"/>
                </w:tcPr>
                <w:p>
                  <w:pPr>
                    <w:jc w:val="center"/>
                  </w:pPr>
                  <w:r>
                    <w:t>监测浓度最大值（ug/m</w:t>
                  </w:r>
                  <w:r>
                    <w:rPr>
                      <w:vertAlign w:val="superscript"/>
                    </w:rPr>
                    <w:t>3</w:t>
                  </w:r>
                  <w:r>
                    <w:t>）</w:t>
                  </w:r>
                </w:p>
              </w:tc>
              <w:tc>
                <w:tcPr>
                  <w:tcW w:w="785" w:type="pct"/>
                  <w:tcBorders>
                    <w:top w:val="single" w:color="000000" w:sz="4" w:space="0"/>
                    <w:left w:val="single" w:color="000000" w:sz="4" w:space="0"/>
                    <w:bottom w:val="single" w:color="000000" w:sz="4" w:space="0"/>
                    <w:right w:val="single" w:color="000000" w:sz="4" w:space="0"/>
                  </w:tcBorders>
                  <w:vAlign w:val="center"/>
                </w:tcPr>
                <w:p>
                  <w:pPr>
                    <w:jc w:val="center"/>
                  </w:pPr>
                  <w:r>
                    <w:t>单因子指数</w:t>
                  </w:r>
                </w:p>
              </w:tc>
              <w:tc>
                <w:tcPr>
                  <w:tcW w:w="621" w:type="pct"/>
                  <w:tcBorders>
                    <w:top w:val="single" w:color="000000" w:sz="4" w:space="0"/>
                    <w:left w:val="single" w:color="000000" w:sz="4" w:space="0"/>
                    <w:bottom w:val="single" w:color="000000" w:sz="4" w:space="0"/>
                    <w:right w:val="single" w:color="000000" w:sz="4" w:space="0"/>
                  </w:tcBorders>
                  <w:vAlign w:val="center"/>
                </w:tcPr>
                <w:p>
                  <w:pPr>
                    <w:jc w:val="center"/>
                  </w:pPr>
                  <w:r>
                    <w:t>达标情况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1" w:hRule="atLeast"/>
                <w:jc w:val="center"/>
              </w:trPr>
              <w:tc>
                <w:tcPr>
                  <w:tcW w:w="940" w:type="pct"/>
                  <w:tcBorders>
                    <w:top w:val="single" w:color="000000" w:sz="4" w:space="0"/>
                    <w:left w:val="single" w:color="000000" w:sz="4" w:space="0"/>
                    <w:bottom w:val="single" w:color="000000" w:sz="4" w:space="0"/>
                    <w:right w:val="single" w:color="000000" w:sz="4" w:space="0"/>
                  </w:tcBorders>
                  <w:vAlign w:val="center"/>
                </w:tcPr>
                <w:p>
                  <w:pPr>
                    <w:snapToGrid w:val="0"/>
                    <w:jc w:val="center"/>
                  </w:pPr>
                  <w:r>
                    <w:rPr>
                      <w:rFonts w:hint="eastAsia"/>
                    </w:rPr>
                    <w:t>段家村</w:t>
                  </w:r>
                </w:p>
              </w:tc>
              <w:tc>
                <w:tcPr>
                  <w:tcW w:w="1035" w:type="pc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rPr>
                    <w:t>TSP</w:t>
                  </w:r>
                </w:p>
              </w:tc>
              <w:tc>
                <w:tcPr>
                  <w:tcW w:w="760" w:type="pc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rPr>
                    <w:t>300</w:t>
                  </w:r>
                </w:p>
              </w:tc>
              <w:tc>
                <w:tcPr>
                  <w:tcW w:w="855" w:type="pc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rPr>
                    <w:t>166</w:t>
                  </w:r>
                </w:p>
              </w:tc>
              <w:tc>
                <w:tcPr>
                  <w:tcW w:w="785" w:type="pc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rPr>
                    <w:t>0.553</w:t>
                  </w:r>
                </w:p>
              </w:tc>
              <w:tc>
                <w:tcPr>
                  <w:tcW w:w="621" w:type="pct"/>
                  <w:tcBorders>
                    <w:top w:val="single" w:color="000000" w:sz="4" w:space="0"/>
                    <w:left w:val="single" w:color="000000" w:sz="4" w:space="0"/>
                    <w:bottom w:val="single" w:color="000000" w:sz="4" w:space="0"/>
                    <w:right w:val="single" w:color="000000" w:sz="4" w:space="0"/>
                  </w:tcBorders>
                  <w:vAlign w:val="center"/>
                </w:tcPr>
                <w:p>
                  <w:pPr>
                    <w:jc w:val="center"/>
                  </w:pPr>
                  <w:r>
                    <w:t>达标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1" w:hRule="atLeast"/>
                <w:jc w:val="center"/>
              </w:trPr>
              <w:tc>
                <w:tcPr>
                  <w:tcW w:w="940" w:type="pct"/>
                  <w:tcBorders>
                    <w:top w:val="single" w:color="000000" w:sz="4" w:space="0"/>
                    <w:left w:val="single" w:color="000000" w:sz="4" w:space="0"/>
                    <w:bottom w:val="single" w:color="000000" w:sz="4" w:space="0"/>
                    <w:right w:val="single" w:color="000000" w:sz="4" w:space="0"/>
                  </w:tcBorders>
                  <w:vAlign w:val="center"/>
                </w:tcPr>
                <w:p>
                  <w:pPr>
                    <w:snapToGrid w:val="0"/>
                    <w:jc w:val="center"/>
                  </w:pPr>
                  <w:r>
                    <w:rPr>
                      <w:rFonts w:hint="eastAsia"/>
                    </w:rPr>
                    <w:t>宿州现代粮食物流产业园</w:t>
                  </w:r>
                </w:p>
              </w:tc>
              <w:tc>
                <w:tcPr>
                  <w:tcW w:w="1035" w:type="pc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rPr>
                    <w:t>TSP</w:t>
                  </w:r>
                </w:p>
              </w:tc>
              <w:tc>
                <w:tcPr>
                  <w:tcW w:w="760" w:type="pc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rPr>
                    <w:t>300</w:t>
                  </w:r>
                </w:p>
              </w:tc>
              <w:tc>
                <w:tcPr>
                  <w:tcW w:w="855" w:type="pc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rPr>
                    <w:t>157</w:t>
                  </w:r>
                </w:p>
              </w:tc>
              <w:tc>
                <w:tcPr>
                  <w:tcW w:w="785" w:type="pc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rPr>
                    <w:t>0.523</w:t>
                  </w:r>
                </w:p>
              </w:tc>
              <w:tc>
                <w:tcPr>
                  <w:tcW w:w="621" w:type="pct"/>
                  <w:tcBorders>
                    <w:top w:val="single" w:color="000000" w:sz="4" w:space="0"/>
                    <w:left w:val="single" w:color="000000" w:sz="4" w:space="0"/>
                    <w:bottom w:val="single" w:color="000000" w:sz="4" w:space="0"/>
                    <w:right w:val="single" w:color="000000" w:sz="4" w:space="0"/>
                  </w:tcBorders>
                  <w:vAlign w:val="center"/>
                </w:tcPr>
                <w:p>
                  <w:pPr>
                    <w:jc w:val="center"/>
                  </w:pPr>
                  <w:r>
                    <w:t>达标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1" w:hRule="atLeast"/>
                <w:jc w:val="center"/>
              </w:trPr>
              <w:tc>
                <w:tcPr>
                  <w:tcW w:w="940" w:type="pct"/>
                  <w:tcBorders>
                    <w:top w:val="single" w:color="000000" w:sz="4" w:space="0"/>
                    <w:left w:val="single" w:color="000000" w:sz="4" w:space="0"/>
                    <w:bottom w:val="single" w:color="000000" w:sz="4" w:space="0"/>
                    <w:right w:val="single" w:color="000000" w:sz="4" w:space="0"/>
                  </w:tcBorders>
                  <w:vAlign w:val="center"/>
                </w:tcPr>
                <w:p>
                  <w:pPr>
                    <w:snapToGrid w:val="0"/>
                    <w:jc w:val="center"/>
                  </w:pPr>
                  <w:r>
                    <w:rPr>
                      <w:rFonts w:hint="eastAsia"/>
                    </w:rPr>
                    <w:t>宿州博洋工业园</w:t>
                  </w:r>
                </w:p>
              </w:tc>
              <w:tc>
                <w:tcPr>
                  <w:tcW w:w="1035" w:type="pc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rPr>
                    <w:t>TSP</w:t>
                  </w:r>
                </w:p>
              </w:tc>
              <w:tc>
                <w:tcPr>
                  <w:tcW w:w="760" w:type="pc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rPr>
                    <w:t>300</w:t>
                  </w:r>
                </w:p>
              </w:tc>
              <w:tc>
                <w:tcPr>
                  <w:tcW w:w="855" w:type="pc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rPr>
                    <w:t>160</w:t>
                  </w:r>
                </w:p>
              </w:tc>
              <w:tc>
                <w:tcPr>
                  <w:tcW w:w="785" w:type="pc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rPr>
                    <w:t>0.533</w:t>
                  </w:r>
                </w:p>
              </w:tc>
              <w:tc>
                <w:tcPr>
                  <w:tcW w:w="621" w:type="pct"/>
                  <w:tcBorders>
                    <w:top w:val="single" w:color="000000" w:sz="4" w:space="0"/>
                    <w:left w:val="single" w:color="000000" w:sz="4" w:space="0"/>
                    <w:bottom w:val="single" w:color="000000" w:sz="4" w:space="0"/>
                    <w:right w:val="single" w:color="000000" w:sz="4" w:space="0"/>
                  </w:tcBorders>
                  <w:vAlign w:val="center"/>
                </w:tcPr>
                <w:p>
                  <w:pPr>
                    <w:jc w:val="center"/>
                  </w:pPr>
                  <w:r>
                    <w:t>达标</w:t>
                  </w:r>
                </w:p>
              </w:tc>
            </w:tr>
          </w:tbl>
          <w:p>
            <w:pPr>
              <w:spacing w:line="360" w:lineRule="auto"/>
              <w:ind w:firstLine="480"/>
              <w:rPr>
                <w:highlight w:val="red"/>
              </w:rPr>
            </w:pPr>
            <w:r>
              <w:rPr>
                <w:sz w:val="24"/>
                <w:szCs w:val="24"/>
              </w:rPr>
              <w:t>综上所述，监测期间</w:t>
            </w:r>
            <w:r>
              <w:rPr>
                <w:rFonts w:hint="eastAsia"/>
                <w:sz w:val="24"/>
                <w:szCs w:val="24"/>
              </w:rPr>
              <w:t>TSP</w:t>
            </w:r>
            <w:r>
              <w:rPr>
                <w:sz w:val="24"/>
                <w:szCs w:val="24"/>
              </w:rPr>
              <w:t>的监测结果</w:t>
            </w:r>
            <w:r>
              <w:rPr>
                <w:rFonts w:hint="eastAsia"/>
                <w:sz w:val="24"/>
                <w:szCs w:val="24"/>
              </w:rPr>
              <w:t>满足</w:t>
            </w:r>
            <w:r>
              <w:rPr>
                <w:sz w:val="24"/>
                <w:szCs w:val="24"/>
              </w:rPr>
              <w:t>《</w:t>
            </w:r>
            <w:r>
              <w:rPr>
                <w:rFonts w:hint="eastAsia"/>
                <w:sz w:val="24"/>
                <w:szCs w:val="24"/>
              </w:rPr>
              <w:t>环境空气质量标准</w:t>
            </w:r>
            <w:r>
              <w:rPr>
                <w:sz w:val="24"/>
                <w:szCs w:val="24"/>
              </w:rPr>
              <w:t>》</w:t>
            </w:r>
            <w:r>
              <w:rPr>
                <w:rFonts w:hint="eastAsia"/>
                <w:sz w:val="24"/>
                <w:szCs w:val="24"/>
              </w:rPr>
              <w:t>（GB 3095-2012）</w:t>
            </w:r>
            <w:r>
              <w:rPr>
                <w:sz w:val="24"/>
                <w:szCs w:val="24"/>
              </w:rPr>
              <w:t>中</w:t>
            </w:r>
            <w:r>
              <w:rPr>
                <w:rFonts w:hint="eastAsia"/>
                <w:sz w:val="24"/>
                <w:szCs w:val="24"/>
              </w:rPr>
              <w:t>表2的二级浓度限值</w:t>
            </w:r>
            <w:r>
              <w:rPr>
                <w:sz w:val="24"/>
                <w:szCs w:val="24"/>
              </w:rPr>
              <w:t>要求。</w:t>
            </w:r>
          </w:p>
          <w:p>
            <w:pPr>
              <w:spacing w:line="360" w:lineRule="auto"/>
              <w:ind w:firstLine="482" w:firstLineChars="200"/>
              <w:rPr>
                <w:b/>
                <w:bCs/>
                <w:sz w:val="24"/>
                <w:szCs w:val="24"/>
              </w:rPr>
            </w:pPr>
            <w:r>
              <w:rPr>
                <w:rFonts w:hint="eastAsia"/>
                <w:b/>
                <w:bCs/>
                <w:sz w:val="24"/>
                <w:szCs w:val="24"/>
              </w:rPr>
              <w:t>2、</w:t>
            </w:r>
            <w:r>
              <w:rPr>
                <w:b/>
                <w:bCs/>
                <w:sz w:val="24"/>
                <w:szCs w:val="24"/>
              </w:rPr>
              <w:t>地表水环境</w:t>
            </w:r>
          </w:p>
          <w:p>
            <w:pPr>
              <w:spacing w:line="360" w:lineRule="auto"/>
              <w:ind w:firstLine="480" w:firstLineChars="200"/>
              <w:rPr>
                <w:color w:val="FF0000"/>
                <w:sz w:val="24"/>
                <w:szCs w:val="24"/>
              </w:rPr>
            </w:pPr>
            <w:r>
              <w:rPr>
                <w:rFonts w:ascii="宋体" w:hAnsi="宋体" w:cs="宋体"/>
                <w:sz w:val="24"/>
                <w:szCs w:val="24"/>
              </w:rPr>
              <w:t>本项目食堂废水经隔油池预处理后，与生活污水一同经化粪池处理后纳管，</w:t>
            </w:r>
            <w:r>
              <w:rPr>
                <w:rFonts w:hint="eastAsia" w:ascii="宋体" w:hAnsi="宋体" w:cs="宋体"/>
                <w:sz w:val="24"/>
                <w:szCs w:val="24"/>
                <w:lang w:eastAsia="zh-CN"/>
              </w:rPr>
              <w:t>纯水制备废水</w:t>
            </w:r>
            <w:r>
              <w:rPr>
                <w:rFonts w:ascii="宋体" w:hAnsi="宋体" w:cs="宋体"/>
                <w:sz w:val="24"/>
                <w:szCs w:val="24"/>
              </w:rPr>
              <w:t>浓度满足宿州市经济技术开发区污水处理厂接管标准，可直接纳管排入区域管网，所有废水均进入宿州市经济技术开发区污水处理厂集中处理，达标后排入运粮河</w:t>
            </w:r>
            <w:r>
              <w:rPr>
                <w:sz w:val="24"/>
                <w:szCs w:val="24"/>
              </w:rPr>
              <w:t>，故涉及的地表水体为运粮河。</w:t>
            </w:r>
          </w:p>
          <w:p>
            <w:pPr>
              <w:spacing w:line="360" w:lineRule="auto"/>
              <w:ind w:firstLine="480" w:firstLineChars="200"/>
              <w:rPr>
                <w:sz w:val="24"/>
                <w:szCs w:val="24"/>
              </w:rPr>
            </w:pPr>
            <w:r>
              <w:rPr>
                <w:sz w:val="24"/>
                <w:szCs w:val="24"/>
              </w:rPr>
              <w:t>本项目位于</w:t>
            </w:r>
            <w:r>
              <w:rPr>
                <w:rFonts w:hint="eastAsia" w:cs="宋体"/>
                <w:color w:val="000000"/>
                <w:kern w:val="0"/>
                <w:sz w:val="24"/>
                <w:szCs w:val="24"/>
              </w:rPr>
              <w:t>宿州市经济技术开发区金泰路</w:t>
            </w:r>
            <w:r>
              <w:rPr>
                <w:sz w:val="24"/>
                <w:szCs w:val="24"/>
              </w:rPr>
              <w:t>，而</w:t>
            </w:r>
            <w:r>
              <w:rPr>
                <w:kern w:val="0"/>
                <w:sz w:val="24"/>
                <w:szCs w:val="24"/>
              </w:rPr>
              <w:t>《宿州经济技术开发区环境影响区域评估报告》委托安徽省分众分析测试技术有限公司于2020年11月2日~11月4日对地表水体运粮河进行环境质量检测，</w:t>
            </w:r>
            <w:r>
              <w:rPr>
                <w:sz w:val="24"/>
                <w:szCs w:val="24"/>
              </w:rPr>
              <w:t>现状监测的时效与范围符合《建设项目环境影响报告表编制技术指南（污染影响类）（试行）》的要求，故本报告引用该报告中运粮河地表水现状监测数据。</w:t>
            </w:r>
          </w:p>
          <w:p>
            <w:pPr>
              <w:spacing w:line="360" w:lineRule="auto"/>
              <w:ind w:firstLine="480" w:firstLineChars="200"/>
              <w:rPr>
                <w:kern w:val="1"/>
                <w:sz w:val="24"/>
                <w:szCs w:val="24"/>
              </w:rPr>
            </w:pPr>
            <w:r>
              <w:rPr>
                <w:kern w:val="1"/>
                <w:sz w:val="24"/>
                <w:szCs w:val="24"/>
              </w:rPr>
              <w:t>①监测断面</w:t>
            </w:r>
          </w:p>
          <w:p>
            <w:pPr>
              <w:tabs>
                <w:tab w:val="left" w:pos="420"/>
              </w:tabs>
              <w:spacing w:line="360" w:lineRule="auto"/>
              <w:jc w:val="center"/>
              <w:rPr>
                <w:b/>
                <w:bCs/>
                <w:sz w:val="24"/>
                <w:szCs w:val="24"/>
              </w:rPr>
            </w:pPr>
            <w:r>
              <w:rPr>
                <w:b/>
                <w:bCs/>
                <w:sz w:val="24"/>
                <w:szCs w:val="24"/>
              </w:rPr>
              <w:t>表3-5  地表水环境监测断面具体位置</w:t>
            </w:r>
          </w:p>
          <w:tbl>
            <w:tblPr>
              <w:tblStyle w:val="23"/>
              <w:tblW w:w="5000" w:type="pct"/>
              <w:tblInd w:w="3"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391"/>
              <w:gridCol w:w="4098"/>
              <w:gridCol w:w="2475"/>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79" w:hRule="atLeast"/>
              </w:trPr>
              <w:tc>
                <w:tcPr>
                  <w:tcW w:w="873" w:type="pct"/>
                  <w:tcBorders>
                    <w:top w:val="single" w:color="auto" w:sz="4" w:space="0"/>
                    <w:left w:val="single" w:color="auto" w:sz="4" w:space="0"/>
                    <w:bottom w:val="single" w:color="auto" w:sz="6" w:space="0"/>
                    <w:right w:val="single" w:color="auto" w:sz="6" w:space="0"/>
                  </w:tcBorders>
                  <w:vAlign w:val="center"/>
                </w:tcPr>
                <w:p>
                  <w:pPr>
                    <w:autoSpaceDE w:val="0"/>
                    <w:autoSpaceDN w:val="0"/>
                    <w:jc w:val="center"/>
                  </w:pPr>
                  <w:r>
                    <w:t>编号</w:t>
                  </w:r>
                </w:p>
              </w:tc>
              <w:tc>
                <w:tcPr>
                  <w:tcW w:w="2572" w:type="pct"/>
                  <w:tcBorders>
                    <w:top w:val="single" w:color="auto" w:sz="4" w:space="0"/>
                    <w:left w:val="single" w:color="auto" w:sz="6" w:space="0"/>
                    <w:bottom w:val="single" w:color="auto" w:sz="6" w:space="0"/>
                    <w:right w:val="single" w:color="auto" w:sz="6" w:space="0"/>
                  </w:tcBorders>
                  <w:vAlign w:val="center"/>
                </w:tcPr>
                <w:p>
                  <w:pPr>
                    <w:autoSpaceDE w:val="0"/>
                    <w:autoSpaceDN w:val="0"/>
                    <w:jc w:val="center"/>
                  </w:pPr>
                  <w:r>
                    <w:t>断面位置</w:t>
                  </w:r>
                </w:p>
              </w:tc>
              <w:tc>
                <w:tcPr>
                  <w:tcW w:w="1554" w:type="pct"/>
                  <w:tcBorders>
                    <w:top w:val="single" w:color="auto" w:sz="4" w:space="0"/>
                    <w:left w:val="single" w:color="auto" w:sz="6" w:space="0"/>
                    <w:bottom w:val="single" w:color="auto" w:sz="6" w:space="0"/>
                    <w:right w:val="single" w:color="auto" w:sz="4" w:space="0"/>
                  </w:tcBorders>
                  <w:vAlign w:val="center"/>
                </w:tcPr>
                <w:p>
                  <w:pPr>
                    <w:autoSpaceDE w:val="0"/>
                    <w:autoSpaceDN w:val="0"/>
                    <w:jc w:val="center"/>
                  </w:pPr>
                  <w:r>
                    <w:t>监测项目</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43" w:hRule="atLeast"/>
              </w:trPr>
              <w:tc>
                <w:tcPr>
                  <w:tcW w:w="873" w:type="pct"/>
                  <w:tcBorders>
                    <w:top w:val="single" w:color="auto" w:sz="6" w:space="0"/>
                    <w:left w:val="single" w:color="auto" w:sz="4" w:space="0"/>
                    <w:bottom w:val="single" w:color="auto" w:sz="6" w:space="0"/>
                    <w:right w:val="single" w:color="auto" w:sz="6" w:space="0"/>
                  </w:tcBorders>
                  <w:vAlign w:val="center"/>
                </w:tcPr>
                <w:p>
                  <w:pPr>
                    <w:autoSpaceDE w:val="0"/>
                    <w:autoSpaceDN w:val="0"/>
                    <w:jc w:val="center"/>
                  </w:pPr>
                  <w:r>
                    <w:t>W1</w:t>
                  </w:r>
                </w:p>
              </w:tc>
              <w:tc>
                <w:tcPr>
                  <w:tcW w:w="2572" w:type="pct"/>
                  <w:tcBorders>
                    <w:top w:val="single" w:color="auto" w:sz="6" w:space="0"/>
                    <w:left w:val="single" w:color="auto" w:sz="6" w:space="0"/>
                    <w:bottom w:val="single" w:color="auto" w:sz="6" w:space="0"/>
                    <w:right w:val="single" w:color="auto" w:sz="6" w:space="0"/>
                  </w:tcBorders>
                  <w:vAlign w:val="center"/>
                </w:tcPr>
                <w:p>
                  <w:pPr>
                    <w:jc w:val="center"/>
                  </w:pPr>
                  <w:r>
                    <w:t>运粮河与园区边界交汇处上游400m</w:t>
                  </w:r>
                </w:p>
              </w:tc>
              <w:tc>
                <w:tcPr>
                  <w:tcW w:w="1554" w:type="pct"/>
                  <w:vMerge w:val="restart"/>
                  <w:tcBorders>
                    <w:top w:val="single" w:color="auto" w:sz="6" w:space="0"/>
                    <w:left w:val="single" w:color="auto" w:sz="6" w:space="0"/>
                    <w:bottom w:val="single" w:color="auto" w:sz="6" w:space="0"/>
                    <w:right w:val="single" w:color="auto" w:sz="4" w:space="0"/>
                  </w:tcBorders>
                  <w:vAlign w:val="center"/>
                </w:tcPr>
                <w:p>
                  <w:pPr>
                    <w:autoSpaceDE w:val="0"/>
                    <w:autoSpaceDN w:val="0"/>
                    <w:jc w:val="center"/>
                  </w:pPr>
                  <w:r>
                    <w:t>pH、SS、COD、BOD</w:t>
                  </w:r>
                  <w:r>
                    <w:rPr>
                      <w:vertAlign w:val="subscript"/>
                    </w:rPr>
                    <w:t>5</w:t>
                  </w:r>
                  <w:r>
                    <w:t>、氨氮、总磷、总氮、石油类、粪大肠菌群</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77" w:hRule="atLeast"/>
              </w:trPr>
              <w:tc>
                <w:tcPr>
                  <w:tcW w:w="873" w:type="pct"/>
                  <w:tcBorders>
                    <w:top w:val="single" w:color="auto" w:sz="6" w:space="0"/>
                    <w:left w:val="single" w:color="auto" w:sz="4" w:space="0"/>
                    <w:bottom w:val="single" w:color="auto" w:sz="6" w:space="0"/>
                    <w:right w:val="single" w:color="auto" w:sz="6" w:space="0"/>
                  </w:tcBorders>
                  <w:vAlign w:val="center"/>
                </w:tcPr>
                <w:p>
                  <w:pPr>
                    <w:autoSpaceDE w:val="0"/>
                    <w:autoSpaceDN w:val="0"/>
                    <w:jc w:val="center"/>
                  </w:pPr>
                  <w:r>
                    <w:t>W2</w:t>
                  </w:r>
                </w:p>
              </w:tc>
              <w:tc>
                <w:tcPr>
                  <w:tcW w:w="2572" w:type="pct"/>
                  <w:tcBorders>
                    <w:top w:val="single" w:color="auto" w:sz="6" w:space="0"/>
                    <w:left w:val="single" w:color="auto" w:sz="6" w:space="0"/>
                    <w:bottom w:val="single" w:color="auto" w:sz="6" w:space="0"/>
                    <w:right w:val="single" w:color="auto" w:sz="6" w:space="0"/>
                  </w:tcBorders>
                  <w:vAlign w:val="center"/>
                </w:tcPr>
                <w:p>
                  <w:pPr>
                    <w:jc w:val="center"/>
                  </w:pPr>
                  <w:r>
                    <w:t>运粮河与外环南路交汇处下游1000m</w:t>
                  </w:r>
                </w:p>
              </w:tc>
              <w:tc>
                <w:tcPr>
                  <w:tcW w:w="1554" w:type="pct"/>
                  <w:vMerge w:val="continue"/>
                  <w:tcBorders>
                    <w:top w:val="single" w:color="auto" w:sz="6" w:space="0"/>
                    <w:left w:val="single" w:color="auto" w:sz="6" w:space="0"/>
                    <w:bottom w:val="single" w:color="auto" w:sz="6" w:space="0"/>
                    <w:right w:val="single" w:color="auto" w:sz="4" w:space="0"/>
                  </w:tcBorders>
                  <w:vAlign w:val="center"/>
                </w:tcPr>
                <w:p>
                  <w:pPr>
                    <w:autoSpaceDE w:val="0"/>
                    <w:autoSpaceDN w:val="0"/>
                    <w:jc w:val="cente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77" w:hRule="atLeast"/>
              </w:trPr>
              <w:tc>
                <w:tcPr>
                  <w:tcW w:w="873" w:type="pct"/>
                  <w:tcBorders>
                    <w:top w:val="single" w:color="auto" w:sz="6" w:space="0"/>
                    <w:left w:val="single" w:color="auto" w:sz="4" w:space="0"/>
                    <w:bottom w:val="single" w:color="auto" w:sz="6" w:space="0"/>
                    <w:right w:val="single" w:color="auto" w:sz="6" w:space="0"/>
                  </w:tcBorders>
                  <w:vAlign w:val="center"/>
                </w:tcPr>
                <w:p>
                  <w:pPr>
                    <w:autoSpaceDE w:val="0"/>
                    <w:autoSpaceDN w:val="0"/>
                    <w:jc w:val="center"/>
                  </w:pPr>
                  <w:r>
                    <w:t>W3</w:t>
                  </w:r>
                </w:p>
              </w:tc>
              <w:tc>
                <w:tcPr>
                  <w:tcW w:w="2572" w:type="pct"/>
                  <w:tcBorders>
                    <w:top w:val="single" w:color="auto" w:sz="6" w:space="0"/>
                    <w:left w:val="single" w:color="auto" w:sz="6" w:space="0"/>
                    <w:bottom w:val="single" w:color="auto" w:sz="6" w:space="0"/>
                    <w:right w:val="single" w:color="auto" w:sz="6" w:space="0"/>
                  </w:tcBorders>
                  <w:vAlign w:val="center"/>
                </w:tcPr>
                <w:p>
                  <w:pPr>
                    <w:autoSpaceDE w:val="0"/>
                    <w:autoSpaceDN w:val="0"/>
                    <w:jc w:val="center"/>
                  </w:pPr>
                  <w:r>
                    <w:t>经开区污水处理厂入河排污口上游500m</w:t>
                  </w:r>
                </w:p>
              </w:tc>
              <w:tc>
                <w:tcPr>
                  <w:tcW w:w="1554" w:type="pct"/>
                  <w:vMerge w:val="continue"/>
                  <w:tcBorders>
                    <w:top w:val="single" w:color="auto" w:sz="6" w:space="0"/>
                    <w:left w:val="single" w:color="auto" w:sz="6" w:space="0"/>
                    <w:bottom w:val="single" w:color="auto" w:sz="6" w:space="0"/>
                    <w:right w:val="single" w:color="auto" w:sz="4" w:space="0"/>
                  </w:tcBorders>
                  <w:vAlign w:val="center"/>
                </w:tcPr>
                <w:p>
                  <w:pPr>
                    <w:autoSpaceDE w:val="0"/>
                    <w:autoSpaceDN w:val="0"/>
                    <w:jc w:val="cente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32" w:hRule="atLeast"/>
              </w:trPr>
              <w:tc>
                <w:tcPr>
                  <w:tcW w:w="873" w:type="pct"/>
                  <w:tcBorders>
                    <w:top w:val="single" w:color="auto" w:sz="6" w:space="0"/>
                    <w:left w:val="single" w:color="auto" w:sz="4" w:space="0"/>
                    <w:bottom w:val="single" w:color="auto" w:sz="6" w:space="0"/>
                    <w:right w:val="single" w:color="auto" w:sz="6" w:space="0"/>
                  </w:tcBorders>
                  <w:vAlign w:val="center"/>
                </w:tcPr>
                <w:p>
                  <w:pPr>
                    <w:autoSpaceDE w:val="0"/>
                    <w:autoSpaceDN w:val="0"/>
                    <w:jc w:val="center"/>
                  </w:pPr>
                  <w:r>
                    <w:t>W4</w:t>
                  </w:r>
                </w:p>
              </w:tc>
              <w:tc>
                <w:tcPr>
                  <w:tcW w:w="2572" w:type="pct"/>
                  <w:tcBorders>
                    <w:top w:val="single" w:color="auto" w:sz="6" w:space="0"/>
                    <w:left w:val="single" w:color="auto" w:sz="6" w:space="0"/>
                    <w:bottom w:val="single" w:color="auto" w:sz="6" w:space="0"/>
                    <w:right w:val="single" w:color="auto" w:sz="6" w:space="0"/>
                  </w:tcBorders>
                  <w:vAlign w:val="center"/>
                </w:tcPr>
                <w:p>
                  <w:pPr>
                    <w:autoSpaceDE w:val="0"/>
                    <w:autoSpaceDN w:val="0"/>
                    <w:jc w:val="center"/>
                  </w:pPr>
                  <w:r>
                    <w:t>经开区污水处理厂入河排污口下游500m</w:t>
                  </w:r>
                </w:p>
              </w:tc>
              <w:tc>
                <w:tcPr>
                  <w:tcW w:w="1554" w:type="pct"/>
                  <w:vMerge w:val="continue"/>
                  <w:tcBorders>
                    <w:top w:val="single" w:color="auto" w:sz="6" w:space="0"/>
                    <w:left w:val="single" w:color="auto" w:sz="6" w:space="0"/>
                    <w:bottom w:val="single" w:color="auto" w:sz="6" w:space="0"/>
                    <w:right w:val="single" w:color="auto" w:sz="4" w:space="0"/>
                  </w:tcBorders>
                  <w:vAlign w:val="center"/>
                </w:tcPr>
                <w:p>
                  <w:pPr>
                    <w:autoSpaceDE w:val="0"/>
                    <w:autoSpaceDN w:val="0"/>
                    <w:jc w:val="cente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62" w:hRule="atLeast"/>
              </w:trPr>
              <w:tc>
                <w:tcPr>
                  <w:tcW w:w="873" w:type="pct"/>
                  <w:tcBorders>
                    <w:top w:val="single" w:color="auto" w:sz="6" w:space="0"/>
                    <w:left w:val="single" w:color="auto" w:sz="4" w:space="0"/>
                    <w:bottom w:val="single" w:color="auto" w:sz="4" w:space="0"/>
                    <w:right w:val="single" w:color="auto" w:sz="6" w:space="0"/>
                  </w:tcBorders>
                  <w:vAlign w:val="center"/>
                </w:tcPr>
                <w:p>
                  <w:pPr>
                    <w:autoSpaceDE w:val="0"/>
                    <w:autoSpaceDN w:val="0"/>
                    <w:jc w:val="center"/>
                  </w:pPr>
                  <w:r>
                    <w:t>W5</w:t>
                  </w:r>
                </w:p>
              </w:tc>
              <w:tc>
                <w:tcPr>
                  <w:tcW w:w="2572" w:type="pct"/>
                  <w:tcBorders>
                    <w:top w:val="single" w:color="auto" w:sz="6" w:space="0"/>
                    <w:left w:val="single" w:color="auto" w:sz="6" w:space="0"/>
                    <w:bottom w:val="single" w:color="auto" w:sz="4" w:space="0"/>
                    <w:right w:val="single" w:color="auto" w:sz="6" w:space="0"/>
                  </w:tcBorders>
                  <w:vAlign w:val="center"/>
                </w:tcPr>
                <w:p>
                  <w:pPr>
                    <w:autoSpaceDE w:val="0"/>
                    <w:autoSpaceDN w:val="0"/>
                    <w:jc w:val="center"/>
                  </w:pPr>
                  <w:r>
                    <w:t>经开区污水处理厂入河排污口下游1000m</w:t>
                  </w:r>
                </w:p>
              </w:tc>
              <w:tc>
                <w:tcPr>
                  <w:tcW w:w="1554" w:type="pct"/>
                  <w:vMerge w:val="continue"/>
                  <w:tcBorders>
                    <w:top w:val="single" w:color="auto" w:sz="6" w:space="0"/>
                    <w:left w:val="single" w:color="auto" w:sz="6" w:space="0"/>
                    <w:bottom w:val="single" w:color="auto" w:sz="4" w:space="0"/>
                    <w:right w:val="single" w:color="auto" w:sz="4" w:space="0"/>
                  </w:tcBorders>
                  <w:vAlign w:val="center"/>
                </w:tcPr>
                <w:p>
                  <w:pPr>
                    <w:autoSpaceDE w:val="0"/>
                    <w:autoSpaceDN w:val="0"/>
                    <w:jc w:val="center"/>
                  </w:pPr>
                </w:p>
              </w:tc>
            </w:tr>
          </w:tbl>
          <w:p>
            <w:pPr>
              <w:spacing w:line="460" w:lineRule="exact"/>
              <w:ind w:firstLine="480"/>
              <w:rPr>
                <w:sz w:val="24"/>
                <w:szCs w:val="24"/>
              </w:rPr>
            </w:pPr>
            <w:r>
              <w:rPr>
                <w:sz w:val="24"/>
                <w:szCs w:val="24"/>
              </w:rPr>
              <w:t>②监测结果</w:t>
            </w:r>
          </w:p>
          <w:p>
            <w:pPr>
              <w:tabs>
                <w:tab w:val="left" w:pos="420"/>
              </w:tabs>
              <w:spacing w:line="360" w:lineRule="auto"/>
              <w:jc w:val="center"/>
              <w:rPr>
                <w:b/>
                <w:bCs/>
                <w:sz w:val="24"/>
                <w:szCs w:val="24"/>
              </w:rPr>
            </w:pPr>
            <w:r>
              <w:rPr>
                <w:b/>
                <w:bCs/>
                <w:sz w:val="24"/>
                <w:szCs w:val="24"/>
              </w:rPr>
              <w:t>表3-6  地表水环境质量监测结果  单位：mg/L</w:t>
            </w:r>
          </w:p>
          <w:tbl>
            <w:tblPr>
              <w:tblStyle w:val="23"/>
              <w:tblW w:w="4996" w:type="pct"/>
              <w:tblInd w:w="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61"/>
              <w:gridCol w:w="766"/>
              <w:gridCol w:w="752"/>
              <w:gridCol w:w="761"/>
              <w:gridCol w:w="817"/>
              <w:gridCol w:w="770"/>
              <w:gridCol w:w="770"/>
              <w:gridCol w:w="745"/>
              <w:gridCol w:w="799"/>
              <w:gridCol w:w="10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47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snapToGrid w:val="0"/>
                      <w:kern w:val="0"/>
                    </w:rPr>
                  </w:pPr>
                  <w:r>
                    <w:rPr>
                      <w:snapToGrid w:val="0"/>
                      <w:kern w:val="0"/>
                    </w:rPr>
                    <w:t>监测</w:t>
                  </w:r>
                </w:p>
                <w:p>
                  <w:pPr>
                    <w:widowControl/>
                    <w:jc w:val="center"/>
                    <w:textAlignment w:val="center"/>
                  </w:pPr>
                  <w:r>
                    <w:rPr>
                      <w:snapToGrid w:val="0"/>
                      <w:kern w:val="0"/>
                    </w:rPr>
                    <w:t>断</w:t>
                  </w:r>
                  <w:r>
                    <w:rPr>
                      <w:rStyle w:val="75"/>
                      <w:rFonts w:ascii="Times New Roman" w:hAnsi="Times New Roman" w:eastAsia="宋体" w:cs="Times New Roman"/>
                      <w:snapToGrid w:val="0"/>
                      <w:color w:val="auto"/>
                      <w:sz w:val="21"/>
                      <w:szCs w:val="21"/>
                    </w:rPr>
                    <w:t>面</w:t>
                  </w:r>
                </w:p>
              </w:tc>
              <w:tc>
                <w:tcPr>
                  <w:tcW w:w="48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snapToGrid w:val="0"/>
                      <w:kern w:val="0"/>
                    </w:rPr>
                  </w:pPr>
                  <w:r>
                    <w:rPr>
                      <w:snapToGrid w:val="0"/>
                      <w:kern w:val="0"/>
                    </w:rPr>
                    <w:t>监测</w:t>
                  </w:r>
                </w:p>
                <w:p>
                  <w:pPr>
                    <w:widowControl/>
                    <w:jc w:val="center"/>
                    <w:textAlignment w:val="center"/>
                  </w:pPr>
                  <w:r>
                    <w:rPr>
                      <w:snapToGrid w:val="0"/>
                      <w:kern w:val="0"/>
                    </w:rPr>
                    <w:t>时间</w:t>
                  </w:r>
                </w:p>
              </w:tc>
              <w:tc>
                <w:tcPr>
                  <w:tcW w:w="47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snapToGrid w:val="0"/>
                      <w:kern w:val="0"/>
                    </w:rPr>
                    <w:t>pH(无量纲)</w:t>
                  </w:r>
                </w:p>
              </w:tc>
              <w:tc>
                <w:tcPr>
                  <w:tcW w:w="47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snapToGrid w:val="0"/>
                      <w:kern w:val="0"/>
                    </w:rPr>
                    <w:t>COD</w:t>
                  </w:r>
                </w:p>
              </w:tc>
              <w:tc>
                <w:tcPr>
                  <w:tcW w:w="5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snapToGrid w:val="0"/>
                      <w:kern w:val="0"/>
                    </w:rPr>
                    <w:t>BOD</w:t>
                  </w:r>
                  <w:r>
                    <w:rPr>
                      <w:snapToGrid w:val="0"/>
                      <w:kern w:val="0"/>
                      <w:vertAlign w:val="subscript"/>
                    </w:rPr>
                    <w:t>5</w:t>
                  </w:r>
                </w:p>
              </w:tc>
              <w:tc>
                <w:tcPr>
                  <w:tcW w:w="48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snapToGrid w:val="0"/>
                      <w:kern w:val="0"/>
                    </w:rPr>
                    <w:t>氨氮</w:t>
                  </w:r>
                </w:p>
              </w:tc>
              <w:tc>
                <w:tcPr>
                  <w:tcW w:w="48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snapToGrid w:val="0"/>
                      <w:kern w:val="0"/>
                    </w:rPr>
                    <w:t>总磷</w:t>
                  </w:r>
                </w:p>
              </w:tc>
              <w:tc>
                <w:tcPr>
                  <w:tcW w:w="46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snapToGrid w:val="0"/>
                      <w:kern w:val="0"/>
                    </w:rPr>
                    <w:t>总氮</w:t>
                  </w:r>
                </w:p>
              </w:tc>
              <w:tc>
                <w:tcPr>
                  <w:tcW w:w="50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snapToGrid w:val="0"/>
                      <w:kern w:val="0"/>
                    </w:rPr>
                    <w:t>石油类</w:t>
                  </w:r>
                </w:p>
              </w:tc>
              <w:tc>
                <w:tcPr>
                  <w:tcW w:w="63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snapToGrid w:val="0"/>
                      <w:kern w:val="0"/>
                    </w:rPr>
                    <w:t>粪大肠</w:t>
                  </w:r>
                  <w:r>
                    <w:rPr>
                      <w:rStyle w:val="75"/>
                      <w:rFonts w:ascii="Times New Roman" w:hAnsi="Times New Roman" w:eastAsia="宋体" w:cs="Times New Roman"/>
                      <w:snapToGrid w:val="0"/>
                      <w:color w:val="auto"/>
                      <w:sz w:val="21"/>
                      <w:szCs w:val="21"/>
                    </w:rPr>
                    <w:t>菌群(个</w:t>
                  </w:r>
                  <w:r>
                    <w:rPr>
                      <w:rStyle w:val="76"/>
                      <w:snapToGrid w:val="0"/>
                      <w:color w:val="auto"/>
                    </w:rPr>
                    <w:t>/L</w:t>
                  </w:r>
                  <w:r>
                    <w:rPr>
                      <w:rStyle w:val="75"/>
                      <w:rFonts w:ascii="Times New Roman" w:hAnsi="Times New Roman" w:eastAsia="宋体" w:cs="Times New Roman"/>
                      <w:snapToGrid w:val="0"/>
                      <w:color w:val="auto"/>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478"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snapToGrid w:val="0"/>
                      <w:kern w:val="0"/>
                    </w:rPr>
                    <w:t>W1</w:t>
                  </w:r>
                </w:p>
              </w:tc>
              <w:tc>
                <w:tcPr>
                  <w:tcW w:w="48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snapToGrid w:val="0"/>
                      <w:kern w:val="0"/>
                    </w:rPr>
                    <w:t>11.02</w:t>
                  </w:r>
                </w:p>
              </w:tc>
              <w:tc>
                <w:tcPr>
                  <w:tcW w:w="47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snapToGrid w:val="0"/>
                      <w:kern w:val="0"/>
                    </w:rPr>
                    <w:t>7.46</w:t>
                  </w:r>
                </w:p>
              </w:tc>
              <w:tc>
                <w:tcPr>
                  <w:tcW w:w="47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snapToGrid w:val="0"/>
                      <w:kern w:val="0"/>
                    </w:rPr>
                    <w:t>20.6</w:t>
                  </w:r>
                </w:p>
              </w:tc>
              <w:tc>
                <w:tcPr>
                  <w:tcW w:w="5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snapToGrid w:val="0"/>
                      <w:kern w:val="0"/>
                    </w:rPr>
                    <w:t>6.7</w:t>
                  </w:r>
                </w:p>
              </w:tc>
              <w:tc>
                <w:tcPr>
                  <w:tcW w:w="48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snapToGrid w:val="0"/>
                      <w:kern w:val="0"/>
                    </w:rPr>
                    <w:t>0.629</w:t>
                  </w:r>
                </w:p>
              </w:tc>
              <w:tc>
                <w:tcPr>
                  <w:tcW w:w="48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snapToGrid w:val="0"/>
                      <w:kern w:val="0"/>
                    </w:rPr>
                    <w:t>0.17</w:t>
                  </w:r>
                </w:p>
              </w:tc>
              <w:tc>
                <w:tcPr>
                  <w:tcW w:w="46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snapToGrid w:val="0"/>
                      <w:kern w:val="0"/>
                    </w:rPr>
                    <w:t>1.84</w:t>
                  </w:r>
                </w:p>
              </w:tc>
              <w:tc>
                <w:tcPr>
                  <w:tcW w:w="50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snapToGrid w:val="0"/>
                      <w:kern w:val="0"/>
                    </w:rPr>
                    <w:t>0.05</w:t>
                  </w:r>
                </w:p>
              </w:tc>
              <w:tc>
                <w:tcPr>
                  <w:tcW w:w="63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snapToGrid w:val="0"/>
                      <w:kern w:val="0"/>
                    </w:rPr>
                    <w:t>150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478" w:type="pct"/>
                  <w:vMerge w:val="continue"/>
                  <w:tcBorders>
                    <w:top w:val="single" w:color="000000" w:sz="4" w:space="0"/>
                    <w:left w:val="single" w:color="000000" w:sz="4" w:space="0"/>
                    <w:bottom w:val="single" w:color="000000" w:sz="4" w:space="0"/>
                    <w:right w:val="single" w:color="000000" w:sz="4" w:space="0"/>
                  </w:tcBorders>
                  <w:vAlign w:val="center"/>
                </w:tcPr>
                <w:p>
                  <w:pPr>
                    <w:jc w:val="center"/>
                  </w:pPr>
                </w:p>
              </w:tc>
              <w:tc>
                <w:tcPr>
                  <w:tcW w:w="48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snapToGrid w:val="0"/>
                      <w:kern w:val="0"/>
                    </w:rPr>
                    <w:t>11.03</w:t>
                  </w:r>
                </w:p>
              </w:tc>
              <w:tc>
                <w:tcPr>
                  <w:tcW w:w="47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snapToGrid w:val="0"/>
                      <w:kern w:val="0"/>
                    </w:rPr>
                    <w:t>7.44</w:t>
                  </w:r>
                </w:p>
              </w:tc>
              <w:tc>
                <w:tcPr>
                  <w:tcW w:w="47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snapToGrid w:val="0"/>
                      <w:kern w:val="0"/>
                    </w:rPr>
                    <w:t>20.6</w:t>
                  </w:r>
                </w:p>
              </w:tc>
              <w:tc>
                <w:tcPr>
                  <w:tcW w:w="5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snapToGrid w:val="0"/>
                      <w:kern w:val="0"/>
                    </w:rPr>
                    <w:t>6.2</w:t>
                  </w:r>
                </w:p>
              </w:tc>
              <w:tc>
                <w:tcPr>
                  <w:tcW w:w="48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snapToGrid w:val="0"/>
                      <w:kern w:val="0"/>
                    </w:rPr>
                    <w:t>0.571</w:t>
                  </w:r>
                </w:p>
              </w:tc>
              <w:tc>
                <w:tcPr>
                  <w:tcW w:w="48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snapToGrid w:val="0"/>
                      <w:kern w:val="0"/>
                    </w:rPr>
                    <w:t>0.167</w:t>
                  </w:r>
                </w:p>
              </w:tc>
              <w:tc>
                <w:tcPr>
                  <w:tcW w:w="46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snapToGrid w:val="0"/>
                      <w:kern w:val="0"/>
                    </w:rPr>
                    <w:t>1.85</w:t>
                  </w:r>
                </w:p>
              </w:tc>
              <w:tc>
                <w:tcPr>
                  <w:tcW w:w="50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snapToGrid w:val="0"/>
                      <w:kern w:val="0"/>
                    </w:rPr>
                    <w:t>0.05</w:t>
                  </w:r>
                </w:p>
              </w:tc>
              <w:tc>
                <w:tcPr>
                  <w:tcW w:w="63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snapToGrid w:val="0"/>
                      <w:kern w:val="0"/>
                    </w:rPr>
                    <w:t>150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478" w:type="pct"/>
                  <w:vMerge w:val="continue"/>
                  <w:tcBorders>
                    <w:top w:val="single" w:color="000000" w:sz="4" w:space="0"/>
                    <w:left w:val="single" w:color="000000" w:sz="4" w:space="0"/>
                    <w:bottom w:val="single" w:color="000000" w:sz="4" w:space="0"/>
                    <w:right w:val="single" w:color="000000" w:sz="4" w:space="0"/>
                  </w:tcBorders>
                  <w:vAlign w:val="center"/>
                </w:tcPr>
                <w:p>
                  <w:pPr>
                    <w:jc w:val="center"/>
                  </w:pPr>
                </w:p>
              </w:tc>
              <w:tc>
                <w:tcPr>
                  <w:tcW w:w="48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snapToGrid w:val="0"/>
                      <w:kern w:val="0"/>
                    </w:rPr>
                    <w:t>11.04</w:t>
                  </w:r>
                </w:p>
              </w:tc>
              <w:tc>
                <w:tcPr>
                  <w:tcW w:w="47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snapToGrid w:val="0"/>
                      <w:kern w:val="0"/>
                    </w:rPr>
                    <w:t>7.42</w:t>
                  </w:r>
                </w:p>
              </w:tc>
              <w:tc>
                <w:tcPr>
                  <w:tcW w:w="47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snapToGrid w:val="0"/>
                      <w:kern w:val="0"/>
                    </w:rPr>
                    <w:t>20.6</w:t>
                  </w:r>
                </w:p>
              </w:tc>
              <w:tc>
                <w:tcPr>
                  <w:tcW w:w="5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snapToGrid w:val="0"/>
                      <w:kern w:val="0"/>
                    </w:rPr>
                    <w:t>6.3</w:t>
                  </w:r>
                </w:p>
              </w:tc>
              <w:tc>
                <w:tcPr>
                  <w:tcW w:w="48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snapToGrid w:val="0"/>
                      <w:kern w:val="0"/>
                    </w:rPr>
                    <w:t>0.643</w:t>
                  </w:r>
                </w:p>
              </w:tc>
              <w:tc>
                <w:tcPr>
                  <w:tcW w:w="48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snapToGrid w:val="0"/>
                      <w:kern w:val="0"/>
                    </w:rPr>
                    <w:t>0.165</w:t>
                  </w:r>
                </w:p>
              </w:tc>
              <w:tc>
                <w:tcPr>
                  <w:tcW w:w="46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snapToGrid w:val="0"/>
                      <w:kern w:val="0"/>
                    </w:rPr>
                    <w:t>1.86</w:t>
                  </w:r>
                </w:p>
              </w:tc>
              <w:tc>
                <w:tcPr>
                  <w:tcW w:w="50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snapToGrid w:val="0"/>
                      <w:kern w:val="0"/>
                    </w:rPr>
                    <w:t>0.05</w:t>
                  </w:r>
                </w:p>
              </w:tc>
              <w:tc>
                <w:tcPr>
                  <w:tcW w:w="63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snapToGrid w:val="0"/>
                      <w:kern w:val="0"/>
                    </w:rPr>
                    <w:t>150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478"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snapToGrid w:val="0"/>
                      <w:kern w:val="0"/>
                    </w:rPr>
                    <w:t>W2</w:t>
                  </w:r>
                </w:p>
              </w:tc>
              <w:tc>
                <w:tcPr>
                  <w:tcW w:w="48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snapToGrid w:val="0"/>
                      <w:kern w:val="0"/>
                    </w:rPr>
                    <w:t>11.02</w:t>
                  </w:r>
                </w:p>
              </w:tc>
              <w:tc>
                <w:tcPr>
                  <w:tcW w:w="47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snapToGrid w:val="0"/>
                      <w:kern w:val="0"/>
                    </w:rPr>
                    <w:t>7.5</w:t>
                  </w:r>
                </w:p>
              </w:tc>
              <w:tc>
                <w:tcPr>
                  <w:tcW w:w="47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snapToGrid w:val="0"/>
                      <w:kern w:val="0"/>
                    </w:rPr>
                    <w:t>18.6</w:t>
                  </w:r>
                </w:p>
              </w:tc>
              <w:tc>
                <w:tcPr>
                  <w:tcW w:w="5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snapToGrid w:val="0"/>
                      <w:kern w:val="0"/>
                    </w:rPr>
                    <w:t>5.1</w:t>
                  </w:r>
                </w:p>
              </w:tc>
              <w:tc>
                <w:tcPr>
                  <w:tcW w:w="48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snapToGrid w:val="0"/>
                      <w:kern w:val="0"/>
                    </w:rPr>
                    <w:t>0.583</w:t>
                  </w:r>
                </w:p>
              </w:tc>
              <w:tc>
                <w:tcPr>
                  <w:tcW w:w="48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snapToGrid w:val="0"/>
                      <w:kern w:val="0"/>
                    </w:rPr>
                    <w:t>0.172</w:t>
                  </w:r>
                </w:p>
              </w:tc>
              <w:tc>
                <w:tcPr>
                  <w:tcW w:w="46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snapToGrid w:val="0"/>
                      <w:kern w:val="0"/>
                    </w:rPr>
                    <w:t>1.76</w:t>
                  </w:r>
                </w:p>
              </w:tc>
              <w:tc>
                <w:tcPr>
                  <w:tcW w:w="50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snapToGrid w:val="0"/>
                      <w:kern w:val="0"/>
                    </w:rPr>
                    <w:t>0.01L</w:t>
                  </w:r>
                </w:p>
              </w:tc>
              <w:tc>
                <w:tcPr>
                  <w:tcW w:w="63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snapToGrid w:val="0"/>
                      <w:kern w:val="0"/>
                    </w:rPr>
                    <w:t>ND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478" w:type="pct"/>
                  <w:vMerge w:val="continue"/>
                  <w:tcBorders>
                    <w:top w:val="single" w:color="000000" w:sz="4" w:space="0"/>
                    <w:left w:val="single" w:color="000000" w:sz="4" w:space="0"/>
                    <w:bottom w:val="single" w:color="000000" w:sz="4" w:space="0"/>
                    <w:right w:val="single" w:color="000000" w:sz="4" w:space="0"/>
                  </w:tcBorders>
                  <w:vAlign w:val="center"/>
                </w:tcPr>
                <w:p>
                  <w:pPr>
                    <w:jc w:val="center"/>
                  </w:pPr>
                </w:p>
              </w:tc>
              <w:tc>
                <w:tcPr>
                  <w:tcW w:w="48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snapToGrid w:val="0"/>
                      <w:kern w:val="0"/>
                    </w:rPr>
                    <w:t>11.03</w:t>
                  </w:r>
                </w:p>
              </w:tc>
              <w:tc>
                <w:tcPr>
                  <w:tcW w:w="47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snapToGrid w:val="0"/>
                      <w:kern w:val="0"/>
                    </w:rPr>
                    <w:t>7.48</w:t>
                  </w:r>
                </w:p>
              </w:tc>
              <w:tc>
                <w:tcPr>
                  <w:tcW w:w="47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snapToGrid w:val="0"/>
                      <w:kern w:val="0"/>
                    </w:rPr>
                    <w:t>22.6</w:t>
                  </w:r>
                </w:p>
              </w:tc>
              <w:tc>
                <w:tcPr>
                  <w:tcW w:w="5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snapToGrid w:val="0"/>
                      <w:kern w:val="0"/>
                    </w:rPr>
                    <w:t>6.7</w:t>
                  </w:r>
                </w:p>
              </w:tc>
              <w:tc>
                <w:tcPr>
                  <w:tcW w:w="48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snapToGrid w:val="0"/>
                      <w:kern w:val="0"/>
                    </w:rPr>
                    <w:t>0.577</w:t>
                  </w:r>
                </w:p>
              </w:tc>
              <w:tc>
                <w:tcPr>
                  <w:tcW w:w="48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snapToGrid w:val="0"/>
                      <w:kern w:val="0"/>
                    </w:rPr>
                    <w:t>0.189</w:t>
                  </w:r>
                </w:p>
              </w:tc>
              <w:tc>
                <w:tcPr>
                  <w:tcW w:w="46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snapToGrid w:val="0"/>
                      <w:kern w:val="0"/>
                    </w:rPr>
                    <w:t>1.76</w:t>
                  </w:r>
                </w:p>
              </w:tc>
              <w:tc>
                <w:tcPr>
                  <w:tcW w:w="50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snapToGrid w:val="0"/>
                      <w:kern w:val="0"/>
                    </w:rPr>
                    <w:t>0.01L</w:t>
                  </w:r>
                </w:p>
              </w:tc>
              <w:tc>
                <w:tcPr>
                  <w:tcW w:w="63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snapToGrid w:val="0"/>
                      <w:kern w:val="0"/>
                    </w:rPr>
                    <w:t>ND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478" w:type="pct"/>
                  <w:vMerge w:val="continue"/>
                  <w:tcBorders>
                    <w:top w:val="single" w:color="000000" w:sz="4" w:space="0"/>
                    <w:left w:val="single" w:color="000000" w:sz="4" w:space="0"/>
                    <w:bottom w:val="single" w:color="000000" w:sz="4" w:space="0"/>
                    <w:right w:val="single" w:color="000000" w:sz="4" w:space="0"/>
                  </w:tcBorders>
                  <w:vAlign w:val="center"/>
                </w:tcPr>
                <w:p>
                  <w:pPr>
                    <w:jc w:val="center"/>
                  </w:pPr>
                </w:p>
              </w:tc>
              <w:tc>
                <w:tcPr>
                  <w:tcW w:w="48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snapToGrid w:val="0"/>
                      <w:kern w:val="0"/>
                    </w:rPr>
                    <w:t>11.04</w:t>
                  </w:r>
                </w:p>
              </w:tc>
              <w:tc>
                <w:tcPr>
                  <w:tcW w:w="47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snapToGrid w:val="0"/>
                      <w:kern w:val="0"/>
                    </w:rPr>
                    <w:t>7.56</w:t>
                  </w:r>
                </w:p>
              </w:tc>
              <w:tc>
                <w:tcPr>
                  <w:tcW w:w="47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snapToGrid w:val="0"/>
                      <w:kern w:val="0"/>
                    </w:rPr>
                    <w:t>26.6</w:t>
                  </w:r>
                </w:p>
              </w:tc>
              <w:tc>
                <w:tcPr>
                  <w:tcW w:w="5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snapToGrid w:val="0"/>
                      <w:kern w:val="0"/>
                    </w:rPr>
                    <w:t>7.1</w:t>
                  </w:r>
                </w:p>
              </w:tc>
              <w:tc>
                <w:tcPr>
                  <w:tcW w:w="48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snapToGrid w:val="0"/>
                      <w:kern w:val="0"/>
                    </w:rPr>
                    <w:t>0.577</w:t>
                  </w:r>
                </w:p>
              </w:tc>
              <w:tc>
                <w:tcPr>
                  <w:tcW w:w="48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snapToGrid w:val="0"/>
                      <w:kern w:val="0"/>
                    </w:rPr>
                    <w:t>0.159</w:t>
                  </w:r>
                </w:p>
              </w:tc>
              <w:tc>
                <w:tcPr>
                  <w:tcW w:w="46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snapToGrid w:val="0"/>
                      <w:kern w:val="0"/>
                    </w:rPr>
                    <w:t>1.77</w:t>
                  </w:r>
                </w:p>
              </w:tc>
              <w:tc>
                <w:tcPr>
                  <w:tcW w:w="50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snapToGrid w:val="0"/>
                      <w:kern w:val="0"/>
                    </w:rPr>
                    <w:t>0.01L</w:t>
                  </w:r>
                </w:p>
              </w:tc>
              <w:tc>
                <w:tcPr>
                  <w:tcW w:w="63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snapToGrid w:val="0"/>
                      <w:kern w:val="0"/>
                    </w:rPr>
                    <w:t>ND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5" w:hRule="atLeast"/>
              </w:trPr>
              <w:tc>
                <w:tcPr>
                  <w:tcW w:w="478"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snapToGrid w:val="0"/>
                      <w:kern w:val="0"/>
                    </w:rPr>
                    <w:t>W3</w:t>
                  </w:r>
                </w:p>
              </w:tc>
              <w:tc>
                <w:tcPr>
                  <w:tcW w:w="48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snapToGrid w:val="0"/>
                      <w:kern w:val="0"/>
                    </w:rPr>
                    <w:t>11.02</w:t>
                  </w:r>
                </w:p>
              </w:tc>
              <w:tc>
                <w:tcPr>
                  <w:tcW w:w="47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snapToGrid w:val="0"/>
                      <w:kern w:val="0"/>
                    </w:rPr>
                    <w:t>7.5</w:t>
                  </w:r>
                </w:p>
              </w:tc>
              <w:tc>
                <w:tcPr>
                  <w:tcW w:w="47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snapToGrid w:val="0"/>
                      <w:kern w:val="0"/>
                    </w:rPr>
                    <w:t>28.6</w:t>
                  </w:r>
                </w:p>
              </w:tc>
              <w:tc>
                <w:tcPr>
                  <w:tcW w:w="5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snapToGrid w:val="0"/>
                      <w:kern w:val="0"/>
                    </w:rPr>
                    <w:t>8.9</w:t>
                  </w:r>
                </w:p>
              </w:tc>
              <w:tc>
                <w:tcPr>
                  <w:tcW w:w="48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snapToGrid w:val="0"/>
                      <w:kern w:val="0"/>
                    </w:rPr>
                    <w:t>0.743</w:t>
                  </w:r>
                </w:p>
              </w:tc>
              <w:tc>
                <w:tcPr>
                  <w:tcW w:w="48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snapToGrid w:val="0"/>
                      <w:kern w:val="0"/>
                    </w:rPr>
                    <w:t>0.213</w:t>
                  </w:r>
                </w:p>
              </w:tc>
              <w:tc>
                <w:tcPr>
                  <w:tcW w:w="46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snapToGrid w:val="0"/>
                      <w:kern w:val="0"/>
                    </w:rPr>
                    <w:t>1.81</w:t>
                  </w:r>
                </w:p>
              </w:tc>
              <w:tc>
                <w:tcPr>
                  <w:tcW w:w="50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snapToGrid w:val="0"/>
                      <w:kern w:val="0"/>
                    </w:rPr>
                    <w:t>0.01</w:t>
                  </w:r>
                </w:p>
              </w:tc>
              <w:tc>
                <w:tcPr>
                  <w:tcW w:w="63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snapToGrid w:val="0"/>
                      <w:kern w:val="0"/>
                    </w:rPr>
                    <w:t>ND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0" w:hRule="atLeast"/>
              </w:trPr>
              <w:tc>
                <w:tcPr>
                  <w:tcW w:w="478" w:type="pct"/>
                  <w:vMerge w:val="continue"/>
                  <w:tcBorders>
                    <w:top w:val="single" w:color="000000" w:sz="4" w:space="0"/>
                    <w:left w:val="single" w:color="000000" w:sz="4" w:space="0"/>
                    <w:bottom w:val="single" w:color="000000" w:sz="4" w:space="0"/>
                    <w:right w:val="single" w:color="000000" w:sz="4" w:space="0"/>
                  </w:tcBorders>
                  <w:vAlign w:val="center"/>
                </w:tcPr>
                <w:p>
                  <w:pPr>
                    <w:jc w:val="center"/>
                  </w:pPr>
                </w:p>
              </w:tc>
              <w:tc>
                <w:tcPr>
                  <w:tcW w:w="48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snapToGrid w:val="0"/>
                      <w:kern w:val="0"/>
                    </w:rPr>
                    <w:t>11.03</w:t>
                  </w:r>
                </w:p>
              </w:tc>
              <w:tc>
                <w:tcPr>
                  <w:tcW w:w="47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snapToGrid w:val="0"/>
                      <w:kern w:val="0"/>
                    </w:rPr>
                    <w:t>7.49</w:t>
                  </w:r>
                </w:p>
              </w:tc>
              <w:tc>
                <w:tcPr>
                  <w:tcW w:w="47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snapToGrid w:val="0"/>
                      <w:kern w:val="0"/>
                    </w:rPr>
                    <w:t>22.6</w:t>
                  </w:r>
                </w:p>
              </w:tc>
              <w:tc>
                <w:tcPr>
                  <w:tcW w:w="5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snapToGrid w:val="0"/>
                      <w:kern w:val="0"/>
                    </w:rPr>
                    <w:t>6.9</w:t>
                  </w:r>
                </w:p>
              </w:tc>
              <w:tc>
                <w:tcPr>
                  <w:tcW w:w="48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snapToGrid w:val="0"/>
                      <w:kern w:val="0"/>
                    </w:rPr>
                    <w:t>0.743</w:t>
                  </w:r>
                </w:p>
              </w:tc>
              <w:tc>
                <w:tcPr>
                  <w:tcW w:w="48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snapToGrid w:val="0"/>
                      <w:kern w:val="0"/>
                    </w:rPr>
                    <w:t>0.22</w:t>
                  </w:r>
                </w:p>
              </w:tc>
              <w:tc>
                <w:tcPr>
                  <w:tcW w:w="46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snapToGrid w:val="0"/>
                      <w:kern w:val="0"/>
                    </w:rPr>
                    <w:t>1.82</w:t>
                  </w:r>
                </w:p>
              </w:tc>
              <w:tc>
                <w:tcPr>
                  <w:tcW w:w="50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snapToGrid w:val="0"/>
                      <w:kern w:val="0"/>
                    </w:rPr>
                    <w:t>0.01</w:t>
                  </w:r>
                </w:p>
              </w:tc>
              <w:tc>
                <w:tcPr>
                  <w:tcW w:w="63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snapToGrid w:val="0"/>
                      <w:kern w:val="0"/>
                    </w:rPr>
                    <w:t>ND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0" w:hRule="atLeast"/>
              </w:trPr>
              <w:tc>
                <w:tcPr>
                  <w:tcW w:w="478" w:type="pct"/>
                  <w:vMerge w:val="continue"/>
                  <w:tcBorders>
                    <w:top w:val="single" w:color="000000" w:sz="4" w:space="0"/>
                    <w:left w:val="single" w:color="000000" w:sz="4" w:space="0"/>
                    <w:bottom w:val="single" w:color="000000" w:sz="4" w:space="0"/>
                    <w:right w:val="single" w:color="000000" w:sz="4" w:space="0"/>
                  </w:tcBorders>
                  <w:vAlign w:val="center"/>
                </w:tcPr>
                <w:p>
                  <w:pPr>
                    <w:jc w:val="center"/>
                  </w:pPr>
                </w:p>
              </w:tc>
              <w:tc>
                <w:tcPr>
                  <w:tcW w:w="48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snapToGrid w:val="0"/>
                      <w:kern w:val="0"/>
                    </w:rPr>
                    <w:t>11.04</w:t>
                  </w:r>
                </w:p>
              </w:tc>
              <w:tc>
                <w:tcPr>
                  <w:tcW w:w="47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snapToGrid w:val="0"/>
                      <w:kern w:val="0"/>
                    </w:rPr>
                    <w:t>7.56</w:t>
                  </w:r>
                </w:p>
              </w:tc>
              <w:tc>
                <w:tcPr>
                  <w:tcW w:w="47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snapToGrid w:val="0"/>
                      <w:kern w:val="0"/>
                    </w:rPr>
                    <w:t>24.6</w:t>
                  </w:r>
                </w:p>
              </w:tc>
              <w:tc>
                <w:tcPr>
                  <w:tcW w:w="5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snapToGrid w:val="0"/>
                      <w:kern w:val="0"/>
                    </w:rPr>
                    <w:t>7.7</w:t>
                  </w:r>
                </w:p>
              </w:tc>
              <w:tc>
                <w:tcPr>
                  <w:tcW w:w="48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snapToGrid w:val="0"/>
                      <w:kern w:val="0"/>
                    </w:rPr>
                    <w:t>0.743</w:t>
                  </w:r>
                </w:p>
              </w:tc>
              <w:tc>
                <w:tcPr>
                  <w:tcW w:w="48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snapToGrid w:val="0"/>
                      <w:kern w:val="0"/>
                    </w:rPr>
                    <w:t>0.193</w:t>
                  </w:r>
                </w:p>
              </w:tc>
              <w:tc>
                <w:tcPr>
                  <w:tcW w:w="46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snapToGrid w:val="0"/>
                      <w:kern w:val="0"/>
                    </w:rPr>
                    <w:t>1.83</w:t>
                  </w:r>
                </w:p>
              </w:tc>
              <w:tc>
                <w:tcPr>
                  <w:tcW w:w="50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snapToGrid w:val="0"/>
                      <w:kern w:val="0"/>
                    </w:rPr>
                    <w:t>0.02</w:t>
                  </w:r>
                </w:p>
              </w:tc>
              <w:tc>
                <w:tcPr>
                  <w:tcW w:w="63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snapToGrid w:val="0"/>
                      <w:kern w:val="0"/>
                    </w:rPr>
                    <w:t>ND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0" w:hRule="atLeast"/>
              </w:trPr>
              <w:tc>
                <w:tcPr>
                  <w:tcW w:w="478"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snapToGrid w:val="0"/>
                      <w:kern w:val="0"/>
                    </w:rPr>
                    <w:t>W4</w:t>
                  </w:r>
                </w:p>
              </w:tc>
              <w:tc>
                <w:tcPr>
                  <w:tcW w:w="48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snapToGrid w:val="0"/>
                      <w:kern w:val="0"/>
                    </w:rPr>
                    <w:t>11.02</w:t>
                  </w:r>
                </w:p>
              </w:tc>
              <w:tc>
                <w:tcPr>
                  <w:tcW w:w="47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snapToGrid w:val="0"/>
                      <w:kern w:val="0"/>
                    </w:rPr>
                    <w:t>7.51</w:t>
                  </w:r>
                </w:p>
              </w:tc>
              <w:tc>
                <w:tcPr>
                  <w:tcW w:w="47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snapToGrid w:val="0"/>
                      <w:kern w:val="0"/>
                    </w:rPr>
                    <w:t>26.6</w:t>
                  </w:r>
                </w:p>
              </w:tc>
              <w:tc>
                <w:tcPr>
                  <w:tcW w:w="5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snapToGrid w:val="0"/>
                      <w:kern w:val="0"/>
                    </w:rPr>
                    <w:t>9.3</w:t>
                  </w:r>
                </w:p>
              </w:tc>
              <w:tc>
                <w:tcPr>
                  <w:tcW w:w="48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snapToGrid w:val="0"/>
                      <w:kern w:val="0"/>
                    </w:rPr>
                    <w:t>0.714</w:t>
                  </w:r>
                </w:p>
              </w:tc>
              <w:tc>
                <w:tcPr>
                  <w:tcW w:w="48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snapToGrid w:val="0"/>
                      <w:kern w:val="0"/>
                    </w:rPr>
                    <w:t>0.165</w:t>
                  </w:r>
                </w:p>
              </w:tc>
              <w:tc>
                <w:tcPr>
                  <w:tcW w:w="46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snapToGrid w:val="0"/>
                      <w:kern w:val="0"/>
                    </w:rPr>
                    <w:t>1.83</w:t>
                  </w:r>
                </w:p>
              </w:tc>
              <w:tc>
                <w:tcPr>
                  <w:tcW w:w="50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snapToGrid w:val="0"/>
                      <w:kern w:val="0"/>
                    </w:rPr>
                    <w:t>0.1</w:t>
                  </w:r>
                </w:p>
              </w:tc>
              <w:tc>
                <w:tcPr>
                  <w:tcW w:w="63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snapToGrid w:val="0"/>
                      <w:kern w:val="0"/>
                    </w:rPr>
                    <w:t>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5" w:hRule="atLeast"/>
              </w:trPr>
              <w:tc>
                <w:tcPr>
                  <w:tcW w:w="478" w:type="pct"/>
                  <w:vMerge w:val="continue"/>
                  <w:tcBorders>
                    <w:top w:val="single" w:color="000000" w:sz="4" w:space="0"/>
                    <w:left w:val="single" w:color="000000" w:sz="4" w:space="0"/>
                    <w:bottom w:val="single" w:color="000000" w:sz="4" w:space="0"/>
                    <w:right w:val="single" w:color="000000" w:sz="4" w:space="0"/>
                  </w:tcBorders>
                  <w:vAlign w:val="center"/>
                </w:tcPr>
                <w:p>
                  <w:pPr>
                    <w:jc w:val="center"/>
                  </w:pPr>
                </w:p>
              </w:tc>
              <w:tc>
                <w:tcPr>
                  <w:tcW w:w="48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snapToGrid w:val="0"/>
                      <w:kern w:val="0"/>
                    </w:rPr>
                    <w:t>11.03</w:t>
                  </w:r>
                </w:p>
              </w:tc>
              <w:tc>
                <w:tcPr>
                  <w:tcW w:w="47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snapToGrid w:val="0"/>
                      <w:kern w:val="0"/>
                    </w:rPr>
                    <w:t>7.5</w:t>
                  </w:r>
                </w:p>
              </w:tc>
              <w:tc>
                <w:tcPr>
                  <w:tcW w:w="47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snapToGrid w:val="0"/>
                      <w:kern w:val="0"/>
                    </w:rPr>
                    <w:t>24.6</w:t>
                  </w:r>
                </w:p>
              </w:tc>
              <w:tc>
                <w:tcPr>
                  <w:tcW w:w="5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snapToGrid w:val="0"/>
                      <w:kern w:val="0"/>
                    </w:rPr>
                    <w:t>9.1</w:t>
                  </w:r>
                </w:p>
              </w:tc>
              <w:tc>
                <w:tcPr>
                  <w:tcW w:w="48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snapToGrid w:val="0"/>
                      <w:kern w:val="0"/>
                    </w:rPr>
                    <w:t>0.629</w:t>
                  </w:r>
                </w:p>
              </w:tc>
              <w:tc>
                <w:tcPr>
                  <w:tcW w:w="48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snapToGrid w:val="0"/>
                      <w:kern w:val="0"/>
                    </w:rPr>
                    <w:t>0.155</w:t>
                  </w:r>
                </w:p>
              </w:tc>
              <w:tc>
                <w:tcPr>
                  <w:tcW w:w="46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snapToGrid w:val="0"/>
                      <w:kern w:val="0"/>
                    </w:rPr>
                    <w:t>1.86</w:t>
                  </w:r>
                </w:p>
              </w:tc>
              <w:tc>
                <w:tcPr>
                  <w:tcW w:w="50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snapToGrid w:val="0"/>
                      <w:kern w:val="0"/>
                    </w:rPr>
                    <w:t>0.1</w:t>
                  </w:r>
                </w:p>
              </w:tc>
              <w:tc>
                <w:tcPr>
                  <w:tcW w:w="63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snapToGrid w:val="0"/>
                      <w:kern w:val="0"/>
                    </w:rPr>
                    <w:t>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0" w:hRule="atLeast"/>
              </w:trPr>
              <w:tc>
                <w:tcPr>
                  <w:tcW w:w="478" w:type="pct"/>
                  <w:vMerge w:val="continue"/>
                  <w:tcBorders>
                    <w:top w:val="single" w:color="000000" w:sz="4" w:space="0"/>
                    <w:left w:val="single" w:color="000000" w:sz="4" w:space="0"/>
                    <w:bottom w:val="single" w:color="000000" w:sz="4" w:space="0"/>
                    <w:right w:val="single" w:color="000000" w:sz="4" w:space="0"/>
                  </w:tcBorders>
                  <w:vAlign w:val="center"/>
                </w:tcPr>
                <w:p>
                  <w:pPr>
                    <w:jc w:val="center"/>
                  </w:pPr>
                </w:p>
              </w:tc>
              <w:tc>
                <w:tcPr>
                  <w:tcW w:w="48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snapToGrid w:val="0"/>
                      <w:kern w:val="0"/>
                    </w:rPr>
                    <w:t>11.04</w:t>
                  </w:r>
                </w:p>
              </w:tc>
              <w:tc>
                <w:tcPr>
                  <w:tcW w:w="47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snapToGrid w:val="0"/>
                      <w:kern w:val="0"/>
                    </w:rPr>
                    <w:t>7.55</w:t>
                  </w:r>
                </w:p>
              </w:tc>
              <w:tc>
                <w:tcPr>
                  <w:tcW w:w="47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snapToGrid w:val="0"/>
                      <w:kern w:val="0"/>
                    </w:rPr>
                    <w:t>26.6</w:t>
                  </w:r>
                </w:p>
              </w:tc>
              <w:tc>
                <w:tcPr>
                  <w:tcW w:w="5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snapToGrid w:val="0"/>
                      <w:kern w:val="0"/>
                    </w:rPr>
                    <w:t>9.3</w:t>
                  </w:r>
                </w:p>
              </w:tc>
              <w:tc>
                <w:tcPr>
                  <w:tcW w:w="48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snapToGrid w:val="0"/>
                      <w:kern w:val="0"/>
                    </w:rPr>
                    <w:t>0.714</w:t>
                  </w:r>
                </w:p>
              </w:tc>
              <w:tc>
                <w:tcPr>
                  <w:tcW w:w="48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snapToGrid w:val="0"/>
                      <w:kern w:val="0"/>
                    </w:rPr>
                    <w:t>0.169</w:t>
                  </w:r>
                </w:p>
              </w:tc>
              <w:tc>
                <w:tcPr>
                  <w:tcW w:w="46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snapToGrid w:val="0"/>
                      <w:kern w:val="0"/>
                    </w:rPr>
                    <w:t>1.87</w:t>
                  </w:r>
                </w:p>
              </w:tc>
              <w:tc>
                <w:tcPr>
                  <w:tcW w:w="50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snapToGrid w:val="0"/>
                      <w:kern w:val="0"/>
                    </w:rPr>
                    <w:t>0.11</w:t>
                  </w:r>
                </w:p>
              </w:tc>
              <w:tc>
                <w:tcPr>
                  <w:tcW w:w="63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snapToGrid w:val="0"/>
                      <w:kern w:val="0"/>
                    </w:rPr>
                    <w:t>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5" w:hRule="atLeast"/>
              </w:trPr>
              <w:tc>
                <w:tcPr>
                  <w:tcW w:w="478"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snapToGrid w:val="0"/>
                      <w:kern w:val="0"/>
                    </w:rPr>
                    <w:t>W5</w:t>
                  </w:r>
                </w:p>
              </w:tc>
              <w:tc>
                <w:tcPr>
                  <w:tcW w:w="48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snapToGrid w:val="0"/>
                      <w:kern w:val="0"/>
                    </w:rPr>
                    <w:t>11.02</w:t>
                  </w:r>
                </w:p>
              </w:tc>
              <w:tc>
                <w:tcPr>
                  <w:tcW w:w="47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snapToGrid w:val="0"/>
                      <w:kern w:val="0"/>
                    </w:rPr>
                    <w:t>7.51</w:t>
                  </w:r>
                </w:p>
              </w:tc>
              <w:tc>
                <w:tcPr>
                  <w:tcW w:w="47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snapToGrid w:val="0"/>
                      <w:kern w:val="0"/>
                    </w:rPr>
                    <w:t>24.6</w:t>
                  </w:r>
                </w:p>
              </w:tc>
              <w:tc>
                <w:tcPr>
                  <w:tcW w:w="5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snapToGrid w:val="0"/>
                      <w:kern w:val="0"/>
                    </w:rPr>
                    <w:t>8.3</w:t>
                  </w:r>
                </w:p>
              </w:tc>
              <w:tc>
                <w:tcPr>
                  <w:tcW w:w="48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snapToGrid w:val="0"/>
                      <w:kern w:val="0"/>
                    </w:rPr>
                    <w:t>0.423</w:t>
                  </w:r>
                </w:p>
              </w:tc>
              <w:tc>
                <w:tcPr>
                  <w:tcW w:w="48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snapToGrid w:val="0"/>
                      <w:kern w:val="0"/>
                    </w:rPr>
                    <w:t>0.169</w:t>
                  </w:r>
                </w:p>
              </w:tc>
              <w:tc>
                <w:tcPr>
                  <w:tcW w:w="46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snapToGrid w:val="0"/>
                      <w:kern w:val="0"/>
                    </w:rPr>
                    <w:t>1.76</w:t>
                  </w:r>
                </w:p>
              </w:tc>
              <w:tc>
                <w:tcPr>
                  <w:tcW w:w="50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snapToGrid w:val="0"/>
                      <w:kern w:val="0"/>
                    </w:rPr>
                    <w:t>0.04</w:t>
                  </w:r>
                </w:p>
              </w:tc>
              <w:tc>
                <w:tcPr>
                  <w:tcW w:w="63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snapToGrid w:val="0"/>
                      <w:kern w:val="0"/>
                    </w:rPr>
                    <w:t>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0" w:hRule="atLeast"/>
              </w:trPr>
              <w:tc>
                <w:tcPr>
                  <w:tcW w:w="478" w:type="pct"/>
                  <w:vMerge w:val="continue"/>
                  <w:tcBorders>
                    <w:top w:val="single" w:color="000000" w:sz="4" w:space="0"/>
                    <w:left w:val="single" w:color="000000" w:sz="4" w:space="0"/>
                    <w:bottom w:val="single" w:color="000000" w:sz="4" w:space="0"/>
                    <w:right w:val="single" w:color="000000" w:sz="4" w:space="0"/>
                  </w:tcBorders>
                  <w:vAlign w:val="center"/>
                </w:tcPr>
                <w:p>
                  <w:pPr>
                    <w:jc w:val="center"/>
                  </w:pPr>
                </w:p>
              </w:tc>
              <w:tc>
                <w:tcPr>
                  <w:tcW w:w="48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snapToGrid w:val="0"/>
                      <w:kern w:val="0"/>
                    </w:rPr>
                    <w:t>11.03</w:t>
                  </w:r>
                </w:p>
              </w:tc>
              <w:tc>
                <w:tcPr>
                  <w:tcW w:w="47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snapToGrid w:val="0"/>
                      <w:kern w:val="0"/>
                    </w:rPr>
                    <w:t>7.51</w:t>
                  </w:r>
                </w:p>
              </w:tc>
              <w:tc>
                <w:tcPr>
                  <w:tcW w:w="47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snapToGrid w:val="0"/>
                      <w:kern w:val="0"/>
                    </w:rPr>
                    <w:t>22.6</w:t>
                  </w:r>
                </w:p>
              </w:tc>
              <w:tc>
                <w:tcPr>
                  <w:tcW w:w="5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snapToGrid w:val="0"/>
                      <w:kern w:val="0"/>
                    </w:rPr>
                    <w:t>8.7</w:t>
                  </w:r>
                </w:p>
              </w:tc>
              <w:tc>
                <w:tcPr>
                  <w:tcW w:w="48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snapToGrid w:val="0"/>
                      <w:kern w:val="0"/>
                    </w:rPr>
                    <w:t>0.423</w:t>
                  </w:r>
                </w:p>
              </w:tc>
              <w:tc>
                <w:tcPr>
                  <w:tcW w:w="48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snapToGrid w:val="0"/>
                      <w:kern w:val="0"/>
                    </w:rPr>
                    <w:t>0.169</w:t>
                  </w:r>
                </w:p>
              </w:tc>
              <w:tc>
                <w:tcPr>
                  <w:tcW w:w="46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snapToGrid w:val="0"/>
                      <w:kern w:val="0"/>
                    </w:rPr>
                    <w:t>1.76</w:t>
                  </w:r>
                </w:p>
              </w:tc>
              <w:tc>
                <w:tcPr>
                  <w:tcW w:w="50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snapToGrid w:val="0"/>
                      <w:kern w:val="0"/>
                    </w:rPr>
                    <w:t>0.04</w:t>
                  </w:r>
                </w:p>
              </w:tc>
              <w:tc>
                <w:tcPr>
                  <w:tcW w:w="63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snapToGrid w:val="0"/>
                      <w:kern w:val="0"/>
                    </w:rPr>
                    <w:t>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478" w:type="pct"/>
                  <w:vMerge w:val="continue"/>
                  <w:tcBorders>
                    <w:top w:val="single" w:color="000000" w:sz="4" w:space="0"/>
                    <w:left w:val="single" w:color="000000" w:sz="4" w:space="0"/>
                    <w:bottom w:val="single" w:color="000000" w:sz="4" w:space="0"/>
                    <w:right w:val="single" w:color="000000" w:sz="4" w:space="0"/>
                  </w:tcBorders>
                  <w:vAlign w:val="center"/>
                </w:tcPr>
                <w:p>
                  <w:pPr>
                    <w:jc w:val="center"/>
                  </w:pPr>
                </w:p>
              </w:tc>
              <w:tc>
                <w:tcPr>
                  <w:tcW w:w="48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snapToGrid w:val="0"/>
                      <w:kern w:val="0"/>
                    </w:rPr>
                    <w:t>11.04</w:t>
                  </w:r>
                </w:p>
              </w:tc>
              <w:tc>
                <w:tcPr>
                  <w:tcW w:w="47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snapToGrid w:val="0"/>
                      <w:kern w:val="0"/>
                    </w:rPr>
                    <w:t>7.56</w:t>
                  </w:r>
                </w:p>
              </w:tc>
              <w:tc>
                <w:tcPr>
                  <w:tcW w:w="47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snapToGrid w:val="0"/>
                      <w:kern w:val="0"/>
                    </w:rPr>
                    <w:t>22.6</w:t>
                  </w:r>
                </w:p>
              </w:tc>
              <w:tc>
                <w:tcPr>
                  <w:tcW w:w="5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snapToGrid w:val="0"/>
                      <w:kern w:val="0"/>
                    </w:rPr>
                    <w:t>8.7</w:t>
                  </w:r>
                </w:p>
              </w:tc>
              <w:tc>
                <w:tcPr>
                  <w:tcW w:w="48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snapToGrid w:val="0"/>
                      <w:kern w:val="0"/>
                    </w:rPr>
                    <w:t>0.417</w:t>
                  </w:r>
                </w:p>
              </w:tc>
              <w:tc>
                <w:tcPr>
                  <w:tcW w:w="48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snapToGrid w:val="0"/>
                      <w:kern w:val="0"/>
                    </w:rPr>
                    <w:t>0.162</w:t>
                  </w:r>
                </w:p>
              </w:tc>
              <w:tc>
                <w:tcPr>
                  <w:tcW w:w="46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snapToGrid w:val="0"/>
                      <w:kern w:val="0"/>
                    </w:rPr>
                    <w:t>1.76</w:t>
                  </w:r>
                </w:p>
              </w:tc>
              <w:tc>
                <w:tcPr>
                  <w:tcW w:w="50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snapToGrid w:val="0"/>
                      <w:kern w:val="0"/>
                    </w:rPr>
                    <w:t>0.04</w:t>
                  </w:r>
                </w:p>
              </w:tc>
              <w:tc>
                <w:tcPr>
                  <w:tcW w:w="63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snapToGrid w:val="0"/>
                      <w:kern w:val="0"/>
                    </w:rPr>
                    <w:t>400</w:t>
                  </w:r>
                </w:p>
              </w:tc>
            </w:tr>
          </w:tbl>
          <w:p>
            <w:pPr>
              <w:spacing w:line="360" w:lineRule="auto"/>
              <w:ind w:firstLine="480"/>
              <w:jc w:val="left"/>
              <w:rPr>
                <w:sz w:val="24"/>
                <w:szCs w:val="24"/>
              </w:rPr>
            </w:pPr>
            <w:r>
              <w:rPr>
                <w:sz w:val="24"/>
                <w:szCs w:val="24"/>
              </w:rPr>
              <w:t>③评价方法</w:t>
            </w:r>
          </w:p>
          <w:p>
            <w:pPr>
              <w:spacing w:line="360" w:lineRule="auto"/>
              <w:ind w:firstLine="480" w:firstLineChars="200"/>
              <w:rPr>
                <w:sz w:val="24"/>
                <w:szCs w:val="24"/>
              </w:rPr>
            </w:pPr>
            <w:r>
              <w:rPr>
                <w:sz w:val="24"/>
                <w:szCs w:val="24"/>
              </w:rPr>
              <w:t>采用单因子标准指数法进行水环境质量现状评价。单项污染指数用下式计算。</w:t>
            </w:r>
          </w:p>
          <w:p>
            <w:pPr>
              <w:spacing w:line="360" w:lineRule="auto"/>
              <w:ind w:firstLine="480" w:firstLineChars="200"/>
              <w:rPr>
                <w:sz w:val="24"/>
                <w:szCs w:val="24"/>
              </w:rPr>
            </w:pPr>
            <w:r>
              <w:rPr>
                <w:sz w:val="24"/>
                <w:szCs w:val="24"/>
              </w:rPr>
              <w:t>单项水质参数i在第j断面单项污染指数：</w:t>
            </w:r>
          </w:p>
          <w:p>
            <w:pPr>
              <w:spacing w:line="360" w:lineRule="auto"/>
              <w:ind w:firstLine="480" w:firstLineChars="200"/>
              <w:jc w:val="center"/>
              <w:rPr>
                <w:sz w:val="24"/>
                <w:szCs w:val="24"/>
              </w:rPr>
            </w:pPr>
            <w:r>
              <w:rPr>
                <w:sz w:val="24"/>
                <w:szCs w:val="24"/>
              </w:rPr>
              <w:t>S</w:t>
            </w:r>
            <w:r>
              <w:rPr>
                <w:sz w:val="24"/>
                <w:szCs w:val="24"/>
                <w:vertAlign w:val="subscript"/>
              </w:rPr>
              <w:t>ij</w:t>
            </w:r>
            <w:r>
              <w:rPr>
                <w:sz w:val="24"/>
                <w:szCs w:val="24"/>
              </w:rPr>
              <w:t>=C</w:t>
            </w:r>
            <w:r>
              <w:rPr>
                <w:sz w:val="24"/>
                <w:szCs w:val="24"/>
                <w:vertAlign w:val="subscript"/>
              </w:rPr>
              <w:t>ij</w:t>
            </w:r>
            <w:r>
              <w:rPr>
                <w:sz w:val="24"/>
                <w:szCs w:val="24"/>
              </w:rPr>
              <w:t>/C</w:t>
            </w:r>
            <w:r>
              <w:rPr>
                <w:sz w:val="24"/>
                <w:szCs w:val="24"/>
                <w:vertAlign w:val="subscript"/>
              </w:rPr>
              <w:t>sj</w:t>
            </w:r>
          </w:p>
          <w:p>
            <w:pPr>
              <w:spacing w:line="360" w:lineRule="auto"/>
              <w:ind w:firstLine="480" w:firstLineChars="200"/>
              <w:rPr>
                <w:sz w:val="24"/>
                <w:szCs w:val="24"/>
              </w:rPr>
            </w:pPr>
            <w:r>
              <w:rPr>
                <w:sz w:val="24"/>
                <w:szCs w:val="24"/>
              </w:rPr>
              <w:t>式中：S</w:t>
            </w:r>
            <w:r>
              <w:rPr>
                <w:sz w:val="24"/>
                <w:szCs w:val="24"/>
                <w:vertAlign w:val="subscript"/>
              </w:rPr>
              <w:t>ij</w:t>
            </w:r>
            <w:r>
              <w:rPr>
                <w:kern w:val="0"/>
                <w:sz w:val="24"/>
                <w:szCs w:val="24"/>
              </w:rPr>
              <w:t>——</w:t>
            </w:r>
            <w:r>
              <w:rPr>
                <w:sz w:val="24"/>
                <w:szCs w:val="24"/>
              </w:rPr>
              <w:t>第i种污染物在第j点的标准指数；</w:t>
            </w:r>
          </w:p>
          <w:p>
            <w:pPr>
              <w:spacing w:line="360" w:lineRule="auto"/>
              <w:ind w:firstLine="1200" w:firstLineChars="500"/>
              <w:rPr>
                <w:sz w:val="24"/>
                <w:szCs w:val="24"/>
              </w:rPr>
            </w:pPr>
            <w:r>
              <w:rPr>
                <w:sz w:val="24"/>
                <w:szCs w:val="24"/>
              </w:rPr>
              <w:t>C</w:t>
            </w:r>
            <w:r>
              <w:rPr>
                <w:sz w:val="24"/>
                <w:szCs w:val="24"/>
                <w:vertAlign w:val="subscript"/>
              </w:rPr>
              <w:t>ij</w:t>
            </w:r>
            <w:r>
              <w:rPr>
                <w:kern w:val="0"/>
                <w:sz w:val="24"/>
                <w:szCs w:val="24"/>
              </w:rPr>
              <w:t>——</w:t>
            </w:r>
            <w:r>
              <w:rPr>
                <w:sz w:val="24"/>
                <w:szCs w:val="24"/>
              </w:rPr>
              <w:t>第i种污染物在第j点的监测平均浓度值，mg/L；</w:t>
            </w:r>
          </w:p>
          <w:p>
            <w:pPr>
              <w:spacing w:line="360" w:lineRule="auto"/>
              <w:ind w:firstLine="1200" w:firstLineChars="500"/>
              <w:rPr>
                <w:sz w:val="24"/>
                <w:szCs w:val="24"/>
              </w:rPr>
            </w:pPr>
            <w:r>
              <w:rPr>
                <w:sz w:val="24"/>
                <w:szCs w:val="24"/>
              </w:rPr>
              <w:t>C</w:t>
            </w:r>
            <w:r>
              <w:rPr>
                <w:sz w:val="24"/>
                <w:szCs w:val="24"/>
                <w:vertAlign w:val="subscript"/>
              </w:rPr>
              <w:t>sj</w:t>
            </w:r>
            <w:r>
              <w:rPr>
                <w:kern w:val="0"/>
                <w:sz w:val="24"/>
                <w:szCs w:val="24"/>
              </w:rPr>
              <w:t>——</w:t>
            </w:r>
            <w:r>
              <w:rPr>
                <w:sz w:val="24"/>
                <w:szCs w:val="24"/>
              </w:rPr>
              <w:t>第i种污染物的地表水水质标准值，mg/L。</w:t>
            </w:r>
          </w:p>
          <w:p>
            <w:pPr>
              <w:spacing w:line="360" w:lineRule="auto"/>
              <w:ind w:firstLine="480" w:firstLineChars="200"/>
              <w:rPr>
                <w:sz w:val="24"/>
                <w:szCs w:val="24"/>
              </w:rPr>
            </w:pPr>
            <w:r>
              <w:rPr>
                <w:sz w:val="24"/>
                <w:szCs w:val="24"/>
              </w:rPr>
              <w:t>pH为：</w:t>
            </w:r>
          </w:p>
          <w:p>
            <w:pPr>
              <w:pStyle w:val="30"/>
              <w:spacing w:line="360" w:lineRule="auto"/>
              <w:ind w:firstLine="480" w:firstLineChars="200"/>
              <w:jc w:val="center"/>
              <w:rPr>
                <w:rFonts w:ascii="Times New Roman" w:hAnsi="Times New Roman" w:cs="Times New Roman"/>
                <w:color w:val="auto"/>
              </w:rPr>
            </w:pPr>
            <w:r>
              <w:rPr>
                <w:rFonts w:ascii="Times New Roman" w:hAnsi="Times New Roman" w:cs="Times New Roman"/>
                <w:color w:val="auto"/>
                <w:position w:val="-30"/>
              </w:rPr>
              <w:object>
                <v:shape id="_x0000_i1025" o:spt="75" type="#_x0000_t75" style="height:36pt;width:146.25pt;" o:ole="t" filled="f" o:preferrelative="t" stroked="f" coordsize="21600,21600">
                  <v:path/>
                  <v:fill on="f" focussize="0,0"/>
                  <v:stroke on="f" joinstyle="miter"/>
                  <v:imagedata r:id="rId14" o:title=""/>
                  <o:lock v:ext="edit" aspectratio="t"/>
                  <w10:wrap type="none"/>
                  <w10:anchorlock/>
                </v:shape>
                <o:OLEObject Type="Embed" ProgID="Equation.3" ShapeID="_x0000_i1025" DrawAspect="Content" ObjectID="_1468075725" r:id="rId13">
                  <o:LockedField>false</o:LockedField>
                </o:OLEObject>
              </w:object>
            </w:r>
          </w:p>
          <w:p>
            <w:pPr>
              <w:pStyle w:val="30"/>
              <w:spacing w:line="360" w:lineRule="auto"/>
              <w:ind w:firstLine="480" w:firstLineChars="200"/>
              <w:jc w:val="center"/>
              <w:rPr>
                <w:rFonts w:ascii="Times New Roman" w:hAnsi="Times New Roman" w:cs="Times New Roman"/>
                <w:color w:val="auto"/>
              </w:rPr>
            </w:pPr>
            <w:r>
              <w:rPr>
                <w:rFonts w:ascii="Times New Roman" w:hAnsi="Times New Roman" w:cs="Times New Roman"/>
                <w:color w:val="auto"/>
                <w:position w:val="-30"/>
              </w:rPr>
              <w:object>
                <v:shape id="_x0000_i1026" o:spt="75" type="#_x0000_t75" style="height:36pt;width:146.25pt;" o:ole="t" filled="f" o:preferrelative="t" stroked="f" coordsize="21600,21600">
                  <v:path/>
                  <v:fill on="f" focussize="0,0"/>
                  <v:stroke on="f" joinstyle="miter"/>
                  <v:imagedata r:id="rId16" o:title=""/>
                  <o:lock v:ext="edit" aspectratio="t"/>
                  <w10:wrap type="none"/>
                  <w10:anchorlock/>
                </v:shape>
                <o:OLEObject Type="Embed" ProgID="Equation.3" ShapeID="_x0000_i1026" DrawAspect="Content" ObjectID="_1468075726" r:id="rId15">
                  <o:LockedField>false</o:LockedField>
                </o:OLEObject>
              </w:object>
            </w:r>
          </w:p>
          <w:p>
            <w:pPr>
              <w:spacing w:line="360" w:lineRule="auto"/>
              <w:ind w:firstLine="480" w:firstLineChars="200"/>
              <w:rPr>
                <w:sz w:val="24"/>
                <w:szCs w:val="24"/>
              </w:rPr>
            </w:pPr>
            <w:r>
              <w:rPr>
                <w:sz w:val="24"/>
                <w:szCs w:val="24"/>
              </w:rPr>
              <w:t>式中：S</w:t>
            </w:r>
            <w:r>
              <w:rPr>
                <w:sz w:val="24"/>
                <w:szCs w:val="24"/>
                <w:vertAlign w:val="subscript"/>
              </w:rPr>
              <w:t>pH，j</w:t>
            </w:r>
            <w:r>
              <w:rPr>
                <w:kern w:val="0"/>
                <w:sz w:val="24"/>
                <w:szCs w:val="24"/>
              </w:rPr>
              <w:t>——</w:t>
            </w:r>
            <w:r>
              <w:rPr>
                <w:sz w:val="24"/>
                <w:szCs w:val="24"/>
              </w:rPr>
              <w:t>为水质参数pH在j点的标准指数；</w:t>
            </w:r>
          </w:p>
          <w:p>
            <w:pPr>
              <w:spacing w:line="360" w:lineRule="auto"/>
              <w:ind w:firstLine="1200" w:firstLineChars="500"/>
              <w:rPr>
                <w:sz w:val="24"/>
                <w:szCs w:val="24"/>
              </w:rPr>
            </w:pPr>
            <w:r>
              <w:rPr>
                <w:sz w:val="24"/>
                <w:szCs w:val="24"/>
              </w:rPr>
              <w:t>pH</w:t>
            </w:r>
            <w:r>
              <w:rPr>
                <w:sz w:val="24"/>
                <w:szCs w:val="24"/>
                <w:vertAlign w:val="subscript"/>
              </w:rPr>
              <w:t>j</w:t>
            </w:r>
            <w:r>
              <w:rPr>
                <w:kern w:val="0"/>
                <w:sz w:val="24"/>
                <w:szCs w:val="24"/>
              </w:rPr>
              <w:t>——</w:t>
            </w:r>
            <w:r>
              <w:rPr>
                <w:sz w:val="24"/>
                <w:szCs w:val="24"/>
              </w:rPr>
              <w:t>为j点的pH值；</w:t>
            </w:r>
          </w:p>
          <w:p>
            <w:pPr>
              <w:spacing w:line="360" w:lineRule="auto"/>
              <w:ind w:firstLine="1200" w:firstLineChars="500"/>
              <w:rPr>
                <w:sz w:val="24"/>
                <w:szCs w:val="24"/>
              </w:rPr>
            </w:pPr>
            <w:r>
              <w:rPr>
                <w:sz w:val="24"/>
                <w:szCs w:val="24"/>
              </w:rPr>
              <w:t>pH</w:t>
            </w:r>
            <w:r>
              <w:rPr>
                <w:sz w:val="24"/>
                <w:szCs w:val="24"/>
                <w:vertAlign w:val="subscript"/>
              </w:rPr>
              <w:t>su</w:t>
            </w:r>
            <w:r>
              <w:rPr>
                <w:kern w:val="0"/>
                <w:sz w:val="24"/>
                <w:szCs w:val="24"/>
              </w:rPr>
              <w:t>——</w:t>
            </w:r>
            <w:r>
              <w:rPr>
                <w:sz w:val="24"/>
                <w:szCs w:val="24"/>
              </w:rPr>
              <w:t>为地表水水质标准中规定的pH值上限；</w:t>
            </w:r>
          </w:p>
          <w:p>
            <w:pPr>
              <w:spacing w:line="360" w:lineRule="auto"/>
              <w:ind w:firstLine="1200" w:firstLineChars="500"/>
              <w:rPr>
                <w:sz w:val="24"/>
                <w:szCs w:val="24"/>
              </w:rPr>
            </w:pPr>
            <w:r>
              <w:rPr>
                <w:sz w:val="24"/>
                <w:szCs w:val="24"/>
              </w:rPr>
              <w:t>pH</w:t>
            </w:r>
            <w:r>
              <w:rPr>
                <w:sz w:val="24"/>
                <w:szCs w:val="24"/>
                <w:vertAlign w:val="subscript"/>
              </w:rPr>
              <w:t>sd</w:t>
            </w:r>
            <w:r>
              <w:rPr>
                <w:kern w:val="0"/>
                <w:sz w:val="24"/>
                <w:szCs w:val="24"/>
              </w:rPr>
              <w:t>——</w:t>
            </w:r>
            <w:r>
              <w:rPr>
                <w:sz w:val="24"/>
                <w:szCs w:val="24"/>
              </w:rPr>
              <w:t>为地表水水质标准中规定的pH值下限。</w:t>
            </w:r>
          </w:p>
          <w:p>
            <w:pPr>
              <w:spacing w:line="360" w:lineRule="auto"/>
              <w:ind w:firstLine="480" w:firstLineChars="200"/>
              <w:rPr>
                <w:sz w:val="24"/>
                <w:szCs w:val="24"/>
              </w:rPr>
            </w:pPr>
            <w:r>
              <w:rPr>
                <w:sz w:val="24"/>
                <w:szCs w:val="24"/>
              </w:rPr>
              <w:t>当以上公式计算的污染指数I</w:t>
            </w:r>
            <w:r>
              <w:rPr>
                <w:sz w:val="24"/>
                <w:szCs w:val="24"/>
                <w:vertAlign w:val="subscript"/>
              </w:rPr>
              <w:t>ij</w:t>
            </w:r>
            <w:r>
              <w:rPr>
                <w:sz w:val="24"/>
                <w:szCs w:val="24"/>
              </w:rPr>
              <w:t>＞1时，即表明该项指标已经超过了规定的质量标准。</w:t>
            </w:r>
          </w:p>
          <w:p>
            <w:pPr>
              <w:spacing w:line="360" w:lineRule="auto"/>
              <w:ind w:firstLine="482"/>
              <w:jc w:val="left"/>
              <w:rPr>
                <w:sz w:val="24"/>
                <w:szCs w:val="24"/>
              </w:rPr>
            </w:pPr>
            <w:r>
              <w:rPr>
                <w:sz w:val="24"/>
                <w:szCs w:val="24"/>
              </w:rPr>
              <w:t>④现状评价结果</w:t>
            </w:r>
          </w:p>
          <w:p>
            <w:pPr>
              <w:spacing w:line="360" w:lineRule="auto"/>
              <w:ind w:firstLine="480" w:firstLineChars="200"/>
              <w:rPr>
                <w:sz w:val="24"/>
                <w:szCs w:val="24"/>
              </w:rPr>
            </w:pPr>
            <w:r>
              <w:rPr>
                <w:sz w:val="24"/>
                <w:szCs w:val="24"/>
              </w:rPr>
              <w:t>各监测项目的单因子指数分别见下表。</w:t>
            </w:r>
          </w:p>
          <w:p>
            <w:pPr>
              <w:tabs>
                <w:tab w:val="left" w:pos="420"/>
              </w:tabs>
              <w:spacing w:line="360" w:lineRule="auto"/>
              <w:jc w:val="center"/>
              <w:rPr>
                <w:b/>
                <w:bCs/>
                <w:sz w:val="24"/>
                <w:szCs w:val="24"/>
              </w:rPr>
            </w:pPr>
            <w:r>
              <w:rPr>
                <w:b/>
                <w:bCs/>
                <w:sz w:val="24"/>
                <w:szCs w:val="24"/>
              </w:rPr>
              <w:t>表3-7  地表水水质污染指数评价结果表</w:t>
            </w:r>
          </w:p>
          <w:tbl>
            <w:tblPr>
              <w:tblStyle w:val="23"/>
              <w:tblW w:w="4996" w:type="pct"/>
              <w:tblInd w:w="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61"/>
              <w:gridCol w:w="766"/>
              <w:gridCol w:w="752"/>
              <w:gridCol w:w="761"/>
              <w:gridCol w:w="817"/>
              <w:gridCol w:w="770"/>
              <w:gridCol w:w="770"/>
              <w:gridCol w:w="745"/>
              <w:gridCol w:w="799"/>
              <w:gridCol w:w="10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5" w:hRule="atLeast"/>
              </w:trPr>
              <w:tc>
                <w:tcPr>
                  <w:tcW w:w="47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snapToGrid w:val="0"/>
                      <w:kern w:val="0"/>
                    </w:rPr>
                  </w:pPr>
                  <w:r>
                    <w:rPr>
                      <w:snapToGrid w:val="0"/>
                      <w:kern w:val="0"/>
                    </w:rPr>
                    <w:t>监测</w:t>
                  </w:r>
                </w:p>
                <w:p>
                  <w:pPr>
                    <w:widowControl/>
                    <w:jc w:val="center"/>
                    <w:textAlignment w:val="center"/>
                  </w:pPr>
                  <w:r>
                    <w:rPr>
                      <w:snapToGrid w:val="0"/>
                      <w:kern w:val="0"/>
                    </w:rPr>
                    <w:t>断</w:t>
                  </w:r>
                  <w:r>
                    <w:rPr>
                      <w:rStyle w:val="75"/>
                      <w:rFonts w:ascii="Times New Roman" w:hAnsi="Times New Roman" w:eastAsia="宋体" w:cs="Times New Roman"/>
                      <w:snapToGrid w:val="0"/>
                      <w:color w:val="auto"/>
                      <w:sz w:val="21"/>
                      <w:szCs w:val="21"/>
                    </w:rPr>
                    <w:t>面</w:t>
                  </w:r>
                </w:p>
              </w:tc>
              <w:tc>
                <w:tcPr>
                  <w:tcW w:w="48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snapToGrid w:val="0"/>
                      <w:kern w:val="0"/>
                    </w:rPr>
                  </w:pPr>
                  <w:r>
                    <w:rPr>
                      <w:snapToGrid w:val="0"/>
                      <w:kern w:val="0"/>
                    </w:rPr>
                    <w:t>监测</w:t>
                  </w:r>
                </w:p>
                <w:p>
                  <w:pPr>
                    <w:widowControl/>
                    <w:jc w:val="center"/>
                    <w:textAlignment w:val="center"/>
                  </w:pPr>
                  <w:r>
                    <w:rPr>
                      <w:snapToGrid w:val="0"/>
                      <w:kern w:val="0"/>
                    </w:rPr>
                    <w:t>时间</w:t>
                  </w:r>
                </w:p>
              </w:tc>
              <w:tc>
                <w:tcPr>
                  <w:tcW w:w="47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snapToGrid w:val="0"/>
                      <w:kern w:val="0"/>
                    </w:rPr>
                    <w:t>pH</w:t>
                  </w:r>
                </w:p>
              </w:tc>
              <w:tc>
                <w:tcPr>
                  <w:tcW w:w="47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snapToGrid w:val="0"/>
                      <w:kern w:val="0"/>
                    </w:rPr>
                    <w:t>COD</w:t>
                  </w:r>
                </w:p>
              </w:tc>
              <w:tc>
                <w:tcPr>
                  <w:tcW w:w="51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snapToGrid w:val="0"/>
                      <w:kern w:val="0"/>
                    </w:rPr>
                    <w:t>BOD</w:t>
                  </w:r>
                  <w:r>
                    <w:rPr>
                      <w:snapToGrid w:val="0"/>
                      <w:kern w:val="0"/>
                      <w:vertAlign w:val="subscript"/>
                    </w:rPr>
                    <w:t>5</w:t>
                  </w:r>
                </w:p>
              </w:tc>
              <w:tc>
                <w:tcPr>
                  <w:tcW w:w="48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snapToGrid w:val="0"/>
                      <w:kern w:val="0"/>
                    </w:rPr>
                    <w:t>氨氮</w:t>
                  </w:r>
                </w:p>
              </w:tc>
              <w:tc>
                <w:tcPr>
                  <w:tcW w:w="48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snapToGrid w:val="0"/>
                      <w:kern w:val="0"/>
                    </w:rPr>
                    <w:t>总磷</w:t>
                  </w:r>
                </w:p>
              </w:tc>
              <w:tc>
                <w:tcPr>
                  <w:tcW w:w="467"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snapToGrid w:val="0"/>
                      <w:kern w:val="0"/>
                    </w:rPr>
                    <w:t>总氮</w:t>
                  </w:r>
                </w:p>
              </w:tc>
              <w:tc>
                <w:tcPr>
                  <w:tcW w:w="50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snapToGrid w:val="0"/>
                      <w:kern w:val="0"/>
                    </w:rPr>
                    <w:t>石油类</w:t>
                  </w:r>
                </w:p>
              </w:tc>
              <w:tc>
                <w:tcPr>
                  <w:tcW w:w="638"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snapToGrid w:val="0"/>
                      <w:kern w:val="0"/>
                    </w:rPr>
                    <w:t>粪大肠</w:t>
                  </w:r>
                  <w:r>
                    <w:rPr>
                      <w:rStyle w:val="75"/>
                      <w:rFonts w:ascii="Times New Roman" w:hAnsi="Times New Roman" w:eastAsia="宋体" w:cs="Times New Roman"/>
                      <w:snapToGrid w:val="0"/>
                      <w:color w:val="auto"/>
                      <w:sz w:val="21"/>
                      <w:szCs w:val="21"/>
                    </w:rPr>
                    <w:t>菌群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0" w:hRule="atLeast"/>
              </w:trPr>
              <w:tc>
                <w:tcPr>
                  <w:tcW w:w="478"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snapToGrid w:val="0"/>
                      <w:kern w:val="0"/>
                    </w:rPr>
                    <w:t>W1</w:t>
                  </w:r>
                </w:p>
              </w:tc>
              <w:tc>
                <w:tcPr>
                  <w:tcW w:w="48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snapToGrid w:val="0"/>
                      <w:kern w:val="0"/>
                    </w:rPr>
                    <w:t>11.02</w:t>
                  </w:r>
                </w:p>
              </w:tc>
              <w:tc>
                <w:tcPr>
                  <w:tcW w:w="8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kern w:val="0"/>
                    </w:rPr>
                    <w:t>0.23</w:t>
                  </w:r>
                </w:p>
              </w:tc>
              <w:tc>
                <w:tcPr>
                  <w:tcW w:w="8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kern w:val="0"/>
                    </w:rPr>
                    <w:t>0.52</w:t>
                  </w:r>
                </w:p>
              </w:tc>
              <w:tc>
                <w:tcPr>
                  <w:tcW w:w="9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kern w:val="0"/>
                    </w:rPr>
                    <w:t>0.67</w:t>
                  </w:r>
                </w:p>
              </w:tc>
              <w:tc>
                <w:tcPr>
                  <w:tcW w:w="8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kern w:val="0"/>
                    </w:rPr>
                    <w:t>0.31</w:t>
                  </w:r>
                </w:p>
              </w:tc>
              <w:tc>
                <w:tcPr>
                  <w:tcW w:w="8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kern w:val="0"/>
                    </w:rPr>
                    <w:t>0.43</w:t>
                  </w:r>
                </w:p>
              </w:tc>
              <w:tc>
                <w:tcPr>
                  <w:tcW w:w="8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kern w:val="0"/>
                    </w:rPr>
                    <w:t>0.92</w:t>
                  </w:r>
                </w:p>
              </w:tc>
              <w:tc>
                <w:tcPr>
                  <w:tcW w:w="8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kern w:val="0"/>
                    </w:rPr>
                    <w:t>0.05</w:t>
                  </w:r>
                </w:p>
              </w:tc>
              <w:tc>
                <w:tcPr>
                  <w:tcW w:w="11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kern w:val="0"/>
                    </w:rPr>
                    <w:t>0.004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5" w:hRule="atLeast"/>
              </w:trPr>
              <w:tc>
                <w:tcPr>
                  <w:tcW w:w="478" w:type="pct"/>
                  <w:vMerge w:val="continue"/>
                  <w:tcBorders>
                    <w:top w:val="single" w:color="000000" w:sz="4" w:space="0"/>
                    <w:left w:val="single" w:color="000000" w:sz="4" w:space="0"/>
                    <w:bottom w:val="single" w:color="000000" w:sz="4" w:space="0"/>
                    <w:right w:val="single" w:color="000000" w:sz="4" w:space="0"/>
                  </w:tcBorders>
                  <w:vAlign w:val="center"/>
                </w:tcPr>
                <w:p>
                  <w:pPr>
                    <w:jc w:val="center"/>
                  </w:pPr>
                </w:p>
              </w:tc>
              <w:tc>
                <w:tcPr>
                  <w:tcW w:w="48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snapToGrid w:val="0"/>
                      <w:kern w:val="0"/>
                    </w:rPr>
                    <w:t>11.03</w:t>
                  </w:r>
                </w:p>
              </w:tc>
              <w:tc>
                <w:tcPr>
                  <w:tcW w:w="8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kern w:val="0"/>
                    </w:rPr>
                    <w:t>0.22</w:t>
                  </w:r>
                </w:p>
              </w:tc>
              <w:tc>
                <w:tcPr>
                  <w:tcW w:w="8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kern w:val="0"/>
                    </w:rPr>
                    <w:t>0.52</w:t>
                  </w:r>
                </w:p>
              </w:tc>
              <w:tc>
                <w:tcPr>
                  <w:tcW w:w="9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kern w:val="0"/>
                    </w:rPr>
                    <w:t>0.62</w:t>
                  </w:r>
                </w:p>
              </w:tc>
              <w:tc>
                <w:tcPr>
                  <w:tcW w:w="8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kern w:val="0"/>
                    </w:rPr>
                    <w:t>0.29</w:t>
                  </w:r>
                </w:p>
              </w:tc>
              <w:tc>
                <w:tcPr>
                  <w:tcW w:w="8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kern w:val="0"/>
                    </w:rPr>
                    <w:t>0.42</w:t>
                  </w:r>
                </w:p>
              </w:tc>
              <w:tc>
                <w:tcPr>
                  <w:tcW w:w="8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kern w:val="0"/>
                    </w:rPr>
                    <w:t>0.93</w:t>
                  </w:r>
                </w:p>
              </w:tc>
              <w:tc>
                <w:tcPr>
                  <w:tcW w:w="8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kern w:val="0"/>
                    </w:rPr>
                    <w:t>0.05</w:t>
                  </w:r>
                </w:p>
              </w:tc>
              <w:tc>
                <w:tcPr>
                  <w:tcW w:w="11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kern w:val="0"/>
                    </w:rPr>
                    <w:t>0.004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5" w:hRule="atLeast"/>
              </w:trPr>
              <w:tc>
                <w:tcPr>
                  <w:tcW w:w="478" w:type="pct"/>
                  <w:vMerge w:val="continue"/>
                  <w:tcBorders>
                    <w:top w:val="single" w:color="000000" w:sz="4" w:space="0"/>
                    <w:left w:val="single" w:color="000000" w:sz="4" w:space="0"/>
                    <w:bottom w:val="single" w:color="000000" w:sz="4" w:space="0"/>
                    <w:right w:val="single" w:color="000000" w:sz="4" w:space="0"/>
                  </w:tcBorders>
                  <w:vAlign w:val="center"/>
                </w:tcPr>
                <w:p>
                  <w:pPr>
                    <w:jc w:val="center"/>
                  </w:pPr>
                </w:p>
              </w:tc>
              <w:tc>
                <w:tcPr>
                  <w:tcW w:w="48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snapToGrid w:val="0"/>
                      <w:kern w:val="0"/>
                    </w:rPr>
                    <w:t>11.04</w:t>
                  </w:r>
                </w:p>
              </w:tc>
              <w:tc>
                <w:tcPr>
                  <w:tcW w:w="8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kern w:val="0"/>
                    </w:rPr>
                    <w:t>0.21</w:t>
                  </w:r>
                </w:p>
              </w:tc>
              <w:tc>
                <w:tcPr>
                  <w:tcW w:w="8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kern w:val="0"/>
                    </w:rPr>
                    <w:t>0.52</w:t>
                  </w:r>
                </w:p>
              </w:tc>
              <w:tc>
                <w:tcPr>
                  <w:tcW w:w="9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kern w:val="0"/>
                    </w:rPr>
                    <w:t>0.63</w:t>
                  </w:r>
                </w:p>
              </w:tc>
              <w:tc>
                <w:tcPr>
                  <w:tcW w:w="8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kern w:val="0"/>
                    </w:rPr>
                    <w:t>0.32</w:t>
                  </w:r>
                </w:p>
              </w:tc>
              <w:tc>
                <w:tcPr>
                  <w:tcW w:w="8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kern w:val="0"/>
                    </w:rPr>
                    <w:t>0.41</w:t>
                  </w:r>
                </w:p>
              </w:tc>
              <w:tc>
                <w:tcPr>
                  <w:tcW w:w="8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kern w:val="0"/>
                    </w:rPr>
                    <w:t>0.93</w:t>
                  </w:r>
                </w:p>
              </w:tc>
              <w:tc>
                <w:tcPr>
                  <w:tcW w:w="8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kern w:val="0"/>
                    </w:rPr>
                    <w:t>0.05</w:t>
                  </w:r>
                </w:p>
              </w:tc>
              <w:tc>
                <w:tcPr>
                  <w:tcW w:w="11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kern w:val="0"/>
                    </w:rPr>
                    <w:t>0.004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5" w:hRule="atLeast"/>
              </w:trPr>
              <w:tc>
                <w:tcPr>
                  <w:tcW w:w="478"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snapToGrid w:val="0"/>
                      <w:kern w:val="0"/>
                    </w:rPr>
                    <w:t>W2</w:t>
                  </w:r>
                </w:p>
              </w:tc>
              <w:tc>
                <w:tcPr>
                  <w:tcW w:w="48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snapToGrid w:val="0"/>
                      <w:kern w:val="0"/>
                    </w:rPr>
                    <w:t>11.02</w:t>
                  </w:r>
                </w:p>
              </w:tc>
              <w:tc>
                <w:tcPr>
                  <w:tcW w:w="8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kern w:val="0"/>
                    </w:rPr>
                    <w:t>0.25</w:t>
                  </w:r>
                </w:p>
              </w:tc>
              <w:tc>
                <w:tcPr>
                  <w:tcW w:w="8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kern w:val="0"/>
                    </w:rPr>
                    <w:t>0.47</w:t>
                  </w:r>
                </w:p>
              </w:tc>
              <w:tc>
                <w:tcPr>
                  <w:tcW w:w="9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kern w:val="0"/>
                    </w:rPr>
                    <w:t>0.51</w:t>
                  </w:r>
                </w:p>
              </w:tc>
              <w:tc>
                <w:tcPr>
                  <w:tcW w:w="8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kern w:val="0"/>
                    </w:rPr>
                    <w:t>0.29</w:t>
                  </w:r>
                </w:p>
              </w:tc>
              <w:tc>
                <w:tcPr>
                  <w:tcW w:w="8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kern w:val="0"/>
                    </w:rPr>
                    <w:t>0.43</w:t>
                  </w:r>
                </w:p>
              </w:tc>
              <w:tc>
                <w:tcPr>
                  <w:tcW w:w="8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kern w:val="0"/>
                    </w:rPr>
                    <w:t>0.88</w:t>
                  </w:r>
                </w:p>
              </w:tc>
              <w:tc>
                <w:tcPr>
                  <w:tcW w:w="8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kern w:val="0"/>
                    </w:rPr>
                    <w:t>&lt;0.01</w:t>
                  </w:r>
                </w:p>
              </w:tc>
              <w:tc>
                <w:tcPr>
                  <w:tcW w:w="11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kern w:val="0"/>
                    </w:rPr>
                    <w:t>ND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1" w:hRule="atLeast"/>
              </w:trPr>
              <w:tc>
                <w:tcPr>
                  <w:tcW w:w="478" w:type="pct"/>
                  <w:vMerge w:val="continue"/>
                  <w:tcBorders>
                    <w:top w:val="single" w:color="000000" w:sz="4" w:space="0"/>
                    <w:left w:val="single" w:color="000000" w:sz="4" w:space="0"/>
                    <w:bottom w:val="single" w:color="000000" w:sz="4" w:space="0"/>
                    <w:right w:val="single" w:color="000000" w:sz="4" w:space="0"/>
                  </w:tcBorders>
                  <w:vAlign w:val="center"/>
                </w:tcPr>
                <w:p>
                  <w:pPr>
                    <w:jc w:val="center"/>
                  </w:pPr>
                </w:p>
              </w:tc>
              <w:tc>
                <w:tcPr>
                  <w:tcW w:w="48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snapToGrid w:val="0"/>
                      <w:kern w:val="0"/>
                    </w:rPr>
                    <w:t>11.03</w:t>
                  </w:r>
                </w:p>
              </w:tc>
              <w:tc>
                <w:tcPr>
                  <w:tcW w:w="8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kern w:val="0"/>
                    </w:rPr>
                    <w:t>0.24</w:t>
                  </w:r>
                </w:p>
              </w:tc>
              <w:tc>
                <w:tcPr>
                  <w:tcW w:w="8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kern w:val="0"/>
                    </w:rPr>
                    <w:t>0.57</w:t>
                  </w:r>
                </w:p>
              </w:tc>
              <w:tc>
                <w:tcPr>
                  <w:tcW w:w="9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kern w:val="0"/>
                    </w:rPr>
                    <w:t>0.67</w:t>
                  </w:r>
                </w:p>
              </w:tc>
              <w:tc>
                <w:tcPr>
                  <w:tcW w:w="8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kern w:val="0"/>
                    </w:rPr>
                    <w:t>0.29</w:t>
                  </w:r>
                </w:p>
              </w:tc>
              <w:tc>
                <w:tcPr>
                  <w:tcW w:w="8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kern w:val="0"/>
                    </w:rPr>
                    <w:t>0.47</w:t>
                  </w:r>
                </w:p>
              </w:tc>
              <w:tc>
                <w:tcPr>
                  <w:tcW w:w="8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kern w:val="0"/>
                    </w:rPr>
                    <w:t>0.88</w:t>
                  </w:r>
                </w:p>
              </w:tc>
              <w:tc>
                <w:tcPr>
                  <w:tcW w:w="8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kern w:val="0"/>
                    </w:rPr>
                    <w:t>&lt;0.01</w:t>
                  </w:r>
                </w:p>
              </w:tc>
              <w:tc>
                <w:tcPr>
                  <w:tcW w:w="11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kern w:val="0"/>
                    </w:rPr>
                    <w:t>ND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0" w:hRule="atLeast"/>
              </w:trPr>
              <w:tc>
                <w:tcPr>
                  <w:tcW w:w="478" w:type="pct"/>
                  <w:vMerge w:val="continue"/>
                  <w:tcBorders>
                    <w:top w:val="single" w:color="000000" w:sz="4" w:space="0"/>
                    <w:left w:val="single" w:color="000000" w:sz="4" w:space="0"/>
                    <w:bottom w:val="single" w:color="000000" w:sz="4" w:space="0"/>
                    <w:right w:val="single" w:color="000000" w:sz="4" w:space="0"/>
                  </w:tcBorders>
                  <w:vAlign w:val="center"/>
                </w:tcPr>
                <w:p>
                  <w:pPr>
                    <w:jc w:val="center"/>
                  </w:pPr>
                </w:p>
              </w:tc>
              <w:tc>
                <w:tcPr>
                  <w:tcW w:w="48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snapToGrid w:val="0"/>
                      <w:kern w:val="0"/>
                    </w:rPr>
                    <w:t>11.04</w:t>
                  </w:r>
                </w:p>
              </w:tc>
              <w:tc>
                <w:tcPr>
                  <w:tcW w:w="8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kern w:val="0"/>
                    </w:rPr>
                    <w:t>0.28</w:t>
                  </w:r>
                </w:p>
              </w:tc>
              <w:tc>
                <w:tcPr>
                  <w:tcW w:w="8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kern w:val="0"/>
                    </w:rPr>
                    <w:t>0.67</w:t>
                  </w:r>
                </w:p>
              </w:tc>
              <w:tc>
                <w:tcPr>
                  <w:tcW w:w="9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kern w:val="0"/>
                    </w:rPr>
                    <w:t>0.71</w:t>
                  </w:r>
                </w:p>
              </w:tc>
              <w:tc>
                <w:tcPr>
                  <w:tcW w:w="8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kern w:val="0"/>
                    </w:rPr>
                    <w:t>0.29</w:t>
                  </w:r>
                </w:p>
              </w:tc>
              <w:tc>
                <w:tcPr>
                  <w:tcW w:w="8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kern w:val="0"/>
                    </w:rPr>
                    <w:t>0.40</w:t>
                  </w:r>
                </w:p>
              </w:tc>
              <w:tc>
                <w:tcPr>
                  <w:tcW w:w="8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kern w:val="0"/>
                    </w:rPr>
                    <w:t>0.89</w:t>
                  </w:r>
                </w:p>
              </w:tc>
              <w:tc>
                <w:tcPr>
                  <w:tcW w:w="8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kern w:val="0"/>
                    </w:rPr>
                    <w:t>&lt;0.01</w:t>
                  </w:r>
                </w:p>
              </w:tc>
              <w:tc>
                <w:tcPr>
                  <w:tcW w:w="11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kern w:val="0"/>
                    </w:rPr>
                    <w:t>ND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0" w:hRule="atLeast"/>
              </w:trPr>
              <w:tc>
                <w:tcPr>
                  <w:tcW w:w="478"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snapToGrid w:val="0"/>
                      <w:kern w:val="0"/>
                    </w:rPr>
                    <w:t>W3</w:t>
                  </w:r>
                </w:p>
              </w:tc>
              <w:tc>
                <w:tcPr>
                  <w:tcW w:w="48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snapToGrid w:val="0"/>
                      <w:kern w:val="0"/>
                    </w:rPr>
                    <w:t>11.02</w:t>
                  </w:r>
                </w:p>
              </w:tc>
              <w:tc>
                <w:tcPr>
                  <w:tcW w:w="8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kern w:val="0"/>
                    </w:rPr>
                    <w:t>0.25</w:t>
                  </w:r>
                </w:p>
              </w:tc>
              <w:tc>
                <w:tcPr>
                  <w:tcW w:w="8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kern w:val="0"/>
                    </w:rPr>
                    <w:t>0.72</w:t>
                  </w:r>
                </w:p>
              </w:tc>
              <w:tc>
                <w:tcPr>
                  <w:tcW w:w="9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kern w:val="0"/>
                    </w:rPr>
                    <w:t>0.89</w:t>
                  </w:r>
                </w:p>
              </w:tc>
              <w:tc>
                <w:tcPr>
                  <w:tcW w:w="8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kern w:val="0"/>
                    </w:rPr>
                    <w:t>0.37</w:t>
                  </w:r>
                </w:p>
              </w:tc>
              <w:tc>
                <w:tcPr>
                  <w:tcW w:w="8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kern w:val="0"/>
                    </w:rPr>
                    <w:t>0.53</w:t>
                  </w:r>
                </w:p>
              </w:tc>
              <w:tc>
                <w:tcPr>
                  <w:tcW w:w="8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kern w:val="0"/>
                    </w:rPr>
                    <w:t>0.91</w:t>
                  </w:r>
                </w:p>
              </w:tc>
              <w:tc>
                <w:tcPr>
                  <w:tcW w:w="8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kern w:val="0"/>
                    </w:rPr>
                    <w:t>0.01</w:t>
                  </w:r>
                </w:p>
              </w:tc>
              <w:tc>
                <w:tcPr>
                  <w:tcW w:w="11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kern w:val="0"/>
                    </w:rPr>
                    <w:t>ND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5" w:hRule="atLeast"/>
              </w:trPr>
              <w:tc>
                <w:tcPr>
                  <w:tcW w:w="478" w:type="pct"/>
                  <w:vMerge w:val="continue"/>
                  <w:tcBorders>
                    <w:top w:val="single" w:color="000000" w:sz="4" w:space="0"/>
                    <w:left w:val="single" w:color="000000" w:sz="4" w:space="0"/>
                    <w:bottom w:val="single" w:color="000000" w:sz="4" w:space="0"/>
                    <w:right w:val="single" w:color="000000" w:sz="4" w:space="0"/>
                  </w:tcBorders>
                  <w:vAlign w:val="center"/>
                </w:tcPr>
                <w:p>
                  <w:pPr>
                    <w:jc w:val="center"/>
                  </w:pPr>
                </w:p>
              </w:tc>
              <w:tc>
                <w:tcPr>
                  <w:tcW w:w="48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snapToGrid w:val="0"/>
                      <w:kern w:val="0"/>
                    </w:rPr>
                    <w:t>11.03</w:t>
                  </w:r>
                </w:p>
              </w:tc>
              <w:tc>
                <w:tcPr>
                  <w:tcW w:w="8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kern w:val="0"/>
                    </w:rPr>
                    <w:t>0.25</w:t>
                  </w:r>
                </w:p>
              </w:tc>
              <w:tc>
                <w:tcPr>
                  <w:tcW w:w="8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kern w:val="0"/>
                    </w:rPr>
                    <w:t>0.57</w:t>
                  </w:r>
                </w:p>
              </w:tc>
              <w:tc>
                <w:tcPr>
                  <w:tcW w:w="9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kern w:val="0"/>
                    </w:rPr>
                    <w:t>0.69</w:t>
                  </w:r>
                </w:p>
              </w:tc>
              <w:tc>
                <w:tcPr>
                  <w:tcW w:w="8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kern w:val="0"/>
                    </w:rPr>
                    <w:t>0.37</w:t>
                  </w:r>
                </w:p>
              </w:tc>
              <w:tc>
                <w:tcPr>
                  <w:tcW w:w="8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kern w:val="0"/>
                    </w:rPr>
                    <w:t>0.55</w:t>
                  </w:r>
                </w:p>
              </w:tc>
              <w:tc>
                <w:tcPr>
                  <w:tcW w:w="8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kern w:val="0"/>
                    </w:rPr>
                    <w:t>0.91</w:t>
                  </w:r>
                </w:p>
              </w:tc>
              <w:tc>
                <w:tcPr>
                  <w:tcW w:w="8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kern w:val="0"/>
                    </w:rPr>
                    <w:t>0.01</w:t>
                  </w:r>
                </w:p>
              </w:tc>
              <w:tc>
                <w:tcPr>
                  <w:tcW w:w="11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kern w:val="0"/>
                    </w:rPr>
                    <w:t>ND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5" w:hRule="atLeast"/>
              </w:trPr>
              <w:tc>
                <w:tcPr>
                  <w:tcW w:w="478" w:type="pct"/>
                  <w:vMerge w:val="continue"/>
                  <w:tcBorders>
                    <w:top w:val="single" w:color="000000" w:sz="4" w:space="0"/>
                    <w:left w:val="single" w:color="000000" w:sz="4" w:space="0"/>
                    <w:bottom w:val="single" w:color="000000" w:sz="4" w:space="0"/>
                    <w:right w:val="single" w:color="000000" w:sz="4" w:space="0"/>
                  </w:tcBorders>
                  <w:vAlign w:val="center"/>
                </w:tcPr>
                <w:p>
                  <w:pPr>
                    <w:jc w:val="center"/>
                  </w:pPr>
                </w:p>
              </w:tc>
              <w:tc>
                <w:tcPr>
                  <w:tcW w:w="48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snapToGrid w:val="0"/>
                      <w:kern w:val="0"/>
                    </w:rPr>
                    <w:t>11.04</w:t>
                  </w:r>
                </w:p>
              </w:tc>
              <w:tc>
                <w:tcPr>
                  <w:tcW w:w="8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kern w:val="0"/>
                    </w:rPr>
                    <w:t>0.28</w:t>
                  </w:r>
                </w:p>
              </w:tc>
              <w:tc>
                <w:tcPr>
                  <w:tcW w:w="8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kern w:val="0"/>
                    </w:rPr>
                    <w:t>0.62</w:t>
                  </w:r>
                </w:p>
              </w:tc>
              <w:tc>
                <w:tcPr>
                  <w:tcW w:w="9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kern w:val="0"/>
                    </w:rPr>
                    <w:t>0.77</w:t>
                  </w:r>
                </w:p>
              </w:tc>
              <w:tc>
                <w:tcPr>
                  <w:tcW w:w="8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kern w:val="0"/>
                    </w:rPr>
                    <w:t>0.37</w:t>
                  </w:r>
                </w:p>
              </w:tc>
              <w:tc>
                <w:tcPr>
                  <w:tcW w:w="8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kern w:val="0"/>
                    </w:rPr>
                    <w:t>0.48</w:t>
                  </w:r>
                </w:p>
              </w:tc>
              <w:tc>
                <w:tcPr>
                  <w:tcW w:w="8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kern w:val="0"/>
                    </w:rPr>
                    <w:t>0.92</w:t>
                  </w:r>
                </w:p>
              </w:tc>
              <w:tc>
                <w:tcPr>
                  <w:tcW w:w="8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kern w:val="0"/>
                    </w:rPr>
                    <w:t>0.02</w:t>
                  </w:r>
                </w:p>
              </w:tc>
              <w:tc>
                <w:tcPr>
                  <w:tcW w:w="11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kern w:val="0"/>
                    </w:rPr>
                    <w:t>ND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5" w:hRule="atLeast"/>
              </w:trPr>
              <w:tc>
                <w:tcPr>
                  <w:tcW w:w="478"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snapToGrid w:val="0"/>
                      <w:kern w:val="0"/>
                    </w:rPr>
                    <w:t>W4</w:t>
                  </w:r>
                </w:p>
              </w:tc>
              <w:tc>
                <w:tcPr>
                  <w:tcW w:w="48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snapToGrid w:val="0"/>
                      <w:kern w:val="0"/>
                    </w:rPr>
                    <w:t>11.02</w:t>
                  </w:r>
                </w:p>
              </w:tc>
              <w:tc>
                <w:tcPr>
                  <w:tcW w:w="8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kern w:val="0"/>
                    </w:rPr>
                    <w:t>0.26</w:t>
                  </w:r>
                </w:p>
              </w:tc>
              <w:tc>
                <w:tcPr>
                  <w:tcW w:w="8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kern w:val="0"/>
                    </w:rPr>
                    <w:t>0.67</w:t>
                  </w:r>
                </w:p>
              </w:tc>
              <w:tc>
                <w:tcPr>
                  <w:tcW w:w="9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kern w:val="0"/>
                    </w:rPr>
                    <w:t>0.93</w:t>
                  </w:r>
                </w:p>
              </w:tc>
              <w:tc>
                <w:tcPr>
                  <w:tcW w:w="8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kern w:val="0"/>
                    </w:rPr>
                    <w:t>0.36</w:t>
                  </w:r>
                </w:p>
              </w:tc>
              <w:tc>
                <w:tcPr>
                  <w:tcW w:w="8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kern w:val="0"/>
                    </w:rPr>
                    <w:t>0.41</w:t>
                  </w:r>
                </w:p>
              </w:tc>
              <w:tc>
                <w:tcPr>
                  <w:tcW w:w="8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kern w:val="0"/>
                    </w:rPr>
                    <w:t>0.92</w:t>
                  </w:r>
                </w:p>
              </w:tc>
              <w:tc>
                <w:tcPr>
                  <w:tcW w:w="8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kern w:val="0"/>
                    </w:rPr>
                    <w:t>0.10</w:t>
                  </w:r>
                </w:p>
              </w:tc>
              <w:tc>
                <w:tcPr>
                  <w:tcW w:w="11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kern w:val="0"/>
                    </w:rPr>
                    <w:t>0.01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0" w:hRule="atLeast"/>
              </w:trPr>
              <w:tc>
                <w:tcPr>
                  <w:tcW w:w="478" w:type="pct"/>
                  <w:vMerge w:val="continue"/>
                  <w:tcBorders>
                    <w:top w:val="single" w:color="000000" w:sz="4" w:space="0"/>
                    <w:left w:val="single" w:color="000000" w:sz="4" w:space="0"/>
                    <w:bottom w:val="single" w:color="000000" w:sz="4" w:space="0"/>
                    <w:right w:val="single" w:color="000000" w:sz="4" w:space="0"/>
                  </w:tcBorders>
                  <w:vAlign w:val="center"/>
                </w:tcPr>
                <w:p>
                  <w:pPr>
                    <w:jc w:val="center"/>
                  </w:pPr>
                </w:p>
              </w:tc>
              <w:tc>
                <w:tcPr>
                  <w:tcW w:w="48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snapToGrid w:val="0"/>
                      <w:kern w:val="0"/>
                    </w:rPr>
                    <w:t>11.03</w:t>
                  </w:r>
                </w:p>
              </w:tc>
              <w:tc>
                <w:tcPr>
                  <w:tcW w:w="8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kern w:val="0"/>
                    </w:rPr>
                    <w:t>0.25</w:t>
                  </w:r>
                </w:p>
              </w:tc>
              <w:tc>
                <w:tcPr>
                  <w:tcW w:w="8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kern w:val="0"/>
                    </w:rPr>
                    <w:t>0.62</w:t>
                  </w:r>
                </w:p>
              </w:tc>
              <w:tc>
                <w:tcPr>
                  <w:tcW w:w="9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kern w:val="0"/>
                    </w:rPr>
                    <w:t>0.91</w:t>
                  </w:r>
                </w:p>
              </w:tc>
              <w:tc>
                <w:tcPr>
                  <w:tcW w:w="8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kern w:val="0"/>
                    </w:rPr>
                    <w:t>0.31</w:t>
                  </w:r>
                </w:p>
              </w:tc>
              <w:tc>
                <w:tcPr>
                  <w:tcW w:w="8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kern w:val="0"/>
                    </w:rPr>
                    <w:t>0.39</w:t>
                  </w:r>
                </w:p>
              </w:tc>
              <w:tc>
                <w:tcPr>
                  <w:tcW w:w="8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kern w:val="0"/>
                    </w:rPr>
                    <w:t>0.93</w:t>
                  </w:r>
                </w:p>
              </w:tc>
              <w:tc>
                <w:tcPr>
                  <w:tcW w:w="8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kern w:val="0"/>
                    </w:rPr>
                    <w:t>0.10</w:t>
                  </w:r>
                </w:p>
              </w:tc>
              <w:tc>
                <w:tcPr>
                  <w:tcW w:w="11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kern w:val="0"/>
                    </w:rPr>
                    <w:t>0.01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478" w:type="pct"/>
                  <w:vMerge w:val="continue"/>
                  <w:tcBorders>
                    <w:top w:val="single" w:color="000000" w:sz="4" w:space="0"/>
                    <w:left w:val="single" w:color="000000" w:sz="4" w:space="0"/>
                    <w:bottom w:val="single" w:color="000000" w:sz="4" w:space="0"/>
                    <w:right w:val="single" w:color="000000" w:sz="4" w:space="0"/>
                  </w:tcBorders>
                  <w:vAlign w:val="center"/>
                </w:tcPr>
                <w:p>
                  <w:pPr>
                    <w:jc w:val="center"/>
                  </w:pPr>
                </w:p>
              </w:tc>
              <w:tc>
                <w:tcPr>
                  <w:tcW w:w="48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snapToGrid w:val="0"/>
                      <w:kern w:val="0"/>
                    </w:rPr>
                    <w:t>11.04</w:t>
                  </w:r>
                </w:p>
              </w:tc>
              <w:tc>
                <w:tcPr>
                  <w:tcW w:w="8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kern w:val="0"/>
                    </w:rPr>
                    <w:t>0.28</w:t>
                  </w:r>
                </w:p>
              </w:tc>
              <w:tc>
                <w:tcPr>
                  <w:tcW w:w="8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kern w:val="0"/>
                    </w:rPr>
                    <w:t>0.67</w:t>
                  </w:r>
                </w:p>
              </w:tc>
              <w:tc>
                <w:tcPr>
                  <w:tcW w:w="9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kern w:val="0"/>
                    </w:rPr>
                    <w:t>0.93</w:t>
                  </w:r>
                </w:p>
              </w:tc>
              <w:tc>
                <w:tcPr>
                  <w:tcW w:w="8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kern w:val="0"/>
                    </w:rPr>
                    <w:t>0.36</w:t>
                  </w:r>
                </w:p>
              </w:tc>
              <w:tc>
                <w:tcPr>
                  <w:tcW w:w="8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kern w:val="0"/>
                    </w:rPr>
                    <w:t>0.42</w:t>
                  </w:r>
                </w:p>
              </w:tc>
              <w:tc>
                <w:tcPr>
                  <w:tcW w:w="8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kern w:val="0"/>
                    </w:rPr>
                    <w:t>0.94</w:t>
                  </w:r>
                </w:p>
              </w:tc>
              <w:tc>
                <w:tcPr>
                  <w:tcW w:w="8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kern w:val="0"/>
                    </w:rPr>
                    <w:t>0.11</w:t>
                  </w:r>
                </w:p>
              </w:tc>
              <w:tc>
                <w:tcPr>
                  <w:tcW w:w="11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kern w:val="0"/>
                    </w:rPr>
                    <w:t>0.01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478"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snapToGrid w:val="0"/>
                      <w:kern w:val="0"/>
                    </w:rPr>
                    <w:t>W5</w:t>
                  </w:r>
                </w:p>
              </w:tc>
              <w:tc>
                <w:tcPr>
                  <w:tcW w:w="48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snapToGrid w:val="0"/>
                      <w:kern w:val="0"/>
                    </w:rPr>
                    <w:t>11.02</w:t>
                  </w:r>
                </w:p>
              </w:tc>
              <w:tc>
                <w:tcPr>
                  <w:tcW w:w="8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kern w:val="0"/>
                    </w:rPr>
                    <w:t>0.26</w:t>
                  </w:r>
                </w:p>
              </w:tc>
              <w:tc>
                <w:tcPr>
                  <w:tcW w:w="8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kern w:val="0"/>
                    </w:rPr>
                    <w:t>0.62</w:t>
                  </w:r>
                </w:p>
              </w:tc>
              <w:tc>
                <w:tcPr>
                  <w:tcW w:w="9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kern w:val="0"/>
                    </w:rPr>
                    <w:t>0.83</w:t>
                  </w:r>
                </w:p>
              </w:tc>
              <w:tc>
                <w:tcPr>
                  <w:tcW w:w="8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kern w:val="0"/>
                    </w:rPr>
                    <w:t>0.21</w:t>
                  </w:r>
                </w:p>
              </w:tc>
              <w:tc>
                <w:tcPr>
                  <w:tcW w:w="8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kern w:val="0"/>
                    </w:rPr>
                    <w:t>0.42</w:t>
                  </w:r>
                </w:p>
              </w:tc>
              <w:tc>
                <w:tcPr>
                  <w:tcW w:w="8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kern w:val="0"/>
                    </w:rPr>
                    <w:t>0.88</w:t>
                  </w:r>
                </w:p>
              </w:tc>
              <w:tc>
                <w:tcPr>
                  <w:tcW w:w="8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kern w:val="0"/>
                    </w:rPr>
                    <w:t>0.04</w:t>
                  </w:r>
                </w:p>
              </w:tc>
              <w:tc>
                <w:tcPr>
                  <w:tcW w:w="11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kern w:val="0"/>
                    </w:rPr>
                    <w:t>0.01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478" w:type="pct"/>
                  <w:vMerge w:val="continue"/>
                  <w:tcBorders>
                    <w:top w:val="single" w:color="000000" w:sz="4" w:space="0"/>
                    <w:left w:val="single" w:color="000000" w:sz="4" w:space="0"/>
                    <w:bottom w:val="single" w:color="000000" w:sz="4" w:space="0"/>
                    <w:right w:val="single" w:color="000000" w:sz="4" w:space="0"/>
                  </w:tcBorders>
                  <w:vAlign w:val="center"/>
                </w:tcPr>
                <w:p>
                  <w:pPr>
                    <w:jc w:val="center"/>
                  </w:pPr>
                </w:p>
              </w:tc>
              <w:tc>
                <w:tcPr>
                  <w:tcW w:w="48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snapToGrid w:val="0"/>
                      <w:kern w:val="0"/>
                    </w:rPr>
                    <w:t>11.03</w:t>
                  </w:r>
                </w:p>
              </w:tc>
              <w:tc>
                <w:tcPr>
                  <w:tcW w:w="8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kern w:val="0"/>
                    </w:rPr>
                    <w:t>0.26</w:t>
                  </w:r>
                </w:p>
              </w:tc>
              <w:tc>
                <w:tcPr>
                  <w:tcW w:w="8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kern w:val="0"/>
                    </w:rPr>
                    <w:t>0.57</w:t>
                  </w:r>
                </w:p>
              </w:tc>
              <w:tc>
                <w:tcPr>
                  <w:tcW w:w="9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kern w:val="0"/>
                    </w:rPr>
                    <w:t>0.87</w:t>
                  </w:r>
                </w:p>
              </w:tc>
              <w:tc>
                <w:tcPr>
                  <w:tcW w:w="8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kern w:val="0"/>
                    </w:rPr>
                    <w:t>0.21</w:t>
                  </w:r>
                </w:p>
              </w:tc>
              <w:tc>
                <w:tcPr>
                  <w:tcW w:w="8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kern w:val="0"/>
                    </w:rPr>
                    <w:t>0.42</w:t>
                  </w:r>
                </w:p>
              </w:tc>
              <w:tc>
                <w:tcPr>
                  <w:tcW w:w="8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kern w:val="0"/>
                    </w:rPr>
                    <w:t>0.88</w:t>
                  </w:r>
                </w:p>
              </w:tc>
              <w:tc>
                <w:tcPr>
                  <w:tcW w:w="8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kern w:val="0"/>
                    </w:rPr>
                    <w:t>0.04</w:t>
                  </w:r>
                </w:p>
              </w:tc>
              <w:tc>
                <w:tcPr>
                  <w:tcW w:w="11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kern w:val="0"/>
                    </w:rPr>
                    <w:t>0.01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5" w:hRule="atLeast"/>
              </w:trPr>
              <w:tc>
                <w:tcPr>
                  <w:tcW w:w="478" w:type="pct"/>
                  <w:vMerge w:val="continue"/>
                  <w:tcBorders>
                    <w:top w:val="single" w:color="000000" w:sz="4" w:space="0"/>
                    <w:left w:val="single" w:color="000000" w:sz="4" w:space="0"/>
                    <w:bottom w:val="single" w:color="000000" w:sz="4" w:space="0"/>
                    <w:right w:val="single" w:color="000000" w:sz="4" w:space="0"/>
                  </w:tcBorders>
                  <w:vAlign w:val="center"/>
                </w:tcPr>
                <w:p>
                  <w:pPr>
                    <w:jc w:val="center"/>
                  </w:pPr>
                </w:p>
              </w:tc>
              <w:tc>
                <w:tcPr>
                  <w:tcW w:w="481"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snapToGrid w:val="0"/>
                      <w:kern w:val="0"/>
                    </w:rPr>
                    <w:t>11.04</w:t>
                  </w:r>
                </w:p>
              </w:tc>
              <w:tc>
                <w:tcPr>
                  <w:tcW w:w="8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kern w:val="0"/>
                    </w:rPr>
                    <w:t>0.28</w:t>
                  </w:r>
                </w:p>
              </w:tc>
              <w:tc>
                <w:tcPr>
                  <w:tcW w:w="8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kern w:val="0"/>
                    </w:rPr>
                    <w:t>0.57</w:t>
                  </w:r>
                </w:p>
              </w:tc>
              <w:tc>
                <w:tcPr>
                  <w:tcW w:w="9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kern w:val="0"/>
                    </w:rPr>
                    <w:t>0.87</w:t>
                  </w:r>
                </w:p>
              </w:tc>
              <w:tc>
                <w:tcPr>
                  <w:tcW w:w="8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kern w:val="0"/>
                    </w:rPr>
                    <w:t>0.21</w:t>
                  </w:r>
                </w:p>
              </w:tc>
              <w:tc>
                <w:tcPr>
                  <w:tcW w:w="8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kern w:val="0"/>
                    </w:rPr>
                    <w:t>0.41</w:t>
                  </w:r>
                </w:p>
              </w:tc>
              <w:tc>
                <w:tcPr>
                  <w:tcW w:w="8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kern w:val="0"/>
                    </w:rPr>
                    <w:t>0.88</w:t>
                  </w:r>
                </w:p>
              </w:tc>
              <w:tc>
                <w:tcPr>
                  <w:tcW w:w="8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kern w:val="0"/>
                    </w:rPr>
                    <w:t>0.04</w:t>
                  </w:r>
                </w:p>
              </w:tc>
              <w:tc>
                <w:tcPr>
                  <w:tcW w:w="11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pPr>
                  <w:r>
                    <w:rPr>
                      <w:kern w:val="0"/>
                    </w:rPr>
                    <w:t>0.01</w:t>
                  </w:r>
                </w:p>
              </w:tc>
            </w:tr>
          </w:tbl>
          <w:p>
            <w:pPr>
              <w:spacing w:line="360" w:lineRule="auto"/>
              <w:ind w:firstLine="480" w:firstLineChars="200"/>
              <w:rPr>
                <w:sz w:val="24"/>
                <w:szCs w:val="24"/>
              </w:rPr>
            </w:pPr>
            <w:r>
              <w:rPr>
                <w:sz w:val="24"/>
                <w:szCs w:val="24"/>
              </w:rPr>
              <w:t>根据上表，运粮河各监测断面的各项监测因子对应的最大污染指数均小于1，因此，运粮河水质能够满足《地表水环境质量标准》（GB3838-2002）中Ⅴ类标准。</w:t>
            </w:r>
          </w:p>
          <w:p>
            <w:pPr>
              <w:spacing w:line="360" w:lineRule="auto"/>
              <w:ind w:firstLine="482" w:firstLineChars="200"/>
              <w:rPr>
                <w:b/>
                <w:bCs/>
                <w:sz w:val="24"/>
                <w:szCs w:val="24"/>
              </w:rPr>
            </w:pPr>
            <w:r>
              <w:rPr>
                <w:rFonts w:hint="eastAsia"/>
                <w:b/>
                <w:bCs/>
                <w:sz w:val="24"/>
                <w:szCs w:val="24"/>
              </w:rPr>
              <w:t>3、</w:t>
            </w:r>
            <w:r>
              <w:rPr>
                <w:b/>
                <w:bCs/>
                <w:sz w:val="24"/>
                <w:szCs w:val="24"/>
              </w:rPr>
              <w:t>声环境</w:t>
            </w:r>
          </w:p>
          <w:p>
            <w:pPr>
              <w:spacing w:line="360" w:lineRule="auto"/>
              <w:ind w:firstLine="480" w:firstLineChars="200"/>
              <w:rPr>
                <w:rFonts w:ascii="宋体" w:hAnsi="宋体" w:cs="宋体"/>
                <w:color w:val="C0504D" w:themeColor="accent2"/>
                <w:sz w:val="24"/>
                <w:szCs w:val="24"/>
                <w14:textFill>
                  <w14:solidFill>
                    <w14:schemeClr w14:val="accent2"/>
                  </w14:solidFill>
                </w14:textFill>
              </w:rPr>
            </w:pPr>
            <w:r>
              <w:rPr>
                <w:rFonts w:hint="eastAsia" w:ascii="宋体" w:hAnsi="宋体" w:cs="宋体"/>
                <w:color w:val="auto"/>
                <w:sz w:val="24"/>
                <w:szCs w:val="24"/>
              </w:rPr>
              <w:t>根据《建设项目环境影响报告表编制技术指南》（污染影响类）（试行）区域环境质量现状中声环境的相关描述可知，“厂界外周边</w:t>
            </w:r>
            <w:r>
              <w:rPr>
                <w:color w:val="auto"/>
                <w:sz w:val="24"/>
                <w:szCs w:val="24"/>
              </w:rPr>
              <w:t>50</w:t>
            </w:r>
            <w:r>
              <w:rPr>
                <w:rFonts w:hint="eastAsia" w:ascii="宋体" w:hAnsi="宋体" w:cs="宋体"/>
                <w:color w:val="auto"/>
                <w:sz w:val="24"/>
                <w:szCs w:val="24"/>
              </w:rPr>
              <w:t>米范围内存在声环境保护目标的建设项目，应监测保护目标声环境质量现状并评价达标情况”，</w:t>
            </w:r>
            <w:r>
              <w:rPr>
                <w:rStyle w:val="28"/>
                <w:rFonts w:hint="eastAsia"/>
                <w:color w:val="auto"/>
                <w:kern w:val="0"/>
                <w:sz w:val="24"/>
                <w:szCs w:val="24"/>
              </w:rPr>
              <w:t>本项目位于</w:t>
            </w:r>
            <w:r>
              <w:rPr>
                <w:rFonts w:ascii="宋体" w:hAnsi="宋体" w:cs="宋体"/>
                <w:color w:val="auto"/>
                <w:sz w:val="24"/>
                <w:szCs w:val="24"/>
              </w:rPr>
              <w:t>宿州市经济技术开发区金泰路</w:t>
            </w:r>
            <w:r>
              <w:rPr>
                <w:rFonts w:hint="eastAsia" w:ascii="宋体" w:hAnsi="宋体" w:cs="宋体"/>
                <w:color w:val="auto"/>
                <w:sz w:val="24"/>
                <w:szCs w:val="24"/>
              </w:rPr>
              <w:t>，</w:t>
            </w:r>
            <w:r>
              <w:rPr>
                <w:rFonts w:ascii="宋体" w:hAnsi="宋体" w:cs="宋体"/>
                <w:color w:val="auto"/>
                <w:sz w:val="24"/>
                <w:szCs w:val="24"/>
              </w:rPr>
              <w:t>距离本项目厂界外</w:t>
            </w:r>
            <w:r>
              <w:rPr>
                <w:color w:val="auto"/>
                <w:sz w:val="24"/>
                <w:szCs w:val="24"/>
              </w:rPr>
              <w:t>50m</w:t>
            </w:r>
            <w:r>
              <w:rPr>
                <w:rFonts w:ascii="宋体" w:hAnsi="宋体" w:cs="宋体"/>
                <w:color w:val="auto"/>
                <w:sz w:val="24"/>
                <w:szCs w:val="24"/>
              </w:rPr>
              <w:t>范围内无居民点、自然风景保护区等敏感点</w:t>
            </w:r>
            <w:r>
              <w:rPr>
                <w:rFonts w:hint="eastAsia" w:ascii="宋体" w:hAnsi="宋体" w:cs="宋体"/>
                <w:color w:val="auto"/>
                <w:sz w:val="24"/>
                <w:szCs w:val="24"/>
              </w:rPr>
              <w:t>，不用进行声环境质量现状评价。</w:t>
            </w:r>
          </w:p>
          <w:p>
            <w:pPr>
              <w:spacing w:line="360" w:lineRule="auto"/>
              <w:ind w:firstLine="480" w:firstLineChars="200"/>
              <w:rPr>
                <w:rFonts w:ascii="宋体" w:hAnsi="宋体" w:cs="宋体"/>
                <w:color w:val="C0504D" w:themeColor="accent2"/>
                <w:sz w:val="24"/>
                <w:szCs w:val="24"/>
                <w14:textFill>
                  <w14:solidFill>
                    <w14:schemeClr w14:val="accent2"/>
                  </w14:solidFill>
                </w14:textFill>
              </w:rPr>
            </w:pPr>
          </w:p>
          <w:p>
            <w:pPr>
              <w:spacing w:line="360" w:lineRule="auto"/>
              <w:ind w:firstLine="480" w:firstLineChars="200"/>
              <w:rPr>
                <w:rFonts w:ascii="宋体" w:hAnsi="宋体" w:cs="宋体"/>
                <w:color w:val="C0504D" w:themeColor="accent2"/>
                <w:sz w:val="24"/>
                <w:szCs w:val="24"/>
                <w14:textFill>
                  <w14:solidFill>
                    <w14:schemeClr w14:val="accent2"/>
                  </w14:solidFill>
                </w14:textFill>
              </w:rPr>
            </w:pPr>
          </w:p>
          <w:p>
            <w:pPr>
              <w:spacing w:line="360" w:lineRule="auto"/>
              <w:ind w:firstLine="480" w:firstLineChars="200"/>
              <w:rPr>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251" w:hRule="atLeast"/>
          <w:jc w:val="center"/>
        </w:trPr>
        <w:tc>
          <w:tcPr>
            <w:tcW w:w="800" w:type="dxa"/>
            <w:vAlign w:val="center"/>
          </w:tcPr>
          <w:p>
            <w:pPr>
              <w:adjustRightInd w:val="0"/>
              <w:snapToGrid w:val="0"/>
              <w:jc w:val="center"/>
              <w:rPr>
                <w:kern w:val="0"/>
              </w:rPr>
            </w:pPr>
            <w:r>
              <w:rPr>
                <w:kern w:val="0"/>
              </w:rPr>
              <w:t>环境</w:t>
            </w:r>
          </w:p>
          <w:p>
            <w:pPr>
              <w:adjustRightInd w:val="0"/>
              <w:snapToGrid w:val="0"/>
              <w:jc w:val="center"/>
              <w:rPr>
                <w:kern w:val="0"/>
              </w:rPr>
            </w:pPr>
            <w:r>
              <w:rPr>
                <w:kern w:val="0"/>
              </w:rPr>
              <w:t>保护</w:t>
            </w:r>
          </w:p>
          <w:p>
            <w:pPr>
              <w:adjustRightInd w:val="0"/>
              <w:snapToGrid w:val="0"/>
              <w:jc w:val="center"/>
              <w:rPr>
                <w:kern w:val="0"/>
              </w:rPr>
            </w:pPr>
            <w:r>
              <w:rPr>
                <w:kern w:val="0"/>
              </w:rPr>
              <w:t>目标</w:t>
            </w:r>
          </w:p>
        </w:tc>
        <w:tc>
          <w:tcPr>
            <w:tcW w:w="8190" w:type="dxa"/>
          </w:tcPr>
          <w:p>
            <w:pPr>
              <w:spacing w:line="360" w:lineRule="auto"/>
              <w:ind w:firstLine="480" w:firstLineChars="200"/>
              <w:rPr>
                <w:b/>
                <w:bCs/>
                <w:sz w:val="24"/>
                <w:szCs w:val="24"/>
              </w:rPr>
            </w:pPr>
            <w:r>
              <w:rPr>
                <w:sz w:val="24"/>
                <w:szCs w:val="24"/>
              </w:rPr>
              <w:t>评价范围内无自然保护区、风景旅游点和文物古迹等需要特殊保护的环境敏感对象。总体上不因本项目的实施而改变区域环境现有功能，具体环境保护目标如下：</w:t>
            </w:r>
          </w:p>
          <w:p>
            <w:pPr>
              <w:spacing w:line="360" w:lineRule="auto"/>
              <w:jc w:val="center"/>
              <w:rPr>
                <w:sz w:val="24"/>
                <w:szCs w:val="24"/>
              </w:rPr>
            </w:pPr>
            <w:r>
              <w:rPr>
                <w:b/>
                <w:bCs/>
                <w:sz w:val="24"/>
                <w:szCs w:val="24"/>
              </w:rPr>
              <w:t>表3-</w:t>
            </w:r>
            <w:r>
              <w:rPr>
                <w:rFonts w:hint="eastAsia"/>
                <w:b/>
                <w:bCs/>
                <w:sz w:val="24"/>
                <w:szCs w:val="24"/>
              </w:rPr>
              <w:t>8</w:t>
            </w:r>
            <w:r>
              <w:rPr>
                <w:b/>
                <w:bCs/>
                <w:sz w:val="24"/>
                <w:szCs w:val="24"/>
              </w:rPr>
              <w:t xml:space="preserve">  主要环境保护目标</w:t>
            </w:r>
          </w:p>
          <w:tbl>
            <w:tblPr>
              <w:tblStyle w:val="23"/>
              <w:tblW w:w="5026" w:type="pct"/>
              <w:tblInd w:w="8"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419"/>
              <w:gridCol w:w="780"/>
              <w:gridCol w:w="772"/>
              <w:gridCol w:w="879"/>
              <w:gridCol w:w="915"/>
              <w:gridCol w:w="1469"/>
              <w:gridCol w:w="771"/>
              <w:gridCol w:w="99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887" w:type="pct"/>
                  <w:vMerge w:val="restart"/>
                  <w:tcBorders>
                    <w:top w:val="single" w:color="auto" w:sz="8" w:space="0"/>
                    <w:left w:val="single" w:color="auto" w:sz="8" w:space="0"/>
                    <w:bottom w:val="single" w:color="auto" w:sz="4" w:space="0"/>
                    <w:right w:val="single" w:color="auto" w:sz="4" w:space="0"/>
                  </w:tcBorders>
                  <w:vAlign w:val="center"/>
                </w:tcPr>
                <w:p>
                  <w:pPr>
                    <w:jc w:val="center"/>
                  </w:pPr>
                  <w:r>
                    <w:t>名称</w:t>
                  </w:r>
                </w:p>
              </w:tc>
              <w:tc>
                <w:tcPr>
                  <w:tcW w:w="969" w:type="pct"/>
                  <w:gridSpan w:val="2"/>
                  <w:tcBorders>
                    <w:top w:val="single" w:color="auto" w:sz="8" w:space="0"/>
                    <w:left w:val="single" w:color="auto" w:sz="4" w:space="0"/>
                    <w:bottom w:val="single" w:color="auto" w:sz="4" w:space="0"/>
                    <w:right w:val="single" w:color="auto" w:sz="4" w:space="0"/>
                  </w:tcBorders>
                  <w:vAlign w:val="center"/>
                </w:tcPr>
                <w:p>
                  <w:pPr>
                    <w:jc w:val="center"/>
                  </w:pPr>
                  <w:r>
                    <w:t>坐标（m）</w:t>
                  </w:r>
                </w:p>
              </w:tc>
              <w:tc>
                <w:tcPr>
                  <w:tcW w:w="550" w:type="pct"/>
                  <w:vMerge w:val="restart"/>
                  <w:tcBorders>
                    <w:top w:val="single" w:color="auto" w:sz="8" w:space="0"/>
                    <w:left w:val="single" w:color="auto" w:sz="4" w:space="0"/>
                    <w:bottom w:val="single" w:color="auto" w:sz="4" w:space="0"/>
                    <w:right w:val="single" w:color="auto" w:sz="4" w:space="0"/>
                  </w:tcBorders>
                  <w:vAlign w:val="center"/>
                </w:tcPr>
                <w:p>
                  <w:pPr>
                    <w:jc w:val="center"/>
                  </w:pPr>
                  <w:r>
                    <w:t>保护对象</w:t>
                  </w:r>
                </w:p>
              </w:tc>
              <w:tc>
                <w:tcPr>
                  <w:tcW w:w="572" w:type="pct"/>
                  <w:vMerge w:val="restart"/>
                  <w:tcBorders>
                    <w:top w:val="single" w:color="auto" w:sz="8" w:space="0"/>
                    <w:left w:val="single" w:color="auto" w:sz="4" w:space="0"/>
                    <w:bottom w:val="single" w:color="auto" w:sz="4" w:space="0"/>
                    <w:right w:val="single" w:color="auto" w:sz="4" w:space="0"/>
                  </w:tcBorders>
                  <w:vAlign w:val="center"/>
                </w:tcPr>
                <w:p>
                  <w:pPr>
                    <w:jc w:val="center"/>
                  </w:pPr>
                  <w:r>
                    <w:t>保护内容</w:t>
                  </w:r>
                </w:p>
              </w:tc>
              <w:tc>
                <w:tcPr>
                  <w:tcW w:w="919" w:type="pct"/>
                  <w:vMerge w:val="restart"/>
                  <w:tcBorders>
                    <w:top w:val="single" w:color="auto" w:sz="8" w:space="0"/>
                    <w:left w:val="single" w:color="auto" w:sz="4" w:space="0"/>
                    <w:bottom w:val="single" w:color="auto" w:sz="4" w:space="0"/>
                    <w:right w:val="single" w:color="auto" w:sz="4" w:space="0"/>
                  </w:tcBorders>
                  <w:vAlign w:val="center"/>
                </w:tcPr>
                <w:p>
                  <w:pPr>
                    <w:jc w:val="center"/>
                  </w:pPr>
                  <w:r>
                    <w:t>环境功能区</w:t>
                  </w:r>
                </w:p>
              </w:tc>
              <w:tc>
                <w:tcPr>
                  <w:tcW w:w="482" w:type="pct"/>
                  <w:vMerge w:val="restart"/>
                  <w:tcBorders>
                    <w:top w:val="single" w:color="auto" w:sz="8" w:space="0"/>
                    <w:left w:val="single" w:color="auto" w:sz="4" w:space="0"/>
                    <w:bottom w:val="single" w:color="auto" w:sz="4" w:space="0"/>
                    <w:right w:val="single" w:color="auto" w:sz="4" w:space="0"/>
                  </w:tcBorders>
                  <w:vAlign w:val="center"/>
                </w:tcPr>
                <w:p>
                  <w:pPr>
                    <w:jc w:val="center"/>
                  </w:pPr>
                  <w:r>
                    <w:t>相对厂址方位</w:t>
                  </w:r>
                </w:p>
              </w:tc>
              <w:tc>
                <w:tcPr>
                  <w:tcW w:w="619" w:type="pct"/>
                  <w:vMerge w:val="restart"/>
                  <w:tcBorders>
                    <w:top w:val="single" w:color="auto" w:sz="8" w:space="0"/>
                    <w:left w:val="single" w:color="auto" w:sz="4" w:space="0"/>
                    <w:bottom w:val="single" w:color="auto" w:sz="4" w:space="0"/>
                    <w:right w:val="single" w:color="auto" w:sz="8" w:space="0"/>
                  </w:tcBorders>
                  <w:vAlign w:val="center"/>
                </w:tcPr>
                <w:p>
                  <w:pPr>
                    <w:jc w:val="center"/>
                  </w:pPr>
                  <w:r>
                    <w:t>相对厂界距离（m）</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887" w:type="pct"/>
                  <w:vMerge w:val="continue"/>
                  <w:tcBorders>
                    <w:top w:val="single" w:color="auto" w:sz="8" w:space="0"/>
                    <w:left w:val="single" w:color="auto" w:sz="8" w:space="0"/>
                    <w:bottom w:val="single" w:color="auto" w:sz="4" w:space="0"/>
                    <w:right w:val="single" w:color="auto" w:sz="4" w:space="0"/>
                  </w:tcBorders>
                  <w:vAlign w:val="center"/>
                </w:tcPr>
                <w:p>
                  <w:pPr>
                    <w:widowControl/>
                    <w:jc w:val="left"/>
                  </w:pPr>
                </w:p>
              </w:tc>
              <w:tc>
                <w:tcPr>
                  <w:tcW w:w="487" w:type="pct"/>
                  <w:tcBorders>
                    <w:top w:val="single" w:color="auto" w:sz="4" w:space="0"/>
                    <w:left w:val="single" w:color="auto" w:sz="4" w:space="0"/>
                    <w:bottom w:val="single" w:color="auto" w:sz="4" w:space="0"/>
                    <w:right w:val="single" w:color="auto" w:sz="4" w:space="0"/>
                  </w:tcBorders>
                  <w:vAlign w:val="center"/>
                </w:tcPr>
                <w:p>
                  <w:pPr>
                    <w:jc w:val="center"/>
                  </w:pPr>
                  <w:r>
                    <w:t>X</w:t>
                  </w:r>
                </w:p>
              </w:tc>
              <w:tc>
                <w:tcPr>
                  <w:tcW w:w="482" w:type="pct"/>
                  <w:tcBorders>
                    <w:top w:val="single" w:color="auto" w:sz="4" w:space="0"/>
                    <w:left w:val="single" w:color="auto" w:sz="4" w:space="0"/>
                    <w:bottom w:val="single" w:color="auto" w:sz="4" w:space="0"/>
                    <w:right w:val="single" w:color="auto" w:sz="4" w:space="0"/>
                  </w:tcBorders>
                  <w:vAlign w:val="center"/>
                </w:tcPr>
                <w:p>
                  <w:pPr>
                    <w:jc w:val="center"/>
                  </w:pPr>
                  <w:r>
                    <w:t>Y</w:t>
                  </w:r>
                </w:p>
              </w:tc>
              <w:tc>
                <w:tcPr>
                  <w:tcW w:w="550" w:type="pct"/>
                  <w:vMerge w:val="continue"/>
                  <w:tcBorders>
                    <w:top w:val="single" w:color="auto" w:sz="8" w:space="0"/>
                    <w:left w:val="single" w:color="auto" w:sz="4" w:space="0"/>
                    <w:bottom w:val="single" w:color="auto" w:sz="4" w:space="0"/>
                    <w:right w:val="single" w:color="auto" w:sz="4" w:space="0"/>
                  </w:tcBorders>
                  <w:vAlign w:val="center"/>
                </w:tcPr>
                <w:p>
                  <w:pPr>
                    <w:widowControl/>
                    <w:jc w:val="left"/>
                  </w:pPr>
                </w:p>
              </w:tc>
              <w:tc>
                <w:tcPr>
                  <w:tcW w:w="572" w:type="pct"/>
                  <w:vMerge w:val="continue"/>
                  <w:tcBorders>
                    <w:top w:val="single" w:color="auto" w:sz="8" w:space="0"/>
                    <w:left w:val="single" w:color="auto" w:sz="4" w:space="0"/>
                    <w:bottom w:val="single" w:color="auto" w:sz="4" w:space="0"/>
                    <w:right w:val="single" w:color="auto" w:sz="4" w:space="0"/>
                  </w:tcBorders>
                  <w:vAlign w:val="center"/>
                </w:tcPr>
                <w:p>
                  <w:pPr>
                    <w:widowControl/>
                    <w:jc w:val="left"/>
                  </w:pPr>
                </w:p>
              </w:tc>
              <w:tc>
                <w:tcPr>
                  <w:tcW w:w="919" w:type="pct"/>
                  <w:vMerge w:val="continue"/>
                  <w:tcBorders>
                    <w:top w:val="single" w:color="auto" w:sz="8" w:space="0"/>
                    <w:left w:val="single" w:color="auto" w:sz="4" w:space="0"/>
                    <w:bottom w:val="single" w:color="auto" w:sz="4" w:space="0"/>
                    <w:right w:val="single" w:color="auto" w:sz="4" w:space="0"/>
                  </w:tcBorders>
                  <w:vAlign w:val="center"/>
                </w:tcPr>
                <w:p>
                  <w:pPr>
                    <w:widowControl/>
                    <w:jc w:val="left"/>
                  </w:pPr>
                </w:p>
              </w:tc>
              <w:tc>
                <w:tcPr>
                  <w:tcW w:w="482" w:type="pct"/>
                  <w:vMerge w:val="continue"/>
                  <w:tcBorders>
                    <w:top w:val="single" w:color="auto" w:sz="8" w:space="0"/>
                    <w:left w:val="single" w:color="auto" w:sz="4" w:space="0"/>
                    <w:bottom w:val="single" w:color="auto" w:sz="4" w:space="0"/>
                    <w:right w:val="single" w:color="auto" w:sz="4" w:space="0"/>
                  </w:tcBorders>
                  <w:vAlign w:val="center"/>
                </w:tcPr>
                <w:p>
                  <w:pPr>
                    <w:widowControl/>
                    <w:jc w:val="left"/>
                  </w:pPr>
                </w:p>
              </w:tc>
              <w:tc>
                <w:tcPr>
                  <w:tcW w:w="619" w:type="pct"/>
                  <w:vMerge w:val="continue"/>
                  <w:tcBorders>
                    <w:top w:val="single" w:color="auto" w:sz="8" w:space="0"/>
                    <w:left w:val="single" w:color="auto" w:sz="4" w:space="0"/>
                    <w:bottom w:val="single" w:color="auto" w:sz="4" w:space="0"/>
                    <w:right w:val="single" w:color="auto" w:sz="8" w:space="0"/>
                  </w:tcBorders>
                  <w:vAlign w:val="center"/>
                </w:tcPr>
                <w:p>
                  <w:pPr>
                    <w:widowControl/>
                    <w:jc w:val="left"/>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4" w:hRule="atLeast"/>
              </w:trPr>
              <w:tc>
                <w:tcPr>
                  <w:tcW w:w="887" w:type="pct"/>
                  <w:tcBorders>
                    <w:top w:val="single" w:color="auto" w:sz="8" w:space="0"/>
                    <w:left w:val="single" w:color="auto" w:sz="8" w:space="0"/>
                    <w:right w:val="single" w:color="auto" w:sz="4" w:space="0"/>
                  </w:tcBorders>
                  <w:vAlign w:val="center"/>
                </w:tcPr>
                <w:p>
                  <w:pPr>
                    <w:autoSpaceDE w:val="0"/>
                    <w:autoSpaceDN w:val="0"/>
                    <w:adjustRightInd w:val="0"/>
                    <w:jc w:val="center"/>
                  </w:pPr>
                  <w:r>
                    <w:rPr>
                      <w:rFonts w:hint="eastAsia"/>
                    </w:rPr>
                    <w:t>环境空气</w:t>
                  </w:r>
                </w:p>
              </w:tc>
              <w:tc>
                <w:tcPr>
                  <w:tcW w:w="487" w:type="pct"/>
                  <w:tcBorders>
                    <w:top w:val="single" w:color="auto" w:sz="4" w:space="0"/>
                    <w:left w:val="single" w:color="auto" w:sz="4" w:space="0"/>
                    <w:right w:val="single" w:color="auto" w:sz="4" w:space="0"/>
                  </w:tcBorders>
                  <w:vAlign w:val="center"/>
                </w:tcPr>
                <w:p>
                  <w:pPr>
                    <w:pStyle w:val="30"/>
                    <w:jc w:val="center"/>
                    <w:rPr>
                      <w:rFonts w:ascii="Times New Roman" w:hAnsi="Times New Roman" w:cs="Times New Roman"/>
                      <w:color w:val="auto"/>
                      <w:sz w:val="21"/>
                      <w:szCs w:val="21"/>
                    </w:rPr>
                  </w:pPr>
                  <w:r>
                    <w:rPr>
                      <w:rFonts w:hint="eastAsia" w:ascii="Times New Roman" w:hAnsi="Times New Roman" w:cs="Times New Roman"/>
                      <w:color w:val="auto"/>
                      <w:sz w:val="21"/>
                      <w:szCs w:val="21"/>
                    </w:rPr>
                    <w:t>/</w:t>
                  </w:r>
                </w:p>
              </w:tc>
              <w:tc>
                <w:tcPr>
                  <w:tcW w:w="482" w:type="pct"/>
                  <w:tcBorders>
                    <w:top w:val="single" w:color="auto" w:sz="4" w:space="0"/>
                    <w:left w:val="single" w:color="auto" w:sz="4" w:space="0"/>
                    <w:right w:val="single" w:color="auto" w:sz="4" w:space="0"/>
                  </w:tcBorders>
                  <w:vAlign w:val="center"/>
                </w:tcPr>
                <w:p>
                  <w:pPr>
                    <w:pStyle w:val="30"/>
                    <w:jc w:val="center"/>
                    <w:rPr>
                      <w:rFonts w:ascii="Times New Roman" w:hAnsi="Times New Roman" w:cs="Times New Roman"/>
                      <w:color w:val="auto"/>
                      <w:sz w:val="21"/>
                      <w:szCs w:val="21"/>
                    </w:rPr>
                  </w:pPr>
                  <w:r>
                    <w:rPr>
                      <w:rFonts w:hint="eastAsia" w:ascii="Times New Roman" w:hAnsi="Times New Roman" w:cs="Times New Roman"/>
                      <w:color w:val="auto"/>
                      <w:sz w:val="21"/>
                      <w:szCs w:val="21"/>
                    </w:rPr>
                    <w:t>/</w:t>
                  </w:r>
                </w:p>
              </w:tc>
              <w:tc>
                <w:tcPr>
                  <w:tcW w:w="550" w:type="pct"/>
                  <w:tcBorders>
                    <w:top w:val="single" w:color="auto" w:sz="8" w:space="0"/>
                    <w:left w:val="single" w:color="auto" w:sz="4" w:space="0"/>
                    <w:right w:val="single" w:color="auto" w:sz="4" w:space="0"/>
                  </w:tcBorders>
                  <w:vAlign w:val="center"/>
                </w:tcPr>
                <w:p>
                  <w:pPr>
                    <w:jc w:val="center"/>
                  </w:pPr>
                  <w:r>
                    <w:rPr>
                      <w:rFonts w:hint="eastAsia"/>
                    </w:rPr>
                    <w:t>/</w:t>
                  </w:r>
                </w:p>
              </w:tc>
              <w:tc>
                <w:tcPr>
                  <w:tcW w:w="572" w:type="pct"/>
                  <w:tcBorders>
                    <w:top w:val="single" w:color="auto" w:sz="8" w:space="0"/>
                    <w:left w:val="single" w:color="auto" w:sz="4" w:space="0"/>
                    <w:right w:val="single" w:color="auto" w:sz="4" w:space="0"/>
                  </w:tcBorders>
                  <w:vAlign w:val="center"/>
                </w:tcPr>
                <w:p>
                  <w:pPr>
                    <w:jc w:val="center"/>
                  </w:pPr>
                  <w:r>
                    <w:rPr>
                      <w:rFonts w:hint="eastAsia"/>
                    </w:rPr>
                    <w:t>/</w:t>
                  </w:r>
                </w:p>
              </w:tc>
              <w:tc>
                <w:tcPr>
                  <w:tcW w:w="919" w:type="pct"/>
                  <w:tcBorders>
                    <w:top w:val="single" w:color="auto" w:sz="8" w:space="0"/>
                    <w:left w:val="single" w:color="auto" w:sz="4" w:space="0"/>
                    <w:bottom w:val="single" w:color="auto" w:sz="4" w:space="0"/>
                    <w:right w:val="single" w:color="auto" w:sz="4" w:space="0"/>
                  </w:tcBorders>
                  <w:vAlign w:val="center"/>
                </w:tcPr>
                <w:p>
                  <w:pPr>
                    <w:jc w:val="center"/>
                  </w:pPr>
                  <w:r>
                    <w:t>环境空气功能区：二类区</w:t>
                  </w:r>
                </w:p>
              </w:tc>
              <w:tc>
                <w:tcPr>
                  <w:tcW w:w="482" w:type="pct"/>
                  <w:tcBorders>
                    <w:top w:val="single" w:color="auto" w:sz="8" w:space="0"/>
                    <w:left w:val="single" w:color="auto" w:sz="4" w:space="0"/>
                    <w:right w:val="single" w:color="auto" w:sz="4" w:space="0"/>
                  </w:tcBorders>
                  <w:vAlign w:val="center"/>
                </w:tcPr>
                <w:p>
                  <w:pPr>
                    <w:widowControl/>
                    <w:jc w:val="center"/>
                  </w:pPr>
                  <w:r>
                    <w:rPr>
                      <w:rFonts w:hint="eastAsia"/>
                    </w:rPr>
                    <w:t>/</w:t>
                  </w:r>
                </w:p>
              </w:tc>
              <w:tc>
                <w:tcPr>
                  <w:tcW w:w="619" w:type="pct"/>
                  <w:tcBorders>
                    <w:top w:val="single" w:color="auto" w:sz="8" w:space="0"/>
                    <w:left w:val="single" w:color="auto" w:sz="4" w:space="0"/>
                    <w:bottom w:val="single" w:color="auto" w:sz="4" w:space="0"/>
                    <w:right w:val="single" w:color="auto" w:sz="8" w:space="0"/>
                  </w:tcBorders>
                  <w:vAlign w:val="center"/>
                </w:tcPr>
                <w:p>
                  <w:pPr>
                    <w:widowControl/>
                    <w:jc w:val="center"/>
                  </w:pPr>
                  <w:r>
                    <w:rPr>
                      <w:rFonts w:hint="eastAsia"/>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1059" w:hRule="atLeast"/>
              </w:trPr>
              <w:tc>
                <w:tcPr>
                  <w:tcW w:w="887" w:type="pct"/>
                  <w:tcBorders>
                    <w:top w:val="single" w:color="auto" w:sz="4" w:space="0"/>
                    <w:left w:val="single" w:color="auto" w:sz="8" w:space="0"/>
                    <w:bottom w:val="single" w:color="auto" w:sz="4" w:space="0"/>
                    <w:right w:val="single" w:color="auto" w:sz="4" w:space="0"/>
                  </w:tcBorders>
                  <w:vAlign w:val="center"/>
                </w:tcPr>
                <w:p>
                  <w:pPr>
                    <w:jc w:val="center"/>
                  </w:pPr>
                  <w:r>
                    <w:t>运粮河</w:t>
                  </w:r>
                </w:p>
              </w:tc>
              <w:tc>
                <w:tcPr>
                  <w:tcW w:w="487" w:type="pct"/>
                  <w:tcBorders>
                    <w:top w:val="single" w:color="auto" w:sz="4" w:space="0"/>
                    <w:left w:val="single" w:color="auto" w:sz="4" w:space="0"/>
                    <w:bottom w:val="single" w:color="auto" w:sz="4" w:space="0"/>
                    <w:right w:val="single" w:color="auto" w:sz="4" w:space="0"/>
                  </w:tcBorders>
                  <w:vAlign w:val="center"/>
                </w:tcPr>
                <w:p>
                  <w:pPr>
                    <w:jc w:val="center"/>
                  </w:pPr>
                  <w:r>
                    <w:rPr>
                      <w:rFonts w:hint="eastAsia"/>
                    </w:rPr>
                    <w:t>-3667</w:t>
                  </w:r>
                </w:p>
              </w:tc>
              <w:tc>
                <w:tcPr>
                  <w:tcW w:w="482" w:type="pct"/>
                  <w:tcBorders>
                    <w:top w:val="single" w:color="auto" w:sz="4" w:space="0"/>
                    <w:left w:val="single" w:color="auto" w:sz="4" w:space="0"/>
                    <w:bottom w:val="single" w:color="auto" w:sz="4" w:space="0"/>
                    <w:right w:val="single" w:color="auto" w:sz="4" w:space="0"/>
                  </w:tcBorders>
                  <w:vAlign w:val="center"/>
                </w:tcPr>
                <w:p>
                  <w:pPr>
                    <w:jc w:val="center"/>
                  </w:pPr>
                  <w:r>
                    <w:rPr>
                      <w:rFonts w:hint="eastAsia"/>
                    </w:rPr>
                    <w:t>-3062</w:t>
                  </w:r>
                </w:p>
              </w:tc>
              <w:tc>
                <w:tcPr>
                  <w:tcW w:w="550" w:type="pct"/>
                  <w:tcBorders>
                    <w:top w:val="single" w:color="auto" w:sz="4" w:space="0"/>
                    <w:left w:val="single" w:color="auto" w:sz="4" w:space="0"/>
                    <w:bottom w:val="single" w:color="auto" w:sz="4" w:space="0"/>
                    <w:right w:val="single" w:color="auto" w:sz="4" w:space="0"/>
                  </w:tcBorders>
                  <w:vAlign w:val="center"/>
                </w:tcPr>
                <w:p>
                  <w:pPr>
                    <w:jc w:val="center"/>
                  </w:pPr>
                  <w:r>
                    <w:t>河流</w:t>
                  </w:r>
                </w:p>
              </w:tc>
              <w:tc>
                <w:tcPr>
                  <w:tcW w:w="572" w:type="pct"/>
                  <w:tcBorders>
                    <w:top w:val="single" w:color="auto" w:sz="4" w:space="0"/>
                    <w:left w:val="single" w:color="auto" w:sz="4" w:space="0"/>
                    <w:bottom w:val="single" w:color="auto" w:sz="4" w:space="0"/>
                    <w:right w:val="single" w:color="auto" w:sz="4" w:space="0"/>
                  </w:tcBorders>
                  <w:vAlign w:val="center"/>
                </w:tcPr>
                <w:p>
                  <w:pPr>
                    <w:jc w:val="center"/>
                  </w:pPr>
                  <w:r>
                    <w:t>水环境</w:t>
                  </w:r>
                </w:p>
              </w:tc>
              <w:tc>
                <w:tcPr>
                  <w:tcW w:w="919" w:type="pct"/>
                  <w:tcBorders>
                    <w:top w:val="single" w:color="auto" w:sz="4" w:space="0"/>
                    <w:left w:val="single" w:color="auto" w:sz="4" w:space="0"/>
                    <w:bottom w:val="single" w:color="auto" w:sz="4" w:space="0"/>
                    <w:right w:val="single" w:color="auto" w:sz="4" w:space="0"/>
                  </w:tcBorders>
                  <w:vAlign w:val="center"/>
                </w:tcPr>
                <w:p>
                  <w:pPr>
                    <w:jc w:val="center"/>
                  </w:pPr>
                  <w:r>
                    <w:t>地表水环境功能区：V类</w:t>
                  </w:r>
                </w:p>
              </w:tc>
              <w:tc>
                <w:tcPr>
                  <w:tcW w:w="482" w:type="pct"/>
                  <w:tcBorders>
                    <w:top w:val="single" w:color="auto" w:sz="4" w:space="0"/>
                    <w:left w:val="single" w:color="auto" w:sz="4" w:space="0"/>
                    <w:bottom w:val="single" w:color="auto" w:sz="4" w:space="0"/>
                    <w:right w:val="single" w:color="auto" w:sz="4" w:space="0"/>
                  </w:tcBorders>
                  <w:vAlign w:val="center"/>
                </w:tcPr>
                <w:p>
                  <w:pPr>
                    <w:jc w:val="center"/>
                  </w:pPr>
                  <w:r>
                    <w:rPr>
                      <w:rFonts w:hint="eastAsia"/>
                    </w:rPr>
                    <w:t>SW</w:t>
                  </w:r>
                </w:p>
              </w:tc>
              <w:tc>
                <w:tcPr>
                  <w:tcW w:w="619" w:type="pct"/>
                  <w:tcBorders>
                    <w:top w:val="single" w:color="auto" w:sz="4" w:space="0"/>
                    <w:left w:val="single" w:color="auto" w:sz="4" w:space="0"/>
                    <w:bottom w:val="single" w:color="auto" w:sz="4" w:space="0"/>
                    <w:right w:val="single" w:color="auto" w:sz="8" w:space="0"/>
                  </w:tcBorders>
                  <w:vAlign w:val="center"/>
                </w:tcPr>
                <w:p>
                  <w:pPr>
                    <w:jc w:val="center"/>
                  </w:pPr>
                  <w:r>
                    <w:rPr>
                      <w:rFonts w:hint="eastAsia"/>
                    </w:rPr>
                    <w:t>4732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887" w:type="pct"/>
                  <w:tcBorders>
                    <w:top w:val="single" w:color="auto" w:sz="4" w:space="0"/>
                    <w:left w:val="single" w:color="auto" w:sz="8" w:space="0"/>
                    <w:bottom w:val="single" w:color="auto" w:sz="4" w:space="0"/>
                    <w:right w:val="single" w:color="auto" w:sz="4" w:space="0"/>
                  </w:tcBorders>
                  <w:vAlign w:val="center"/>
                </w:tcPr>
                <w:p>
                  <w:pPr>
                    <w:jc w:val="center"/>
                  </w:pPr>
                  <w:r>
                    <w:rPr>
                      <w:rFonts w:hint="eastAsia"/>
                    </w:rPr>
                    <w:t>铁路运河</w:t>
                  </w:r>
                </w:p>
              </w:tc>
              <w:tc>
                <w:tcPr>
                  <w:tcW w:w="487" w:type="pct"/>
                  <w:tcBorders>
                    <w:top w:val="single" w:color="auto" w:sz="4" w:space="0"/>
                    <w:left w:val="single" w:color="auto" w:sz="4" w:space="0"/>
                    <w:bottom w:val="single" w:color="auto" w:sz="4" w:space="0"/>
                    <w:right w:val="single" w:color="auto" w:sz="4" w:space="0"/>
                  </w:tcBorders>
                  <w:vAlign w:val="center"/>
                </w:tcPr>
                <w:p>
                  <w:pPr>
                    <w:jc w:val="center"/>
                  </w:pPr>
                  <w:r>
                    <w:rPr>
                      <w:rFonts w:hint="eastAsia"/>
                    </w:rPr>
                    <w:t>0</w:t>
                  </w:r>
                </w:p>
              </w:tc>
              <w:tc>
                <w:tcPr>
                  <w:tcW w:w="482" w:type="pct"/>
                  <w:tcBorders>
                    <w:top w:val="single" w:color="auto" w:sz="4" w:space="0"/>
                    <w:left w:val="single" w:color="auto" w:sz="4" w:space="0"/>
                    <w:bottom w:val="single" w:color="auto" w:sz="4" w:space="0"/>
                    <w:right w:val="single" w:color="auto" w:sz="4" w:space="0"/>
                  </w:tcBorders>
                  <w:vAlign w:val="center"/>
                </w:tcPr>
                <w:p>
                  <w:pPr>
                    <w:jc w:val="center"/>
                  </w:pPr>
                  <w:r>
                    <w:rPr>
                      <w:rFonts w:hint="eastAsia"/>
                    </w:rPr>
                    <w:t>-127</w:t>
                  </w:r>
                </w:p>
              </w:tc>
              <w:tc>
                <w:tcPr>
                  <w:tcW w:w="550" w:type="pct"/>
                  <w:tcBorders>
                    <w:top w:val="single" w:color="auto" w:sz="4" w:space="0"/>
                    <w:left w:val="single" w:color="auto" w:sz="4" w:space="0"/>
                    <w:bottom w:val="single" w:color="auto" w:sz="4" w:space="0"/>
                    <w:right w:val="single" w:color="auto" w:sz="4" w:space="0"/>
                  </w:tcBorders>
                  <w:vAlign w:val="center"/>
                </w:tcPr>
                <w:p>
                  <w:pPr>
                    <w:jc w:val="center"/>
                  </w:pPr>
                  <w:r>
                    <w:rPr>
                      <w:rFonts w:hint="eastAsia"/>
                    </w:rPr>
                    <w:t>河流</w:t>
                  </w:r>
                </w:p>
              </w:tc>
              <w:tc>
                <w:tcPr>
                  <w:tcW w:w="572" w:type="pct"/>
                  <w:tcBorders>
                    <w:top w:val="single" w:color="auto" w:sz="4" w:space="0"/>
                    <w:left w:val="single" w:color="auto" w:sz="4" w:space="0"/>
                    <w:bottom w:val="single" w:color="auto" w:sz="4" w:space="0"/>
                    <w:right w:val="single" w:color="auto" w:sz="4" w:space="0"/>
                  </w:tcBorders>
                  <w:vAlign w:val="center"/>
                </w:tcPr>
                <w:p>
                  <w:pPr>
                    <w:jc w:val="center"/>
                  </w:pPr>
                  <w:r>
                    <w:t>水环境</w:t>
                  </w:r>
                </w:p>
              </w:tc>
              <w:tc>
                <w:tcPr>
                  <w:tcW w:w="919" w:type="pct"/>
                  <w:tcBorders>
                    <w:top w:val="single" w:color="auto" w:sz="4" w:space="0"/>
                    <w:left w:val="single" w:color="auto" w:sz="4" w:space="0"/>
                    <w:bottom w:val="single" w:color="auto" w:sz="4" w:space="0"/>
                    <w:right w:val="single" w:color="auto" w:sz="4" w:space="0"/>
                  </w:tcBorders>
                  <w:vAlign w:val="center"/>
                </w:tcPr>
                <w:p>
                  <w:pPr>
                    <w:jc w:val="center"/>
                  </w:pPr>
                  <w:r>
                    <w:t>地表水环境功能区：V类</w:t>
                  </w:r>
                </w:p>
              </w:tc>
              <w:tc>
                <w:tcPr>
                  <w:tcW w:w="482" w:type="pct"/>
                  <w:tcBorders>
                    <w:top w:val="single" w:color="auto" w:sz="4" w:space="0"/>
                    <w:left w:val="single" w:color="auto" w:sz="4" w:space="0"/>
                    <w:bottom w:val="single" w:color="auto" w:sz="4" w:space="0"/>
                    <w:right w:val="single" w:color="auto" w:sz="4" w:space="0"/>
                  </w:tcBorders>
                  <w:vAlign w:val="center"/>
                </w:tcPr>
                <w:p>
                  <w:pPr>
                    <w:jc w:val="center"/>
                  </w:pPr>
                  <w:r>
                    <w:rPr>
                      <w:rFonts w:hint="eastAsia"/>
                    </w:rPr>
                    <w:t>S</w:t>
                  </w:r>
                </w:p>
              </w:tc>
              <w:tc>
                <w:tcPr>
                  <w:tcW w:w="619" w:type="pct"/>
                  <w:tcBorders>
                    <w:top w:val="single" w:color="auto" w:sz="4" w:space="0"/>
                    <w:left w:val="single" w:color="auto" w:sz="4" w:space="0"/>
                    <w:bottom w:val="single" w:color="auto" w:sz="4" w:space="0"/>
                    <w:right w:val="single" w:color="auto" w:sz="8" w:space="0"/>
                  </w:tcBorders>
                  <w:vAlign w:val="center"/>
                </w:tcPr>
                <w:p>
                  <w:pPr>
                    <w:jc w:val="center"/>
                  </w:pPr>
                  <w:r>
                    <w:rPr>
                      <w:rFonts w:hint="eastAsia"/>
                    </w:rPr>
                    <w:t>15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827" w:hRule="atLeast"/>
              </w:trPr>
              <w:tc>
                <w:tcPr>
                  <w:tcW w:w="887" w:type="pct"/>
                  <w:tcBorders>
                    <w:top w:val="single" w:color="auto" w:sz="4" w:space="0"/>
                    <w:left w:val="single" w:color="auto" w:sz="8" w:space="0"/>
                    <w:bottom w:val="single" w:color="auto" w:sz="4" w:space="0"/>
                    <w:right w:val="single" w:color="auto" w:sz="4" w:space="0"/>
                  </w:tcBorders>
                  <w:vAlign w:val="center"/>
                </w:tcPr>
                <w:p>
                  <w:pPr>
                    <w:jc w:val="center"/>
                  </w:pPr>
                  <w:r>
                    <w:t>厂界</w:t>
                  </w:r>
                </w:p>
              </w:tc>
              <w:tc>
                <w:tcPr>
                  <w:tcW w:w="487" w:type="pct"/>
                  <w:tcBorders>
                    <w:top w:val="single" w:color="auto" w:sz="4" w:space="0"/>
                    <w:left w:val="single" w:color="auto" w:sz="4" w:space="0"/>
                    <w:bottom w:val="single" w:color="auto" w:sz="4" w:space="0"/>
                    <w:right w:val="single" w:color="auto" w:sz="4" w:space="0"/>
                  </w:tcBorders>
                  <w:vAlign w:val="center"/>
                </w:tcPr>
                <w:p>
                  <w:pPr>
                    <w:jc w:val="center"/>
                  </w:pPr>
                  <w:r>
                    <w:t>/</w:t>
                  </w:r>
                </w:p>
              </w:tc>
              <w:tc>
                <w:tcPr>
                  <w:tcW w:w="482" w:type="pct"/>
                  <w:tcBorders>
                    <w:top w:val="single" w:color="auto" w:sz="4" w:space="0"/>
                    <w:left w:val="single" w:color="auto" w:sz="4" w:space="0"/>
                    <w:bottom w:val="single" w:color="auto" w:sz="4" w:space="0"/>
                    <w:right w:val="single" w:color="auto" w:sz="4" w:space="0"/>
                  </w:tcBorders>
                  <w:vAlign w:val="center"/>
                </w:tcPr>
                <w:p>
                  <w:pPr>
                    <w:jc w:val="center"/>
                  </w:pPr>
                  <w:r>
                    <w:rPr>
                      <w:rFonts w:hint="eastAsia"/>
                    </w:rPr>
                    <w:t>/</w:t>
                  </w:r>
                </w:p>
              </w:tc>
              <w:tc>
                <w:tcPr>
                  <w:tcW w:w="550" w:type="pct"/>
                  <w:tcBorders>
                    <w:top w:val="single" w:color="auto" w:sz="4" w:space="0"/>
                    <w:left w:val="single" w:color="auto" w:sz="4" w:space="0"/>
                    <w:bottom w:val="single" w:color="auto" w:sz="4" w:space="0"/>
                    <w:right w:val="single" w:color="auto" w:sz="4" w:space="0"/>
                  </w:tcBorders>
                  <w:vAlign w:val="center"/>
                </w:tcPr>
                <w:p>
                  <w:pPr>
                    <w:jc w:val="center"/>
                  </w:pPr>
                  <w:r>
                    <w:t>/</w:t>
                  </w:r>
                </w:p>
              </w:tc>
              <w:tc>
                <w:tcPr>
                  <w:tcW w:w="572" w:type="pct"/>
                  <w:tcBorders>
                    <w:top w:val="single" w:color="auto" w:sz="4" w:space="0"/>
                    <w:left w:val="single" w:color="auto" w:sz="4" w:space="0"/>
                    <w:bottom w:val="single" w:color="auto" w:sz="4" w:space="0"/>
                    <w:right w:val="single" w:color="auto" w:sz="4" w:space="0"/>
                  </w:tcBorders>
                  <w:vAlign w:val="center"/>
                </w:tcPr>
                <w:p>
                  <w:pPr>
                    <w:jc w:val="center"/>
                  </w:pPr>
                  <w:r>
                    <w:t>/</w:t>
                  </w:r>
                </w:p>
              </w:tc>
              <w:tc>
                <w:tcPr>
                  <w:tcW w:w="919" w:type="pct"/>
                  <w:tcBorders>
                    <w:top w:val="single" w:color="auto" w:sz="4" w:space="0"/>
                    <w:left w:val="single" w:color="auto" w:sz="4" w:space="0"/>
                    <w:bottom w:val="single" w:color="auto" w:sz="4" w:space="0"/>
                    <w:right w:val="single" w:color="auto" w:sz="4" w:space="0"/>
                  </w:tcBorders>
                  <w:vAlign w:val="center"/>
                </w:tcPr>
                <w:p>
                  <w:pPr>
                    <w:jc w:val="center"/>
                  </w:pPr>
                  <w:r>
                    <w:t>声环境：3类</w:t>
                  </w:r>
                </w:p>
              </w:tc>
              <w:tc>
                <w:tcPr>
                  <w:tcW w:w="482" w:type="pct"/>
                  <w:tcBorders>
                    <w:top w:val="single" w:color="auto" w:sz="4" w:space="0"/>
                    <w:left w:val="single" w:color="auto" w:sz="4" w:space="0"/>
                    <w:bottom w:val="single" w:color="auto" w:sz="4" w:space="0"/>
                    <w:right w:val="single" w:color="auto" w:sz="4" w:space="0"/>
                  </w:tcBorders>
                  <w:vAlign w:val="center"/>
                </w:tcPr>
                <w:p>
                  <w:pPr>
                    <w:jc w:val="center"/>
                  </w:pPr>
                  <w:r>
                    <w:t>/</w:t>
                  </w:r>
                </w:p>
              </w:tc>
              <w:tc>
                <w:tcPr>
                  <w:tcW w:w="619" w:type="pct"/>
                  <w:tcBorders>
                    <w:top w:val="single" w:color="auto" w:sz="4" w:space="0"/>
                    <w:left w:val="single" w:color="auto" w:sz="4" w:space="0"/>
                    <w:bottom w:val="single" w:color="auto" w:sz="4" w:space="0"/>
                    <w:right w:val="single" w:color="auto" w:sz="8" w:space="0"/>
                  </w:tcBorders>
                  <w:vAlign w:val="center"/>
                </w:tcPr>
                <w:p>
                  <w:pPr>
                    <w:jc w:val="center"/>
                  </w:pPr>
                  <w:r>
                    <w:t>/</w:t>
                  </w:r>
                </w:p>
              </w:tc>
            </w:tr>
          </w:tbl>
          <w:p>
            <w:pPr>
              <w:adjustRightInd w:val="0"/>
              <w:snapToGrid w:val="0"/>
              <w:spacing w:line="360" w:lineRule="auto"/>
              <w:ind w:firstLine="420" w:firstLineChars="200"/>
              <w:rPr>
                <w:sz w:val="24"/>
                <w:szCs w:val="24"/>
              </w:rPr>
            </w:pPr>
            <w:r>
              <w:rPr>
                <w:color w:val="auto"/>
              </w:rPr>
              <w:t>注：X、Y坐标原点为</w:t>
            </w:r>
            <w:r>
              <w:rPr>
                <w:rFonts w:hint="eastAsia"/>
                <w:color w:val="auto"/>
              </w:rPr>
              <w:t>厂区</w:t>
            </w:r>
            <w:r>
              <w:rPr>
                <w:color w:val="auto"/>
              </w:rPr>
              <w:t>中心，即地理位置：</w:t>
            </w:r>
            <w:bookmarkStart w:id="2" w:name="OLE_LINK12"/>
            <w:bookmarkStart w:id="3" w:name="OLE_LINK9"/>
            <w:r>
              <w:rPr>
                <w:color w:val="auto"/>
              </w:rPr>
              <w:t>东经</w:t>
            </w:r>
            <w:r>
              <w:rPr>
                <w:rFonts w:hint="eastAsia"/>
                <w:color w:val="auto"/>
              </w:rPr>
              <w:t>117.029597</w:t>
            </w:r>
            <w:r>
              <w:rPr>
                <w:color w:val="auto"/>
              </w:rPr>
              <w:t>°，北纬33</w:t>
            </w:r>
            <w:r>
              <w:rPr>
                <w:rFonts w:hint="eastAsia"/>
                <w:color w:val="auto"/>
              </w:rPr>
              <w:t>.594692</w:t>
            </w:r>
            <w:r>
              <w:rPr>
                <w:color w:val="auto"/>
              </w:rPr>
              <w:t>°</w:t>
            </w:r>
            <w:bookmarkEnd w:id="2"/>
            <w:bookmarkEnd w:id="3"/>
            <w:r>
              <w:rPr>
                <w:color w:val="auto"/>
              </w:rPr>
              <w:t>。</w:t>
            </w:r>
          </w:p>
          <w:p>
            <w:pPr>
              <w:adjustRightInd w:val="0"/>
              <w:snapToGrid w:val="0"/>
              <w:spacing w:line="360" w:lineRule="auto"/>
              <w:ind w:firstLine="480" w:firstLineChars="200"/>
              <w:rPr>
                <w:sz w:val="24"/>
                <w:szCs w:val="24"/>
              </w:rPr>
            </w:pPr>
          </w:p>
          <w:p>
            <w:pPr>
              <w:adjustRightInd w:val="0"/>
              <w:snapToGrid w:val="0"/>
              <w:spacing w:line="360" w:lineRule="auto"/>
              <w:ind w:firstLine="480" w:firstLineChars="200"/>
              <w:rPr>
                <w:sz w:val="24"/>
                <w:szCs w:val="24"/>
              </w:rPr>
            </w:pPr>
          </w:p>
          <w:p>
            <w:pPr>
              <w:adjustRightInd w:val="0"/>
              <w:snapToGrid w:val="0"/>
              <w:spacing w:line="360" w:lineRule="auto"/>
              <w:ind w:firstLine="480" w:firstLineChars="200"/>
              <w:rPr>
                <w:sz w:val="24"/>
                <w:szCs w:val="24"/>
              </w:rPr>
            </w:pPr>
          </w:p>
          <w:p>
            <w:pPr>
              <w:adjustRightInd w:val="0"/>
              <w:snapToGrid w:val="0"/>
              <w:spacing w:line="360" w:lineRule="auto"/>
              <w:ind w:firstLine="480" w:firstLineChars="200"/>
              <w:rPr>
                <w:sz w:val="24"/>
                <w:szCs w:val="24"/>
              </w:rPr>
            </w:pPr>
          </w:p>
          <w:p>
            <w:pPr>
              <w:adjustRightInd w:val="0"/>
              <w:snapToGrid w:val="0"/>
              <w:spacing w:line="360" w:lineRule="auto"/>
              <w:ind w:firstLine="480" w:firstLineChars="200"/>
              <w:rPr>
                <w:sz w:val="24"/>
                <w:szCs w:val="24"/>
              </w:rPr>
            </w:pPr>
          </w:p>
          <w:p>
            <w:pPr>
              <w:adjustRightInd w:val="0"/>
              <w:snapToGrid w:val="0"/>
              <w:spacing w:line="360" w:lineRule="auto"/>
              <w:ind w:firstLine="480" w:firstLineChars="200"/>
              <w:rPr>
                <w:sz w:val="24"/>
                <w:szCs w:val="24"/>
              </w:rPr>
            </w:pPr>
          </w:p>
          <w:p>
            <w:pPr>
              <w:adjustRightInd w:val="0"/>
              <w:snapToGrid w:val="0"/>
              <w:spacing w:line="360" w:lineRule="auto"/>
              <w:ind w:firstLine="480" w:firstLineChars="200"/>
              <w:rPr>
                <w:sz w:val="24"/>
                <w:szCs w:val="24"/>
              </w:rPr>
            </w:pPr>
          </w:p>
          <w:p>
            <w:pPr>
              <w:adjustRightInd w:val="0"/>
              <w:snapToGrid w:val="0"/>
              <w:spacing w:line="360" w:lineRule="auto"/>
              <w:ind w:firstLine="480" w:firstLineChars="200"/>
              <w:rPr>
                <w:sz w:val="24"/>
                <w:szCs w:val="24"/>
              </w:rPr>
            </w:pPr>
          </w:p>
          <w:p>
            <w:pPr>
              <w:adjustRightInd w:val="0"/>
              <w:snapToGrid w:val="0"/>
              <w:spacing w:line="360" w:lineRule="auto"/>
              <w:ind w:firstLine="480" w:firstLineChars="200"/>
              <w:rPr>
                <w:sz w:val="24"/>
                <w:szCs w:val="24"/>
              </w:rPr>
            </w:pPr>
          </w:p>
          <w:p>
            <w:pPr>
              <w:adjustRightInd w:val="0"/>
              <w:snapToGrid w:val="0"/>
              <w:spacing w:line="360" w:lineRule="auto"/>
              <w:rPr>
                <w:kern w:val="0"/>
              </w:rPr>
            </w:pPr>
          </w:p>
          <w:p>
            <w:pPr>
              <w:adjustRightInd w:val="0"/>
              <w:snapToGrid w:val="0"/>
              <w:spacing w:line="360" w:lineRule="auto"/>
              <w:rPr>
                <w:kern w:val="0"/>
              </w:rPr>
            </w:pPr>
          </w:p>
          <w:p>
            <w:pPr>
              <w:adjustRightInd w:val="0"/>
              <w:snapToGrid w:val="0"/>
              <w:spacing w:line="360" w:lineRule="auto"/>
              <w:rPr>
                <w:kern w:val="0"/>
              </w:rPr>
            </w:pPr>
          </w:p>
          <w:p>
            <w:pPr>
              <w:adjustRightInd w:val="0"/>
              <w:snapToGrid w:val="0"/>
              <w:spacing w:line="360" w:lineRule="auto"/>
              <w:rPr>
                <w:kern w:val="0"/>
              </w:rPr>
            </w:pPr>
          </w:p>
          <w:p>
            <w:pPr>
              <w:adjustRightInd w:val="0"/>
              <w:snapToGrid w:val="0"/>
              <w:spacing w:line="360" w:lineRule="auto"/>
              <w:rPr>
                <w:kern w:val="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911" w:hRule="atLeast"/>
          <w:jc w:val="center"/>
        </w:trPr>
        <w:tc>
          <w:tcPr>
            <w:tcW w:w="800" w:type="dxa"/>
            <w:tcMar>
              <w:left w:w="28" w:type="dxa"/>
              <w:right w:w="28" w:type="dxa"/>
            </w:tcMar>
            <w:vAlign w:val="center"/>
          </w:tcPr>
          <w:p>
            <w:pPr>
              <w:adjustRightInd w:val="0"/>
              <w:snapToGrid w:val="0"/>
              <w:jc w:val="center"/>
              <w:rPr>
                <w:kern w:val="0"/>
              </w:rPr>
            </w:pPr>
            <w:r>
              <w:rPr>
                <w:kern w:val="0"/>
              </w:rPr>
              <w:t>污染</w:t>
            </w:r>
          </w:p>
          <w:p>
            <w:pPr>
              <w:adjustRightInd w:val="0"/>
              <w:snapToGrid w:val="0"/>
              <w:jc w:val="center"/>
              <w:rPr>
                <w:kern w:val="0"/>
              </w:rPr>
            </w:pPr>
            <w:r>
              <w:rPr>
                <w:kern w:val="0"/>
              </w:rPr>
              <w:t>物排</w:t>
            </w:r>
          </w:p>
          <w:p>
            <w:pPr>
              <w:adjustRightInd w:val="0"/>
              <w:snapToGrid w:val="0"/>
              <w:jc w:val="center"/>
              <w:rPr>
                <w:kern w:val="0"/>
              </w:rPr>
            </w:pPr>
            <w:r>
              <w:rPr>
                <w:kern w:val="0"/>
              </w:rPr>
              <w:t>放控</w:t>
            </w:r>
          </w:p>
          <w:p>
            <w:pPr>
              <w:adjustRightInd w:val="0"/>
              <w:snapToGrid w:val="0"/>
              <w:jc w:val="center"/>
              <w:rPr>
                <w:kern w:val="0"/>
              </w:rPr>
            </w:pPr>
            <w:r>
              <w:rPr>
                <w:kern w:val="0"/>
              </w:rPr>
              <w:t>制标</w:t>
            </w:r>
          </w:p>
          <w:p>
            <w:pPr>
              <w:adjustRightInd w:val="0"/>
              <w:snapToGrid w:val="0"/>
              <w:jc w:val="center"/>
              <w:rPr>
                <w:kern w:val="0"/>
              </w:rPr>
            </w:pPr>
            <w:r>
              <w:rPr>
                <w:kern w:val="0"/>
              </w:rPr>
              <w:t>准</w:t>
            </w:r>
          </w:p>
        </w:tc>
        <w:tc>
          <w:tcPr>
            <w:tcW w:w="8190" w:type="dxa"/>
          </w:tcPr>
          <w:p>
            <w:pPr>
              <w:adjustRightInd w:val="0"/>
              <w:snapToGrid w:val="0"/>
              <w:spacing w:line="360" w:lineRule="auto"/>
              <w:ind w:firstLine="482" w:firstLineChars="200"/>
              <w:jc w:val="left"/>
              <w:rPr>
                <w:color w:val="auto"/>
                <w:sz w:val="24"/>
                <w:szCs w:val="24"/>
              </w:rPr>
            </w:pPr>
            <w:r>
              <w:rPr>
                <w:b/>
                <w:bCs/>
                <w:color w:val="auto"/>
                <w:sz w:val="24"/>
                <w:szCs w:val="24"/>
              </w:rPr>
              <w:t>1、废气排放标准</w:t>
            </w:r>
          </w:p>
          <w:p>
            <w:pPr>
              <w:spacing w:line="360" w:lineRule="auto"/>
              <w:ind w:firstLine="480" w:firstLineChars="200"/>
              <w:rPr>
                <w:sz w:val="24"/>
              </w:rPr>
            </w:pPr>
            <w:r>
              <w:rPr>
                <w:color w:val="auto"/>
                <w:sz w:val="24"/>
                <w:szCs w:val="24"/>
              </w:rPr>
              <w:t>项目</w:t>
            </w:r>
            <w:r>
              <w:rPr>
                <w:rFonts w:hint="eastAsia"/>
                <w:color w:val="auto"/>
                <w:sz w:val="24"/>
                <w:szCs w:val="24"/>
              </w:rPr>
              <w:t>生产过程中</w:t>
            </w:r>
            <w:r>
              <w:rPr>
                <w:color w:val="auto"/>
                <w:sz w:val="24"/>
                <w:szCs w:val="24"/>
              </w:rPr>
              <w:t>颗粒物</w:t>
            </w:r>
            <w:r>
              <w:rPr>
                <w:rFonts w:hint="eastAsia"/>
                <w:color w:val="auto"/>
                <w:sz w:val="24"/>
                <w:szCs w:val="24"/>
              </w:rPr>
              <w:t>参照</w:t>
            </w:r>
            <w:r>
              <w:rPr>
                <w:color w:val="auto"/>
                <w:sz w:val="24"/>
                <w:szCs w:val="24"/>
              </w:rPr>
              <w:t>上海市地方标准《大气污染物综合排放标准》（DB 31/933-2015）中的相关</w:t>
            </w:r>
            <w:r>
              <w:rPr>
                <w:rFonts w:hint="eastAsia"/>
                <w:color w:val="auto"/>
                <w:sz w:val="24"/>
                <w:szCs w:val="24"/>
              </w:rPr>
              <w:t>排放限值；</w:t>
            </w:r>
            <w:r>
              <w:rPr>
                <w:color w:val="auto"/>
                <w:sz w:val="24"/>
                <w:szCs w:val="24"/>
              </w:rPr>
              <w:t>锅炉烟气执行《锅炉大气污染物排放</w:t>
            </w:r>
            <w:r>
              <w:rPr>
                <w:rFonts w:hint="eastAsia"/>
                <w:color w:val="auto"/>
                <w:sz w:val="24"/>
                <w:szCs w:val="24"/>
              </w:rPr>
              <w:t>标准</w:t>
            </w:r>
            <w:r>
              <w:rPr>
                <w:color w:val="auto"/>
                <w:sz w:val="24"/>
                <w:szCs w:val="24"/>
              </w:rPr>
              <w:t>》（GB13271-2014）中燃气锅炉特别排放限值标准和皖大气办〔2020〕2号《安徽省大气办关于印发〈安徽</w:t>
            </w:r>
            <w:r>
              <w:rPr>
                <w:sz w:val="24"/>
                <w:szCs w:val="24"/>
              </w:rPr>
              <w:t>省2020年大气污染防治重点工作任务〉的通知》中相关要求</w:t>
            </w:r>
            <w:r>
              <w:rPr>
                <w:rFonts w:hint="eastAsia"/>
                <w:sz w:val="24"/>
                <w:szCs w:val="24"/>
              </w:rPr>
              <w:t>；食堂油烟执行《饮食业油烟排放标准》（试行）（GB18483-2001）中小型标准</w:t>
            </w:r>
            <w:r>
              <w:rPr>
                <w:sz w:val="24"/>
              </w:rPr>
              <w:t>；具体标准值如下表。</w:t>
            </w:r>
          </w:p>
          <w:p>
            <w:pPr>
              <w:pStyle w:val="64"/>
              <w:spacing w:line="360" w:lineRule="auto"/>
              <w:rPr>
                <w:sz w:val="24"/>
                <w:szCs w:val="24"/>
              </w:rPr>
            </w:pPr>
            <w:r>
              <w:rPr>
                <w:sz w:val="24"/>
                <w:szCs w:val="24"/>
              </w:rPr>
              <w:t>表3-</w:t>
            </w:r>
            <w:r>
              <w:rPr>
                <w:rFonts w:hint="eastAsia"/>
                <w:sz w:val="24"/>
                <w:szCs w:val="24"/>
              </w:rPr>
              <w:t>9</w:t>
            </w:r>
            <w:r>
              <w:rPr>
                <w:sz w:val="24"/>
                <w:szCs w:val="24"/>
              </w:rPr>
              <w:t xml:space="preserve">  大气污染物排放标准</w:t>
            </w:r>
          </w:p>
          <w:tbl>
            <w:tblPr>
              <w:tblStyle w:val="23"/>
              <w:tblW w:w="7918" w:type="dxa"/>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1"/>
              <w:gridCol w:w="1324"/>
              <w:gridCol w:w="1698"/>
              <w:gridCol w:w="2345"/>
              <w:gridCol w:w="1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726" w:type="pct"/>
                  <w:vMerge w:val="restart"/>
                  <w:tcBorders>
                    <w:top w:val="single" w:color="auto" w:sz="4" w:space="0"/>
                    <w:left w:val="single" w:color="auto" w:sz="4" w:space="0"/>
                    <w:right w:val="single" w:color="auto" w:sz="4" w:space="0"/>
                  </w:tcBorders>
                  <w:vAlign w:val="center"/>
                </w:tcPr>
                <w:p>
                  <w:pPr>
                    <w:pStyle w:val="66"/>
                    <w:tabs>
                      <w:tab w:val="left" w:pos="392"/>
                    </w:tabs>
                    <w:adjustRightInd/>
                    <w:spacing w:line="240" w:lineRule="auto"/>
                    <w:ind w:firstLine="0" w:firstLineChars="0"/>
                    <w:jc w:val="center"/>
                    <w:rPr>
                      <w:sz w:val="21"/>
                      <w:szCs w:val="21"/>
                    </w:rPr>
                  </w:pPr>
                  <w:r>
                    <w:rPr>
                      <w:sz w:val="21"/>
                      <w:szCs w:val="21"/>
                    </w:rPr>
                    <w:t>污染物名称</w:t>
                  </w:r>
                </w:p>
              </w:tc>
              <w:tc>
                <w:tcPr>
                  <w:tcW w:w="836" w:type="pct"/>
                  <w:vMerge w:val="restart"/>
                  <w:tcBorders>
                    <w:top w:val="single" w:color="auto" w:sz="4" w:space="0"/>
                    <w:left w:val="single" w:color="auto" w:sz="4" w:space="0"/>
                    <w:right w:val="single" w:color="auto" w:sz="4" w:space="0"/>
                  </w:tcBorders>
                  <w:vAlign w:val="center"/>
                </w:tcPr>
                <w:p>
                  <w:pPr>
                    <w:pStyle w:val="66"/>
                    <w:tabs>
                      <w:tab w:val="left" w:pos="392"/>
                    </w:tabs>
                    <w:adjustRightInd/>
                    <w:spacing w:line="240" w:lineRule="auto"/>
                    <w:ind w:firstLine="0" w:firstLineChars="0"/>
                    <w:jc w:val="center"/>
                    <w:rPr>
                      <w:sz w:val="21"/>
                      <w:szCs w:val="21"/>
                    </w:rPr>
                  </w:pPr>
                  <w:r>
                    <w:rPr>
                      <w:sz w:val="21"/>
                      <w:szCs w:val="21"/>
                    </w:rPr>
                    <w:t>最高允许排放速率</w:t>
                  </w:r>
                </w:p>
                <w:p>
                  <w:pPr>
                    <w:pStyle w:val="66"/>
                    <w:tabs>
                      <w:tab w:val="left" w:pos="392"/>
                    </w:tabs>
                    <w:adjustRightInd/>
                    <w:spacing w:line="240" w:lineRule="auto"/>
                    <w:ind w:firstLine="0" w:firstLineChars="0"/>
                    <w:jc w:val="center"/>
                    <w:rPr>
                      <w:sz w:val="21"/>
                      <w:szCs w:val="21"/>
                    </w:rPr>
                  </w:pPr>
                  <w:r>
                    <w:rPr>
                      <w:sz w:val="21"/>
                      <w:szCs w:val="21"/>
                    </w:rPr>
                    <w:t>(kg/h)</w:t>
                  </w:r>
                </w:p>
              </w:tc>
              <w:tc>
                <w:tcPr>
                  <w:tcW w:w="1072" w:type="pct"/>
                  <w:vMerge w:val="restart"/>
                  <w:tcBorders>
                    <w:top w:val="single" w:color="auto" w:sz="4" w:space="0"/>
                    <w:left w:val="single" w:color="auto" w:sz="4" w:space="0"/>
                    <w:right w:val="single" w:color="auto" w:sz="4" w:space="0"/>
                  </w:tcBorders>
                  <w:vAlign w:val="center"/>
                </w:tcPr>
                <w:p>
                  <w:pPr>
                    <w:pStyle w:val="66"/>
                    <w:tabs>
                      <w:tab w:val="left" w:pos="392"/>
                    </w:tabs>
                    <w:adjustRightInd/>
                    <w:spacing w:line="240" w:lineRule="auto"/>
                    <w:ind w:firstLine="0" w:firstLineChars="0"/>
                    <w:jc w:val="center"/>
                    <w:rPr>
                      <w:sz w:val="21"/>
                      <w:szCs w:val="21"/>
                    </w:rPr>
                  </w:pPr>
                  <w:r>
                    <w:rPr>
                      <w:sz w:val="21"/>
                      <w:szCs w:val="21"/>
                    </w:rPr>
                    <w:t>最高允许排放浓度</w:t>
                  </w:r>
                </w:p>
                <w:p>
                  <w:pPr>
                    <w:pStyle w:val="66"/>
                    <w:tabs>
                      <w:tab w:val="left" w:pos="392"/>
                    </w:tabs>
                    <w:adjustRightInd/>
                    <w:spacing w:line="240" w:lineRule="auto"/>
                    <w:ind w:firstLine="0" w:firstLineChars="0"/>
                    <w:jc w:val="center"/>
                    <w:rPr>
                      <w:sz w:val="21"/>
                      <w:szCs w:val="21"/>
                    </w:rPr>
                  </w:pPr>
                  <w:r>
                    <w:rPr>
                      <w:sz w:val="21"/>
                      <w:szCs w:val="21"/>
                    </w:rPr>
                    <w:t>(mg/m³)</w:t>
                  </w:r>
                </w:p>
              </w:tc>
              <w:tc>
                <w:tcPr>
                  <w:tcW w:w="2364" w:type="pct"/>
                  <w:gridSpan w:val="2"/>
                  <w:tcBorders>
                    <w:top w:val="single" w:color="auto" w:sz="4" w:space="0"/>
                    <w:left w:val="single" w:color="auto" w:sz="4" w:space="0"/>
                    <w:bottom w:val="single" w:color="auto" w:sz="4" w:space="0"/>
                    <w:right w:val="single" w:color="auto" w:sz="4" w:space="0"/>
                  </w:tcBorders>
                  <w:vAlign w:val="center"/>
                </w:tcPr>
                <w:p>
                  <w:pPr>
                    <w:pStyle w:val="66"/>
                    <w:tabs>
                      <w:tab w:val="left" w:pos="392"/>
                    </w:tabs>
                    <w:adjustRightInd/>
                    <w:spacing w:line="240" w:lineRule="auto"/>
                    <w:ind w:firstLine="0" w:firstLineChars="0"/>
                    <w:jc w:val="center"/>
                    <w:rPr>
                      <w:sz w:val="21"/>
                      <w:szCs w:val="21"/>
                    </w:rPr>
                  </w:pPr>
                  <w:r>
                    <w:rPr>
                      <w:sz w:val="21"/>
                      <w:szCs w:val="21"/>
                    </w:rPr>
                    <w:t>无组织排放监控</w:t>
                  </w:r>
                  <w:r>
                    <w:rPr>
                      <w:rFonts w:hint="eastAsia"/>
                      <w:sz w:val="21"/>
                      <w:szCs w:val="21"/>
                    </w:rPr>
                    <w:t>浓度限值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726" w:type="pct"/>
                  <w:vMerge w:val="continue"/>
                  <w:tcBorders>
                    <w:left w:val="single" w:color="auto" w:sz="4" w:space="0"/>
                    <w:bottom w:val="single" w:color="auto" w:sz="4" w:space="0"/>
                    <w:right w:val="single" w:color="auto" w:sz="4" w:space="0"/>
                  </w:tcBorders>
                  <w:vAlign w:val="center"/>
                </w:tcPr>
                <w:p>
                  <w:pPr>
                    <w:pStyle w:val="66"/>
                    <w:tabs>
                      <w:tab w:val="left" w:pos="392"/>
                    </w:tabs>
                    <w:adjustRightInd/>
                    <w:spacing w:line="240" w:lineRule="auto"/>
                    <w:ind w:firstLine="0" w:firstLineChars="0"/>
                    <w:jc w:val="center"/>
                    <w:rPr>
                      <w:sz w:val="21"/>
                      <w:szCs w:val="21"/>
                    </w:rPr>
                  </w:pPr>
                </w:p>
              </w:tc>
              <w:tc>
                <w:tcPr>
                  <w:tcW w:w="836" w:type="pct"/>
                  <w:vMerge w:val="continue"/>
                  <w:tcBorders>
                    <w:left w:val="single" w:color="auto" w:sz="4" w:space="0"/>
                    <w:bottom w:val="single" w:color="auto" w:sz="4" w:space="0"/>
                    <w:right w:val="single" w:color="auto" w:sz="4" w:space="0"/>
                  </w:tcBorders>
                  <w:vAlign w:val="center"/>
                </w:tcPr>
                <w:p>
                  <w:pPr>
                    <w:pStyle w:val="66"/>
                    <w:tabs>
                      <w:tab w:val="left" w:pos="392"/>
                    </w:tabs>
                    <w:adjustRightInd/>
                    <w:spacing w:line="240" w:lineRule="auto"/>
                    <w:ind w:firstLine="0" w:firstLineChars="0"/>
                    <w:jc w:val="center"/>
                    <w:rPr>
                      <w:sz w:val="21"/>
                      <w:szCs w:val="21"/>
                    </w:rPr>
                  </w:pPr>
                </w:p>
              </w:tc>
              <w:tc>
                <w:tcPr>
                  <w:tcW w:w="1072" w:type="pct"/>
                  <w:vMerge w:val="continue"/>
                  <w:tcBorders>
                    <w:left w:val="single" w:color="auto" w:sz="4" w:space="0"/>
                    <w:bottom w:val="single" w:color="auto" w:sz="4" w:space="0"/>
                    <w:right w:val="single" w:color="auto" w:sz="4" w:space="0"/>
                  </w:tcBorders>
                  <w:vAlign w:val="center"/>
                </w:tcPr>
                <w:p>
                  <w:pPr>
                    <w:pStyle w:val="66"/>
                    <w:tabs>
                      <w:tab w:val="left" w:pos="392"/>
                    </w:tabs>
                    <w:adjustRightInd/>
                    <w:spacing w:line="240" w:lineRule="auto"/>
                    <w:ind w:firstLine="0" w:firstLineChars="0"/>
                    <w:jc w:val="center"/>
                    <w:rPr>
                      <w:sz w:val="21"/>
                      <w:szCs w:val="21"/>
                    </w:rPr>
                  </w:pPr>
                </w:p>
              </w:tc>
              <w:tc>
                <w:tcPr>
                  <w:tcW w:w="1480" w:type="pct"/>
                  <w:tcBorders>
                    <w:top w:val="single" w:color="auto" w:sz="4" w:space="0"/>
                    <w:left w:val="single" w:color="auto" w:sz="4" w:space="0"/>
                    <w:bottom w:val="single" w:color="auto" w:sz="4" w:space="0"/>
                    <w:right w:val="single" w:color="auto" w:sz="4" w:space="0"/>
                  </w:tcBorders>
                  <w:vAlign w:val="center"/>
                </w:tcPr>
                <w:p>
                  <w:pPr>
                    <w:pStyle w:val="66"/>
                    <w:tabs>
                      <w:tab w:val="left" w:pos="392"/>
                    </w:tabs>
                    <w:adjustRightInd/>
                    <w:spacing w:line="240" w:lineRule="auto"/>
                    <w:ind w:firstLine="0" w:firstLineChars="0"/>
                    <w:jc w:val="center"/>
                    <w:rPr>
                      <w:sz w:val="21"/>
                      <w:szCs w:val="21"/>
                    </w:rPr>
                  </w:pPr>
                  <w:r>
                    <w:rPr>
                      <w:rFonts w:hint="eastAsia"/>
                      <w:sz w:val="21"/>
                      <w:szCs w:val="21"/>
                    </w:rPr>
                    <w:t>监控点</w:t>
                  </w:r>
                </w:p>
              </w:tc>
              <w:tc>
                <w:tcPr>
                  <w:tcW w:w="883" w:type="pct"/>
                  <w:tcBorders>
                    <w:top w:val="single" w:color="auto" w:sz="4" w:space="0"/>
                    <w:left w:val="single" w:color="auto" w:sz="4" w:space="0"/>
                    <w:bottom w:val="single" w:color="auto" w:sz="4" w:space="0"/>
                    <w:right w:val="single" w:color="auto" w:sz="4" w:space="0"/>
                  </w:tcBorders>
                  <w:vAlign w:val="center"/>
                </w:tcPr>
                <w:p>
                  <w:pPr>
                    <w:pStyle w:val="66"/>
                    <w:tabs>
                      <w:tab w:val="left" w:pos="392"/>
                    </w:tabs>
                    <w:adjustRightInd/>
                    <w:spacing w:line="240" w:lineRule="auto"/>
                    <w:ind w:firstLine="0" w:firstLineChars="0"/>
                    <w:jc w:val="center"/>
                    <w:rPr>
                      <w:sz w:val="21"/>
                      <w:szCs w:val="21"/>
                    </w:rPr>
                  </w:pPr>
                  <w:r>
                    <w:rPr>
                      <w:rFonts w:hint="eastAsia"/>
                      <w:sz w:val="21"/>
                      <w:szCs w:val="21"/>
                    </w:rPr>
                    <w:t>浓度</w:t>
                  </w:r>
                  <w:r>
                    <w:rPr>
                      <w:sz w:val="21"/>
                      <w:szCs w:val="21"/>
                    </w:rPr>
                    <w:t>(mg/m³)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726" w:type="pct"/>
                  <w:tcBorders>
                    <w:top w:val="single" w:color="auto" w:sz="4" w:space="0"/>
                    <w:left w:val="single" w:color="auto" w:sz="4" w:space="0"/>
                    <w:bottom w:val="single" w:color="auto" w:sz="4" w:space="0"/>
                    <w:right w:val="single" w:color="auto" w:sz="4" w:space="0"/>
                  </w:tcBorders>
                  <w:vAlign w:val="center"/>
                </w:tcPr>
                <w:p>
                  <w:pPr>
                    <w:pStyle w:val="66"/>
                    <w:tabs>
                      <w:tab w:val="left" w:pos="392"/>
                    </w:tabs>
                    <w:adjustRightInd/>
                    <w:spacing w:line="240" w:lineRule="auto"/>
                    <w:ind w:firstLine="0" w:firstLineChars="0"/>
                    <w:jc w:val="center"/>
                    <w:rPr>
                      <w:sz w:val="21"/>
                      <w:szCs w:val="21"/>
                    </w:rPr>
                  </w:pPr>
                  <w:r>
                    <w:rPr>
                      <w:sz w:val="21"/>
                      <w:szCs w:val="21"/>
                    </w:rPr>
                    <w:t>颗粒物</w:t>
                  </w:r>
                </w:p>
              </w:tc>
              <w:tc>
                <w:tcPr>
                  <w:tcW w:w="836" w:type="pct"/>
                  <w:tcBorders>
                    <w:top w:val="single" w:color="auto" w:sz="4" w:space="0"/>
                    <w:left w:val="single" w:color="auto" w:sz="4" w:space="0"/>
                    <w:bottom w:val="single" w:color="auto" w:sz="4" w:space="0"/>
                    <w:right w:val="single" w:color="auto" w:sz="4" w:space="0"/>
                  </w:tcBorders>
                  <w:vAlign w:val="center"/>
                </w:tcPr>
                <w:p>
                  <w:pPr>
                    <w:pStyle w:val="66"/>
                    <w:tabs>
                      <w:tab w:val="left" w:pos="392"/>
                    </w:tabs>
                    <w:adjustRightInd/>
                    <w:spacing w:line="240" w:lineRule="auto"/>
                    <w:ind w:firstLine="0" w:firstLineChars="0"/>
                    <w:jc w:val="center"/>
                    <w:rPr>
                      <w:color w:val="auto"/>
                      <w:sz w:val="21"/>
                      <w:szCs w:val="21"/>
                    </w:rPr>
                  </w:pPr>
                  <w:r>
                    <w:rPr>
                      <w:rFonts w:hint="eastAsia"/>
                      <w:color w:val="auto"/>
                      <w:sz w:val="21"/>
                      <w:szCs w:val="21"/>
                    </w:rPr>
                    <w:t>1.5</w:t>
                  </w:r>
                </w:p>
              </w:tc>
              <w:tc>
                <w:tcPr>
                  <w:tcW w:w="1072" w:type="pct"/>
                  <w:tcBorders>
                    <w:top w:val="single" w:color="auto" w:sz="4" w:space="0"/>
                    <w:left w:val="single" w:color="auto" w:sz="4" w:space="0"/>
                    <w:bottom w:val="single" w:color="auto" w:sz="4" w:space="0"/>
                    <w:right w:val="single" w:color="auto" w:sz="4" w:space="0"/>
                  </w:tcBorders>
                  <w:vAlign w:val="center"/>
                </w:tcPr>
                <w:p>
                  <w:pPr>
                    <w:pStyle w:val="66"/>
                    <w:tabs>
                      <w:tab w:val="left" w:pos="392"/>
                    </w:tabs>
                    <w:adjustRightInd/>
                    <w:spacing w:line="240" w:lineRule="auto"/>
                    <w:ind w:firstLine="0" w:firstLineChars="0"/>
                    <w:jc w:val="center"/>
                    <w:rPr>
                      <w:color w:val="auto"/>
                      <w:sz w:val="21"/>
                      <w:szCs w:val="21"/>
                    </w:rPr>
                  </w:pPr>
                  <w:r>
                    <w:rPr>
                      <w:rFonts w:hint="eastAsia"/>
                      <w:color w:val="auto"/>
                      <w:sz w:val="21"/>
                      <w:szCs w:val="21"/>
                    </w:rPr>
                    <w:t>30</w:t>
                  </w:r>
                </w:p>
              </w:tc>
              <w:tc>
                <w:tcPr>
                  <w:tcW w:w="1480" w:type="pct"/>
                  <w:tcBorders>
                    <w:top w:val="single" w:color="auto" w:sz="4" w:space="0"/>
                    <w:left w:val="single" w:color="auto" w:sz="4" w:space="0"/>
                    <w:bottom w:val="single" w:color="auto" w:sz="4" w:space="0"/>
                    <w:right w:val="single" w:color="auto" w:sz="4" w:space="0"/>
                  </w:tcBorders>
                  <w:vAlign w:val="center"/>
                </w:tcPr>
                <w:p>
                  <w:pPr>
                    <w:pStyle w:val="66"/>
                    <w:tabs>
                      <w:tab w:val="left" w:pos="392"/>
                    </w:tabs>
                    <w:adjustRightInd/>
                    <w:spacing w:line="240" w:lineRule="auto"/>
                    <w:ind w:firstLine="0" w:firstLineChars="0"/>
                    <w:jc w:val="center"/>
                    <w:rPr>
                      <w:color w:val="auto"/>
                      <w:sz w:val="21"/>
                      <w:szCs w:val="21"/>
                    </w:rPr>
                  </w:pPr>
                  <w:r>
                    <w:rPr>
                      <w:rFonts w:hint="eastAsia"/>
                      <w:color w:val="auto"/>
                      <w:sz w:val="21"/>
                      <w:szCs w:val="21"/>
                    </w:rPr>
                    <w:t>周界外浓度最高点</w:t>
                  </w:r>
                </w:p>
              </w:tc>
              <w:tc>
                <w:tcPr>
                  <w:tcW w:w="883" w:type="pct"/>
                  <w:tcBorders>
                    <w:top w:val="single" w:color="auto" w:sz="4" w:space="0"/>
                    <w:left w:val="single" w:color="auto" w:sz="4" w:space="0"/>
                    <w:bottom w:val="single" w:color="auto" w:sz="4" w:space="0"/>
                    <w:right w:val="single" w:color="auto" w:sz="4" w:space="0"/>
                  </w:tcBorders>
                  <w:vAlign w:val="center"/>
                </w:tcPr>
                <w:p>
                  <w:pPr>
                    <w:pStyle w:val="66"/>
                    <w:tabs>
                      <w:tab w:val="left" w:pos="392"/>
                    </w:tabs>
                    <w:adjustRightInd/>
                    <w:spacing w:line="240" w:lineRule="auto"/>
                    <w:ind w:firstLine="0" w:firstLineChars="0"/>
                    <w:jc w:val="center"/>
                    <w:rPr>
                      <w:color w:val="auto"/>
                      <w:sz w:val="21"/>
                      <w:szCs w:val="21"/>
                    </w:rPr>
                  </w:pPr>
                  <w:r>
                    <w:rPr>
                      <w:rFonts w:hint="eastAsia"/>
                      <w:color w:val="auto"/>
                      <w:sz w:val="21"/>
                      <w:szCs w:val="21"/>
                    </w:rPr>
                    <w:t>0.5</w:t>
                  </w:r>
                </w:p>
              </w:tc>
            </w:tr>
          </w:tbl>
          <w:p>
            <w:pPr>
              <w:adjustRightInd w:val="0"/>
              <w:snapToGrid w:val="0"/>
              <w:spacing w:line="360" w:lineRule="auto"/>
              <w:jc w:val="center"/>
              <w:rPr>
                <w:b/>
                <w:bCs/>
                <w:sz w:val="24"/>
              </w:rPr>
            </w:pPr>
            <w:r>
              <w:rPr>
                <w:rFonts w:hint="eastAsia"/>
                <w:b/>
                <w:bCs/>
                <w:sz w:val="24"/>
              </w:rPr>
              <w:t>表3-10  燃气锅炉大气污染物特别排放限值  单位：mg</w:t>
            </w:r>
            <w:r>
              <w:rPr>
                <w:b/>
                <w:bCs/>
                <w:sz w:val="24"/>
              </w:rPr>
              <w:t>/m³</w:t>
            </w:r>
          </w:p>
          <w:tbl>
            <w:tblPr>
              <w:tblStyle w:val="23"/>
              <w:tblW w:w="80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44"/>
              <w:gridCol w:w="1548"/>
              <w:gridCol w:w="1366"/>
              <w:gridCol w:w="29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2144" w:type="dxa"/>
                  <w:vMerge w:val="restart"/>
                  <w:noWrap/>
                  <w:vAlign w:val="center"/>
                </w:tcPr>
                <w:p>
                  <w:pPr>
                    <w:adjustRightInd w:val="0"/>
                    <w:snapToGrid w:val="0"/>
                    <w:jc w:val="center"/>
                  </w:pPr>
                  <w:r>
                    <w:rPr>
                      <w:rFonts w:hint="eastAsia"/>
                    </w:rPr>
                    <w:t>污染物项目</w:t>
                  </w:r>
                </w:p>
              </w:tc>
              <w:tc>
                <w:tcPr>
                  <w:tcW w:w="1548" w:type="dxa"/>
                  <w:noWrap/>
                  <w:vAlign w:val="center"/>
                </w:tcPr>
                <w:p>
                  <w:pPr>
                    <w:adjustRightInd w:val="0"/>
                    <w:snapToGrid w:val="0"/>
                    <w:jc w:val="center"/>
                  </w:pPr>
                  <w:r>
                    <w:rPr>
                      <w:rFonts w:hint="eastAsia"/>
                    </w:rPr>
                    <w:t>限值</w:t>
                  </w:r>
                </w:p>
              </w:tc>
              <w:tc>
                <w:tcPr>
                  <w:tcW w:w="1366" w:type="dxa"/>
                  <w:vMerge w:val="restart"/>
                  <w:noWrap/>
                  <w:vAlign w:val="center"/>
                </w:tcPr>
                <w:p>
                  <w:pPr>
                    <w:adjustRightInd w:val="0"/>
                    <w:snapToGrid w:val="0"/>
                    <w:jc w:val="center"/>
                  </w:pPr>
                  <w:r>
                    <w:rPr>
                      <w:rFonts w:hint="eastAsia"/>
                    </w:rPr>
                    <w:t>污染物排放监控位置</w:t>
                  </w:r>
                </w:p>
              </w:tc>
              <w:tc>
                <w:tcPr>
                  <w:tcW w:w="2959" w:type="dxa"/>
                  <w:vMerge w:val="restart"/>
                  <w:noWrap/>
                  <w:vAlign w:val="center"/>
                </w:tcPr>
                <w:p>
                  <w:pPr>
                    <w:adjustRightInd w:val="0"/>
                    <w:snapToGrid w:val="0"/>
                    <w:jc w:val="center"/>
                  </w:pPr>
                  <w:r>
                    <w:rPr>
                      <w:rFonts w:hint="eastAsia"/>
                    </w:rPr>
                    <w:t>标准来源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2144" w:type="dxa"/>
                  <w:vMerge w:val="continue"/>
                  <w:noWrap/>
                  <w:vAlign w:val="center"/>
                </w:tcPr>
                <w:p>
                  <w:pPr>
                    <w:adjustRightInd w:val="0"/>
                    <w:snapToGrid w:val="0"/>
                    <w:jc w:val="center"/>
                  </w:pPr>
                </w:p>
              </w:tc>
              <w:tc>
                <w:tcPr>
                  <w:tcW w:w="1548" w:type="dxa"/>
                  <w:noWrap/>
                  <w:vAlign w:val="center"/>
                </w:tcPr>
                <w:p>
                  <w:pPr>
                    <w:adjustRightInd w:val="0"/>
                    <w:snapToGrid w:val="0"/>
                    <w:jc w:val="center"/>
                  </w:pPr>
                  <w:r>
                    <w:rPr>
                      <w:rFonts w:hint="eastAsia"/>
                    </w:rPr>
                    <w:t>燃气锅炉</w:t>
                  </w:r>
                </w:p>
              </w:tc>
              <w:tc>
                <w:tcPr>
                  <w:tcW w:w="1366" w:type="dxa"/>
                  <w:vMerge w:val="continue"/>
                  <w:noWrap/>
                  <w:vAlign w:val="center"/>
                </w:tcPr>
                <w:p>
                  <w:pPr>
                    <w:adjustRightInd w:val="0"/>
                    <w:snapToGrid w:val="0"/>
                    <w:jc w:val="center"/>
                  </w:pPr>
                </w:p>
              </w:tc>
              <w:tc>
                <w:tcPr>
                  <w:tcW w:w="2959" w:type="dxa"/>
                  <w:vMerge w:val="continue"/>
                  <w:noWrap/>
                  <w:vAlign w:val="center"/>
                </w:tcPr>
                <w:p>
                  <w:pPr>
                    <w:adjustRightInd w:val="0"/>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2144" w:type="dxa"/>
                  <w:noWrap/>
                  <w:vAlign w:val="center"/>
                </w:tcPr>
                <w:p>
                  <w:pPr>
                    <w:adjustRightInd w:val="0"/>
                    <w:snapToGrid w:val="0"/>
                    <w:jc w:val="center"/>
                  </w:pPr>
                  <w:r>
                    <w:rPr>
                      <w:rFonts w:hint="eastAsia"/>
                    </w:rPr>
                    <w:t>颗粒物</w:t>
                  </w:r>
                </w:p>
              </w:tc>
              <w:tc>
                <w:tcPr>
                  <w:tcW w:w="1548" w:type="dxa"/>
                  <w:noWrap/>
                  <w:vAlign w:val="center"/>
                </w:tcPr>
                <w:p>
                  <w:pPr>
                    <w:adjustRightInd w:val="0"/>
                    <w:snapToGrid w:val="0"/>
                    <w:jc w:val="center"/>
                  </w:pPr>
                  <w:r>
                    <w:t>20</w:t>
                  </w:r>
                </w:p>
              </w:tc>
              <w:tc>
                <w:tcPr>
                  <w:tcW w:w="1366" w:type="dxa"/>
                  <w:vMerge w:val="restart"/>
                  <w:noWrap/>
                  <w:vAlign w:val="center"/>
                </w:tcPr>
                <w:p>
                  <w:pPr>
                    <w:adjustRightInd w:val="0"/>
                    <w:snapToGrid w:val="0"/>
                    <w:jc w:val="center"/>
                  </w:pPr>
                  <w:r>
                    <w:rPr>
                      <w:rFonts w:hint="eastAsia"/>
                    </w:rPr>
                    <w:t>烟囱或烟道</w:t>
                  </w:r>
                </w:p>
              </w:tc>
              <w:tc>
                <w:tcPr>
                  <w:tcW w:w="2959" w:type="dxa"/>
                  <w:vMerge w:val="restart"/>
                  <w:noWrap/>
                  <w:vAlign w:val="center"/>
                </w:tcPr>
                <w:p>
                  <w:pPr>
                    <w:adjustRightInd w:val="0"/>
                    <w:snapToGrid w:val="0"/>
                    <w:jc w:val="center"/>
                  </w:pPr>
                  <w:r>
                    <w:t>《锅炉大气污染物排放标准》（GB13271-2014）表3中重点地区燃气锅炉大气污染物特别排放限值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2144" w:type="dxa"/>
                  <w:noWrap/>
                  <w:vAlign w:val="center"/>
                </w:tcPr>
                <w:p>
                  <w:pPr>
                    <w:adjustRightInd w:val="0"/>
                    <w:snapToGrid w:val="0"/>
                    <w:jc w:val="center"/>
                  </w:pPr>
                  <w:r>
                    <w:rPr>
                      <w:rFonts w:hint="eastAsia"/>
                    </w:rPr>
                    <w:t>二氧化硫</w:t>
                  </w:r>
                </w:p>
              </w:tc>
              <w:tc>
                <w:tcPr>
                  <w:tcW w:w="1548" w:type="dxa"/>
                  <w:noWrap/>
                  <w:vAlign w:val="center"/>
                </w:tcPr>
                <w:p>
                  <w:pPr>
                    <w:adjustRightInd w:val="0"/>
                    <w:snapToGrid w:val="0"/>
                    <w:jc w:val="center"/>
                  </w:pPr>
                  <w:r>
                    <w:t>50</w:t>
                  </w:r>
                </w:p>
              </w:tc>
              <w:tc>
                <w:tcPr>
                  <w:tcW w:w="1366" w:type="dxa"/>
                  <w:vMerge w:val="continue"/>
                  <w:noWrap/>
                  <w:vAlign w:val="center"/>
                </w:tcPr>
                <w:p>
                  <w:pPr>
                    <w:adjustRightInd w:val="0"/>
                    <w:snapToGrid w:val="0"/>
                    <w:jc w:val="center"/>
                  </w:pPr>
                </w:p>
              </w:tc>
              <w:tc>
                <w:tcPr>
                  <w:tcW w:w="2959" w:type="dxa"/>
                  <w:vMerge w:val="continue"/>
                  <w:noWrap/>
                  <w:vAlign w:val="center"/>
                </w:tcPr>
                <w:p>
                  <w:pPr>
                    <w:adjustRightInd w:val="0"/>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2144" w:type="dxa"/>
                  <w:noWrap/>
                  <w:vAlign w:val="center"/>
                </w:tcPr>
                <w:p>
                  <w:pPr>
                    <w:adjustRightInd w:val="0"/>
                    <w:snapToGrid w:val="0"/>
                    <w:jc w:val="center"/>
                  </w:pPr>
                  <w:r>
                    <w:rPr>
                      <w:rFonts w:hint="eastAsia"/>
                    </w:rPr>
                    <w:t>汞及其化合物</w:t>
                  </w:r>
                </w:p>
              </w:tc>
              <w:tc>
                <w:tcPr>
                  <w:tcW w:w="1548" w:type="dxa"/>
                  <w:noWrap/>
                  <w:vAlign w:val="center"/>
                </w:tcPr>
                <w:p>
                  <w:pPr>
                    <w:adjustRightInd w:val="0"/>
                    <w:snapToGrid w:val="0"/>
                    <w:jc w:val="center"/>
                  </w:pPr>
                  <w:r>
                    <w:t>—</w:t>
                  </w:r>
                </w:p>
              </w:tc>
              <w:tc>
                <w:tcPr>
                  <w:tcW w:w="1366" w:type="dxa"/>
                  <w:vMerge w:val="continue"/>
                  <w:noWrap/>
                  <w:vAlign w:val="center"/>
                </w:tcPr>
                <w:p>
                  <w:pPr>
                    <w:adjustRightInd w:val="0"/>
                    <w:snapToGrid w:val="0"/>
                    <w:jc w:val="center"/>
                  </w:pPr>
                </w:p>
              </w:tc>
              <w:tc>
                <w:tcPr>
                  <w:tcW w:w="2959" w:type="dxa"/>
                  <w:vMerge w:val="continue"/>
                  <w:noWrap/>
                  <w:vAlign w:val="center"/>
                </w:tcPr>
                <w:p>
                  <w:pPr>
                    <w:adjustRightInd w:val="0"/>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2144" w:type="dxa"/>
                  <w:noWrap/>
                  <w:vAlign w:val="center"/>
                </w:tcPr>
                <w:p>
                  <w:pPr>
                    <w:adjustRightInd w:val="0"/>
                    <w:snapToGrid w:val="0"/>
                    <w:jc w:val="center"/>
                  </w:pPr>
                  <w:r>
                    <w:rPr>
                      <w:rFonts w:hint="eastAsia"/>
                    </w:rPr>
                    <w:t>烟气黑度（林格曼黑度，级）</w:t>
                  </w:r>
                </w:p>
              </w:tc>
              <w:tc>
                <w:tcPr>
                  <w:tcW w:w="1548" w:type="dxa"/>
                  <w:noWrap/>
                  <w:vAlign w:val="center"/>
                </w:tcPr>
                <w:p>
                  <w:pPr>
                    <w:adjustRightInd w:val="0"/>
                    <w:snapToGrid w:val="0"/>
                    <w:jc w:val="center"/>
                  </w:pPr>
                  <w:r>
                    <w:t>≤1</w:t>
                  </w:r>
                </w:p>
              </w:tc>
              <w:tc>
                <w:tcPr>
                  <w:tcW w:w="1366" w:type="dxa"/>
                  <w:noWrap/>
                  <w:vAlign w:val="center"/>
                </w:tcPr>
                <w:p>
                  <w:pPr>
                    <w:adjustRightInd w:val="0"/>
                    <w:snapToGrid w:val="0"/>
                    <w:jc w:val="center"/>
                  </w:pPr>
                  <w:r>
                    <w:rPr>
                      <w:rFonts w:hint="eastAsia"/>
                    </w:rPr>
                    <w:t>烟囱排放口</w:t>
                  </w:r>
                </w:p>
              </w:tc>
              <w:tc>
                <w:tcPr>
                  <w:tcW w:w="2959" w:type="dxa"/>
                  <w:vMerge w:val="continue"/>
                  <w:noWrap/>
                  <w:vAlign w:val="center"/>
                </w:tcPr>
                <w:p>
                  <w:pPr>
                    <w:adjustRightInd w:val="0"/>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8" w:hRule="atLeast"/>
              </w:trPr>
              <w:tc>
                <w:tcPr>
                  <w:tcW w:w="2144" w:type="dxa"/>
                  <w:noWrap/>
                  <w:vAlign w:val="center"/>
                </w:tcPr>
                <w:p>
                  <w:pPr>
                    <w:adjustRightInd w:val="0"/>
                    <w:snapToGrid w:val="0"/>
                    <w:jc w:val="center"/>
                  </w:pPr>
                  <w:r>
                    <w:rPr>
                      <w:rFonts w:hint="eastAsia"/>
                    </w:rPr>
                    <w:t>氮氧化物</w:t>
                  </w:r>
                </w:p>
              </w:tc>
              <w:tc>
                <w:tcPr>
                  <w:tcW w:w="1548" w:type="dxa"/>
                  <w:noWrap/>
                  <w:vAlign w:val="center"/>
                </w:tcPr>
                <w:p>
                  <w:pPr>
                    <w:adjustRightInd w:val="0"/>
                    <w:snapToGrid w:val="0"/>
                    <w:jc w:val="center"/>
                  </w:pPr>
                  <w:r>
                    <w:t>50</w:t>
                  </w:r>
                </w:p>
              </w:tc>
              <w:tc>
                <w:tcPr>
                  <w:tcW w:w="1366" w:type="dxa"/>
                  <w:noWrap/>
                  <w:vAlign w:val="center"/>
                </w:tcPr>
                <w:p>
                  <w:pPr>
                    <w:adjustRightInd w:val="0"/>
                    <w:snapToGrid w:val="0"/>
                    <w:jc w:val="center"/>
                  </w:pPr>
                  <w:r>
                    <w:rPr>
                      <w:rFonts w:hint="eastAsia"/>
                    </w:rPr>
                    <w:t>烟囱或烟道</w:t>
                  </w:r>
                </w:p>
              </w:tc>
              <w:tc>
                <w:tcPr>
                  <w:tcW w:w="2959" w:type="dxa"/>
                  <w:noWrap/>
                  <w:vAlign w:val="center"/>
                </w:tcPr>
                <w:p>
                  <w:pPr>
                    <w:adjustRightInd w:val="0"/>
                    <w:snapToGrid w:val="0"/>
                    <w:jc w:val="center"/>
                  </w:pPr>
                  <w:r>
                    <w:t>皖大气办〔2020〕2号《安徽省大气办关于印发〈安徽省2020年大气污染防治重点工作任务〉的通知》要求</w:t>
                  </w:r>
                </w:p>
              </w:tc>
            </w:tr>
          </w:tbl>
          <w:p>
            <w:pPr>
              <w:spacing w:line="360" w:lineRule="auto"/>
              <w:jc w:val="center"/>
              <w:rPr>
                <w:b/>
                <w:bCs/>
                <w:sz w:val="24"/>
              </w:rPr>
            </w:pPr>
            <w:r>
              <w:rPr>
                <w:b/>
                <w:bCs/>
                <w:sz w:val="24"/>
              </w:rPr>
              <w:t>表</w:t>
            </w:r>
            <w:r>
              <w:rPr>
                <w:rFonts w:hint="eastAsia"/>
                <w:b/>
                <w:bCs/>
                <w:sz w:val="24"/>
              </w:rPr>
              <w:t>3-11</w:t>
            </w:r>
            <w:r>
              <w:rPr>
                <w:b/>
                <w:bCs/>
                <w:sz w:val="24"/>
              </w:rPr>
              <w:t xml:space="preserve"> 《饮食业油烟排放标准（试行）》</w:t>
            </w:r>
          </w:p>
          <w:tbl>
            <w:tblPr>
              <w:tblStyle w:val="23"/>
              <w:tblW w:w="79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21"/>
              <w:gridCol w:w="1629"/>
              <w:gridCol w:w="1120"/>
              <w:gridCol w:w="16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exact"/>
                <w:jc w:val="center"/>
              </w:trPr>
              <w:tc>
                <w:tcPr>
                  <w:tcW w:w="3621" w:type="dxa"/>
                  <w:noWrap/>
                  <w:vAlign w:val="center"/>
                </w:tcPr>
                <w:p>
                  <w:pPr>
                    <w:widowControl/>
                    <w:tabs>
                      <w:tab w:val="left" w:pos="630"/>
                      <w:tab w:val="left" w:pos="1260"/>
                    </w:tabs>
                    <w:jc w:val="center"/>
                    <w:textAlignment w:val="baseline"/>
                  </w:pPr>
                  <w:r>
                    <w:t>规模</w:t>
                  </w:r>
                </w:p>
              </w:tc>
              <w:tc>
                <w:tcPr>
                  <w:tcW w:w="1629" w:type="dxa"/>
                  <w:noWrap/>
                  <w:vAlign w:val="center"/>
                </w:tcPr>
                <w:p>
                  <w:pPr>
                    <w:widowControl/>
                    <w:tabs>
                      <w:tab w:val="left" w:pos="630"/>
                      <w:tab w:val="left" w:pos="1260"/>
                    </w:tabs>
                    <w:jc w:val="center"/>
                    <w:textAlignment w:val="baseline"/>
                  </w:pPr>
                  <w:r>
                    <w:t>小型</w:t>
                  </w:r>
                </w:p>
              </w:tc>
              <w:tc>
                <w:tcPr>
                  <w:tcW w:w="1120" w:type="dxa"/>
                  <w:noWrap/>
                  <w:vAlign w:val="center"/>
                </w:tcPr>
                <w:p>
                  <w:pPr>
                    <w:widowControl/>
                    <w:tabs>
                      <w:tab w:val="left" w:pos="630"/>
                      <w:tab w:val="left" w:pos="1260"/>
                    </w:tabs>
                    <w:jc w:val="center"/>
                    <w:textAlignment w:val="baseline"/>
                  </w:pPr>
                  <w:r>
                    <w:t>中型</w:t>
                  </w:r>
                </w:p>
              </w:tc>
              <w:tc>
                <w:tcPr>
                  <w:tcW w:w="1608" w:type="dxa"/>
                  <w:noWrap/>
                  <w:vAlign w:val="center"/>
                </w:tcPr>
                <w:p>
                  <w:pPr>
                    <w:widowControl/>
                    <w:tabs>
                      <w:tab w:val="left" w:pos="630"/>
                      <w:tab w:val="left" w:pos="1260"/>
                    </w:tabs>
                    <w:jc w:val="center"/>
                    <w:textAlignment w:val="baseline"/>
                  </w:pPr>
                  <w:r>
                    <w:t>大型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exact"/>
                <w:jc w:val="center"/>
              </w:trPr>
              <w:tc>
                <w:tcPr>
                  <w:tcW w:w="3621" w:type="dxa"/>
                  <w:noWrap/>
                  <w:vAlign w:val="center"/>
                </w:tcPr>
                <w:p>
                  <w:pPr>
                    <w:widowControl/>
                    <w:tabs>
                      <w:tab w:val="left" w:pos="630"/>
                      <w:tab w:val="left" w:pos="1260"/>
                    </w:tabs>
                    <w:jc w:val="center"/>
                    <w:textAlignment w:val="baseline"/>
                  </w:pPr>
                  <w:r>
                    <w:t>基准灶头数</w:t>
                  </w:r>
                </w:p>
              </w:tc>
              <w:tc>
                <w:tcPr>
                  <w:tcW w:w="1629" w:type="dxa"/>
                  <w:noWrap/>
                  <w:vAlign w:val="center"/>
                </w:tcPr>
                <w:p>
                  <w:pPr>
                    <w:widowControl/>
                    <w:tabs>
                      <w:tab w:val="left" w:pos="630"/>
                      <w:tab w:val="left" w:pos="1260"/>
                    </w:tabs>
                    <w:jc w:val="center"/>
                    <w:textAlignment w:val="baseline"/>
                  </w:pPr>
                  <w:r>
                    <w:t>≥1，&lt;3</w:t>
                  </w:r>
                </w:p>
              </w:tc>
              <w:tc>
                <w:tcPr>
                  <w:tcW w:w="1120" w:type="dxa"/>
                  <w:noWrap/>
                  <w:vAlign w:val="center"/>
                </w:tcPr>
                <w:p>
                  <w:pPr>
                    <w:widowControl/>
                    <w:tabs>
                      <w:tab w:val="left" w:pos="630"/>
                      <w:tab w:val="left" w:pos="1260"/>
                    </w:tabs>
                    <w:jc w:val="center"/>
                    <w:textAlignment w:val="baseline"/>
                  </w:pPr>
                  <w:r>
                    <w:t>≥3，&lt;6</w:t>
                  </w:r>
                </w:p>
              </w:tc>
              <w:tc>
                <w:tcPr>
                  <w:tcW w:w="1608" w:type="dxa"/>
                  <w:noWrap/>
                  <w:vAlign w:val="center"/>
                </w:tcPr>
                <w:p>
                  <w:pPr>
                    <w:widowControl/>
                    <w:tabs>
                      <w:tab w:val="left" w:pos="630"/>
                      <w:tab w:val="left" w:pos="1260"/>
                    </w:tabs>
                    <w:jc w:val="center"/>
                    <w:textAlignment w:val="baseline"/>
                  </w:pPr>
                  <w: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exact"/>
                <w:jc w:val="center"/>
              </w:trPr>
              <w:tc>
                <w:tcPr>
                  <w:tcW w:w="3621" w:type="dxa"/>
                  <w:noWrap/>
                  <w:vAlign w:val="center"/>
                </w:tcPr>
                <w:p>
                  <w:pPr>
                    <w:widowControl/>
                    <w:tabs>
                      <w:tab w:val="left" w:pos="630"/>
                      <w:tab w:val="left" w:pos="1260"/>
                    </w:tabs>
                    <w:jc w:val="center"/>
                    <w:textAlignment w:val="baseline"/>
                  </w:pPr>
                  <w:r>
                    <w:t>最高允许排放浓度（mg/m</w:t>
                  </w:r>
                  <w:r>
                    <w:rPr>
                      <w:vertAlign w:val="superscript"/>
                    </w:rPr>
                    <w:t>3</w:t>
                  </w:r>
                  <w:r>
                    <w:t>）</w:t>
                  </w:r>
                </w:p>
              </w:tc>
              <w:tc>
                <w:tcPr>
                  <w:tcW w:w="4357" w:type="dxa"/>
                  <w:gridSpan w:val="3"/>
                  <w:noWrap/>
                  <w:vAlign w:val="center"/>
                </w:tcPr>
                <w:p>
                  <w:pPr>
                    <w:widowControl/>
                    <w:tabs>
                      <w:tab w:val="left" w:pos="630"/>
                      <w:tab w:val="left" w:pos="1260"/>
                    </w:tabs>
                    <w:jc w:val="center"/>
                    <w:textAlignment w:val="baseline"/>
                  </w:pPr>
                  <w: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exact"/>
                <w:jc w:val="center"/>
              </w:trPr>
              <w:tc>
                <w:tcPr>
                  <w:tcW w:w="3621" w:type="dxa"/>
                  <w:noWrap/>
                  <w:vAlign w:val="center"/>
                </w:tcPr>
                <w:p>
                  <w:pPr>
                    <w:widowControl/>
                    <w:tabs>
                      <w:tab w:val="left" w:pos="630"/>
                      <w:tab w:val="left" w:pos="1260"/>
                    </w:tabs>
                    <w:jc w:val="center"/>
                    <w:textAlignment w:val="baseline"/>
                  </w:pPr>
                  <w:r>
                    <w:t>净化设施最低去除效率（%）</w:t>
                  </w:r>
                </w:p>
              </w:tc>
              <w:tc>
                <w:tcPr>
                  <w:tcW w:w="1629" w:type="dxa"/>
                  <w:noWrap/>
                  <w:vAlign w:val="center"/>
                </w:tcPr>
                <w:p>
                  <w:pPr>
                    <w:widowControl/>
                    <w:tabs>
                      <w:tab w:val="left" w:pos="630"/>
                      <w:tab w:val="left" w:pos="1260"/>
                    </w:tabs>
                    <w:jc w:val="center"/>
                    <w:textAlignment w:val="baseline"/>
                  </w:pPr>
                  <w:r>
                    <w:t>60</w:t>
                  </w:r>
                </w:p>
              </w:tc>
              <w:tc>
                <w:tcPr>
                  <w:tcW w:w="1120" w:type="dxa"/>
                  <w:noWrap/>
                  <w:vAlign w:val="center"/>
                </w:tcPr>
                <w:p>
                  <w:pPr>
                    <w:widowControl/>
                    <w:tabs>
                      <w:tab w:val="left" w:pos="630"/>
                      <w:tab w:val="left" w:pos="1260"/>
                    </w:tabs>
                    <w:jc w:val="center"/>
                    <w:textAlignment w:val="baseline"/>
                  </w:pPr>
                  <w:r>
                    <w:t>75</w:t>
                  </w:r>
                </w:p>
              </w:tc>
              <w:tc>
                <w:tcPr>
                  <w:tcW w:w="1608" w:type="dxa"/>
                  <w:noWrap/>
                  <w:vAlign w:val="center"/>
                </w:tcPr>
                <w:p>
                  <w:pPr>
                    <w:widowControl/>
                    <w:tabs>
                      <w:tab w:val="left" w:pos="630"/>
                      <w:tab w:val="left" w:pos="1260"/>
                    </w:tabs>
                    <w:jc w:val="center"/>
                    <w:textAlignment w:val="baseline"/>
                  </w:pPr>
                  <w:r>
                    <w:t>80</w:t>
                  </w:r>
                </w:p>
              </w:tc>
            </w:tr>
          </w:tbl>
          <w:p>
            <w:pPr>
              <w:adjustRightInd w:val="0"/>
              <w:snapToGrid w:val="0"/>
              <w:spacing w:line="360" w:lineRule="auto"/>
              <w:ind w:firstLine="482" w:firstLineChars="200"/>
              <w:rPr>
                <w:sz w:val="24"/>
                <w:szCs w:val="24"/>
              </w:rPr>
            </w:pPr>
            <w:r>
              <w:rPr>
                <w:b/>
                <w:bCs/>
                <w:sz w:val="24"/>
                <w:szCs w:val="24"/>
              </w:rPr>
              <w:t>2、废水排放标准</w:t>
            </w:r>
          </w:p>
          <w:p>
            <w:pPr>
              <w:spacing w:line="360" w:lineRule="auto"/>
              <w:ind w:firstLine="480" w:firstLineChars="200"/>
              <w:rPr>
                <w:sz w:val="24"/>
                <w:szCs w:val="24"/>
              </w:rPr>
            </w:pPr>
            <w:r>
              <w:rPr>
                <w:sz w:val="24"/>
                <w:szCs w:val="24"/>
              </w:rPr>
              <w:t>本项目废水执行</w:t>
            </w:r>
            <w:r>
              <w:rPr>
                <w:rFonts w:hint="eastAsia"/>
                <w:sz w:val="24"/>
                <w:szCs w:val="24"/>
              </w:rPr>
              <w:t>宿州市经济技术开发区污水处理厂</w:t>
            </w:r>
            <w:r>
              <w:rPr>
                <w:sz w:val="24"/>
                <w:szCs w:val="24"/>
              </w:rPr>
              <w:t>接管标准，经</w:t>
            </w:r>
            <w:r>
              <w:rPr>
                <w:rFonts w:hint="eastAsia"/>
                <w:sz w:val="24"/>
                <w:szCs w:val="24"/>
              </w:rPr>
              <w:t>宿州市经济技术开发区污水处理厂</w:t>
            </w:r>
            <w:r>
              <w:rPr>
                <w:sz w:val="24"/>
                <w:szCs w:val="24"/>
              </w:rPr>
              <w:t>处理达标后，排入运粮河；具体标准见表3-1</w:t>
            </w:r>
            <w:r>
              <w:rPr>
                <w:rFonts w:hint="eastAsia"/>
                <w:sz w:val="24"/>
                <w:szCs w:val="24"/>
              </w:rPr>
              <w:t>2</w:t>
            </w:r>
            <w:r>
              <w:rPr>
                <w:sz w:val="24"/>
                <w:szCs w:val="24"/>
              </w:rPr>
              <w:t>。</w:t>
            </w:r>
          </w:p>
          <w:p>
            <w:pPr>
              <w:pStyle w:val="64"/>
              <w:spacing w:line="360" w:lineRule="auto"/>
            </w:pPr>
            <w:r>
              <w:rPr>
                <w:sz w:val="24"/>
                <w:szCs w:val="24"/>
              </w:rPr>
              <w:t>表3-1</w:t>
            </w:r>
            <w:r>
              <w:rPr>
                <w:rFonts w:hint="eastAsia"/>
                <w:sz w:val="24"/>
                <w:szCs w:val="24"/>
              </w:rPr>
              <w:t>2宿州市经济技术开发区污水处理厂</w:t>
            </w:r>
            <w:r>
              <w:rPr>
                <w:sz w:val="24"/>
                <w:szCs w:val="24"/>
              </w:rPr>
              <w:t>接管及排放标准  单位：mg/L</w:t>
            </w:r>
          </w:p>
          <w:tbl>
            <w:tblPr>
              <w:tblStyle w:val="23"/>
              <w:tblW w:w="8017"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3421"/>
              <w:gridCol w:w="689"/>
              <w:gridCol w:w="690"/>
              <w:gridCol w:w="855"/>
              <w:gridCol w:w="959"/>
              <w:gridCol w:w="659"/>
              <w:gridCol w:w="744"/>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89" w:hRule="atLeast"/>
                <w:jc w:val="center"/>
              </w:trPr>
              <w:tc>
                <w:tcPr>
                  <w:tcW w:w="2131" w:type="pct"/>
                  <w:tcBorders>
                    <w:top w:val="single" w:color="auto" w:sz="4" w:space="0"/>
                    <w:left w:val="single" w:color="auto" w:sz="4" w:space="0"/>
                    <w:bottom w:val="single" w:color="auto" w:sz="6" w:space="0"/>
                    <w:right w:val="single" w:color="auto" w:sz="6" w:space="0"/>
                  </w:tcBorders>
                  <w:vAlign w:val="center"/>
                </w:tcPr>
                <w:p>
                  <w:pPr>
                    <w:jc w:val="center"/>
                  </w:pPr>
                  <w:r>
                    <w:t>项目</w:t>
                  </w:r>
                </w:p>
              </w:tc>
              <w:tc>
                <w:tcPr>
                  <w:tcW w:w="429" w:type="pct"/>
                  <w:tcBorders>
                    <w:top w:val="single" w:color="auto" w:sz="4" w:space="0"/>
                    <w:left w:val="single" w:color="auto" w:sz="6" w:space="0"/>
                    <w:bottom w:val="single" w:color="auto" w:sz="6" w:space="0"/>
                    <w:right w:val="single" w:color="auto" w:sz="6" w:space="0"/>
                  </w:tcBorders>
                  <w:vAlign w:val="center"/>
                </w:tcPr>
                <w:p>
                  <w:pPr>
                    <w:jc w:val="center"/>
                  </w:pPr>
                  <w:r>
                    <w:t>pH</w:t>
                  </w:r>
                </w:p>
              </w:tc>
              <w:tc>
                <w:tcPr>
                  <w:tcW w:w="430" w:type="pct"/>
                  <w:tcBorders>
                    <w:top w:val="single" w:color="auto" w:sz="4" w:space="0"/>
                    <w:left w:val="single" w:color="auto" w:sz="6" w:space="0"/>
                    <w:bottom w:val="single" w:color="auto" w:sz="6" w:space="0"/>
                    <w:right w:val="single" w:color="auto" w:sz="6" w:space="0"/>
                  </w:tcBorders>
                  <w:vAlign w:val="center"/>
                </w:tcPr>
                <w:p>
                  <w:pPr>
                    <w:jc w:val="center"/>
                  </w:pPr>
                  <w:r>
                    <w:t>COD</w:t>
                  </w:r>
                </w:p>
              </w:tc>
              <w:tc>
                <w:tcPr>
                  <w:tcW w:w="533" w:type="pct"/>
                  <w:tcBorders>
                    <w:top w:val="single" w:color="auto" w:sz="4" w:space="0"/>
                    <w:left w:val="single" w:color="auto" w:sz="6" w:space="0"/>
                    <w:bottom w:val="single" w:color="auto" w:sz="6" w:space="0"/>
                    <w:right w:val="single" w:color="auto" w:sz="6" w:space="0"/>
                  </w:tcBorders>
                  <w:vAlign w:val="center"/>
                </w:tcPr>
                <w:p>
                  <w:pPr>
                    <w:jc w:val="center"/>
                  </w:pPr>
                  <w:r>
                    <w:t>BOD</w:t>
                  </w:r>
                  <w:r>
                    <w:rPr>
                      <w:vertAlign w:val="subscript"/>
                    </w:rPr>
                    <w:t>5</w:t>
                  </w:r>
                </w:p>
              </w:tc>
              <w:tc>
                <w:tcPr>
                  <w:tcW w:w="598" w:type="pct"/>
                  <w:tcBorders>
                    <w:top w:val="single" w:color="auto" w:sz="4" w:space="0"/>
                    <w:left w:val="single" w:color="auto" w:sz="6" w:space="0"/>
                    <w:bottom w:val="single" w:color="auto" w:sz="6" w:space="0"/>
                    <w:right w:val="single" w:color="auto" w:sz="6" w:space="0"/>
                  </w:tcBorders>
                  <w:vAlign w:val="center"/>
                </w:tcPr>
                <w:p>
                  <w:pPr>
                    <w:jc w:val="center"/>
                  </w:pPr>
                  <w:r>
                    <w:t>NH</w:t>
                  </w:r>
                  <w:r>
                    <w:rPr>
                      <w:vertAlign w:val="subscript"/>
                    </w:rPr>
                    <w:t>3</w:t>
                  </w:r>
                  <w:r>
                    <w:t>-N</w:t>
                  </w:r>
                </w:p>
              </w:tc>
              <w:tc>
                <w:tcPr>
                  <w:tcW w:w="411" w:type="pct"/>
                  <w:tcBorders>
                    <w:top w:val="single" w:color="auto" w:sz="4" w:space="0"/>
                    <w:left w:val="single" w:color="auto" w:sz="6" w:space="0"/>
                    <w:bottom w:val="single" w:color="auto" w:sz="6" w:space="0"/>
                    <w:right w:val="single" w:color="auto" w:sz="6" w:space="0"/>
                  </w:tcBorders>
                  <w:vAlign w:val="center"/>
                </w:tcPr>
                <w:p>
                  <w:pPr>
                    <w:jc w:val="center"/>
                  </w:pPr>
                  <w:r>
                    <w:t>SS</w:t>
                  </w:r>
                </w:p>
              </w:tc>
              <w:tc>
                <w:tcPr>
                  <w:tcW w:w="464" w:type="pct"/>
                  <w:tcBorders>
                    <w:top w:val="single" w:color="auto" w:sz="4" w:space="0"/>
                    <w:left w:val="single" w:color="auto" w:sz="6" w:space="0"/>
                    <w:bottom w:val="single" w:color="auto" w:sz="6" w:space="0"/>
                    <w:right w:val="single" w:color="auto" w:sz="4" w:space="0"/>
                  </w:tcBorders>
                  <w:vAlign w:val="center"/>
                </w:tcPr>
                <w:p>
                  <w:pPr>
                    <w:jc w:val="center"/>
                  </w:pPr>
                  <w:r>
                    <w:t>动植</w:t>
                  </w:r>
                </w:p>
                <w:p>
                  <w:pPr>
                    <w:jc w:val="center"/>
                  </w:pPr>
                  <w:r>
                    <w:t>物油</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2" w:hRule="atLeast"/>
                <w:jc w:val="center"/>
              </w:trPr>
              <w:tc>
                <w:tcPr>
                  <w:tcW w:w="2131" w:type="pct"/>
                  <w:tcBorders>
                    <w:top w:val="single" w:color="auto" w:sz="6" w:space="0"/>
                    <w:left w:val="single" w:color="auto" w:sz="4" w:space="0"/>
                    <w:bottom w:val="single" w:color="auto" w:sz="6" w:space="0"/>
                    <w:right w:val="single" w:color="auto" w:sz="6" w:space="0"/>
                  </w:tcBorders>
                  <w:vAlign w:val="center"/>
                </w:tcPr>
                <w:p>
                  <w:pPr>
                    <w:jc w:val="center"/>
                  </w:pPr>
                  <w:r>
                    <w:rPr>
                      <w:rFonts w:hint="eastAsia"/>
                      <w:kern w:val="0"/>
                    </w:rPr>
                    <w:t>宿州市经济技术开发区污水处理厂</w:t>
                  </w:r>
                  <w:r>
                    <w:rPr>
                      <w:kern w:val="0"/>
                    </w:rPr>
                    <w:t>接管标准</w:t>
                  </w:r>
                </w:p>
              </w:tc>
              <w:tc>
                <w:tcPr>
                  <w:tcW w:w="429" w:type="pct"/>
                  <w:tcBorders>
                    <w:top w:val="single" w:color="auto" w:sz="6" w:space="0"/>
                    <w:left w:val="single" w:color="auto" w:sz="6" w:space="0"/>
                    <w:bottom w:val="single" w:color="auto" w:sz="6" w:space="0"/>
                    <w:right w:val="single" w:color="auto" w:sz="6" w:space="0"/>
                  </w:tcBorders>
                  <w:vAlign w:val="center"/>
                </w:tcPr>
                <w:p>
                  <w:pPr>
                    <w:jc w:val="center"/>
                  </w:pPr>
                  <w:r>
                    <w:t>6~9</w:t>
                  </w:r>
                </w:p>
              </w:tc>
              <w:tc>
                <w:tcPr>
                  <w:tcW w:w="430" w:type="pct"/>
                  <w:tcBorders>
                    <w:top w:val="single" w:color="auto" w:sz="6" w:space="0"/>
                    <w:left w:val="single" w:color="auto" w:sz="6" w:space="0"/>
                    <w:bottom w:val="single" w:color="auto" w:sz="6" w:space="0"/>
                    <w:right w:val="single" w:color="auto" w:sz="6" w:space="0"/>
                  </w:tcBorders>
                  <w:vAlign w:val="center"/>
                </w:tcPr>
                <w:p>
                  <w:pPr>
                    <w:jc w:val="center"/>
                  </w:pPr>
                  <w:r>
                    <w:rPr>
                      <w:rFonts w:hint="eastAsia"/>
                    </w:rPr>
                    <w:t>500</w:t>
                  </w:r>
                </w:p>
              </w:tc>
              <w:tc>
                <w:tcPr>
                  <w:tcW w:w="533" w:type="pct"/>
                  <w:tcBorders>
                    <w:top w:val="single" w:color="auto" w:sz="6" w:space="0"/>
                    <w:left w:val="single" w:color="auto" w:sz="6" w:space="0"/>
                    <w:bottom w:val="single" w:color="auto" w:sz="6" w:space="0"/>
                    <w:right w:val="single" w:color="auto" w:sz="6" w:space="0"/>
                  </w:tcBorders>
                  <w:vAlign w:val="center"/>
                </w:tcPr>
                <w:p>
                  <w:pPr>
                    <w:jc w:val="center"/>
                  </w:pPr>
                  <w:r>
                    <w:t>1</w:t>
                  </w:r>
                  <w:r>
                    <w:rPr>
                      <w:rFonts w:hint="eastAsia"/>
                    </w:rPr>
                    <w:t>60</w:t>
                  </w:r>
                </w:p>
              </w:tc>
              <w:tc>
                <w:tcPr>
                  <w:tcW w:w="598" w:type="pct"/>
                  <w:tcBorders>
                    <w:top w:val="single" w:color="auto" w:sz="6" w:space="0"/>
                    <w:left w:val="single" w:color="auto" w:sz="6" w:space="0"/>
                    <w:bottom w:val="single" w:color="auto" w:sz="6" w:space="0"/>
                    <w:right w:val="single" w:color="auto" w:sz="6" w:space="0"/>
                  </w:tcBorders>
                  <w:vAlign w:val="center"/>
                </w:tcPr>
                <w:p>
                  <w:pPr>
                    <w:jc w:val="center"/>
                  </w:pPr>
                  <w:r>
                    <w:rPr>
                      <w:rFonts w:hint="eastAsia"/>
                    </w:rPr>
                    <w:t>30</w:t>
                  </w:r>
                </w:p>
              </w:tc>
              <w:tc>
                <w:tcPr>
                  <w:tcW w:w="411" w:type="pct"/>
                  <w:tcBorders>
                    <w:top w:val="single" w:color="auto" w:sz="6" w:space="0"/>
                    <w:left w:val="single" w:color="auto" w:sz="6" w:space="0"/>
                    <w:bottom w:val="single" w:color="auto" w:sz="6" w:space="0"/>
                    <w:right w:val="single" w:color="auto" w:sz="6" w:space="0"/>
                  </w:tcBorders>
                  <w:vAlign w:val="center"/>
                </w:tcPr>
                <w:p>
                  <w:pPr>
                    <w:jc w:val="center"/>
                  </w:pPr>
                  <w:r>
                    <w:t>2</w:t>
                  </w:r>
                  <w:r>
                    <w:rPr>
                      <w:rFonts w:hint="eastAsia"/>
                    </w:rPr>
                    <w:t>50</w:t>
                  </w:r>
                </w:p>
              </w:tc>
              <w:tc>
                <w:tcPr>
                  <w:tcW w:w="464" w:type="pct"/>
                  <w:tcBorders>
                    <w:top w:val="single" w:color="auto" w:sz="6" w:space="0"/>
                    <w:left w:val="single" w:color="auto" w:sz="6" w:space="0"/>
                    <w:bottom w:val="single" w:color="auto" w:sz="6" w:space="0"/>
                    <w:right w:val="single" w:color="auto" w:sz="4" w:space="0"/>
                  </w:tcBorders>
                  <w:vAlign w:val="center"/>
                </w:tcPr>
                <w:p>
                  <w:pPr>
                    <w:jc w:val="center"/>
                  </w:pPr>
                  <w:r>
                    <w:t>30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04" w:hRule="atLeast"/>
                <w:jc w:val="center"/>
              </w:trPr>
              <w:tc>
                <w:tcPr>
                  <w:tcW w:w="2131" w:type="pct"/>
                  <w:tcBorders>
                    <w:top w:val="single" w:color="auto" w:sz="6" w:space="0"/>
                    <w:left w:val="single" w:color="auto" w:sz="4" w:space="0"/>
                    <w:bottom w:val="single" w:color="auto" w:sz="4" w:space="0"/>
                    <w:right w:val="single" w:color="auto" w:sz="6" w:space="0"/>
                  </w:tcBorders>
                  <w:vAlign w:val="center"/>
                </w:tcPr>
                <w:p>
                  <w:pPr>
                    <w:jc w:val="center"/>
                  </w:pPr>
                  <w:r>
                    <w:t>《城镇污水处理厂污染物排放标准》GB18918-2002一级A排放标准</w:t>
                  </w:r>
                </w:p>
              </w:tc>
              <w:tc>
                <w:tcPr>
                  <w:tcW w:w="429" w:type="pct"/>
                  <w:tcBorders>
                    <w:top w:val="single" w:color="auto" w:sz="6" w:space="0"/>
                    <w:left w:val="single" w:color="auto" w:sz="6" w:space="0"/>
                    <w:bottom w:val="single" w:color="auto" w:sz="4" w:space="0"/>
                    <w:right w:val="single" w:color="auto" w:sz="6" w:space="0"/>
                  </w:tcBorders>
                  <w:vAlign w:val="center"/>
                </w:tcPr>
                <w:p>
                  <w:pPr>
                    <w:jc w:val="center"/>
                  </w:pPr>
                  <w:r>
                    <w:t>6~9</w:t>
                  </w:r>
                </w:p>
              </w:tc>
              <w:tc>
                <w:tcPr>
                  <w:tcW w:w="430" w:type="pct"/>
                  <w:tcBorders>
                    <w:top w:val="single" w:color="auto" w:sz="6" w:space="0"/>
                    <w:left w:val="single" w:color="auto" w:sz="6" w:space="0"/>
                    <w:bottom w:val="single" w:color="auto" w:sz="4" w:space="0"/>
                    <w:right w:val="single" w:color="auto" w:sz="6" w:space="0"/>
                  </w:tcBorders>
                  <w:vAlign w:val="center"/>
                </w:tcPr>
                <w:p>
                  <w:pPr>
                    <w:jc w:val="center"/>
                  </w:pPr>
                  <w:r>
                    <w:t>50</w:t>
                  </w:r>
                </w:p>
              </w:tc>
              <w:tc>
                <w:tcPr>
                  <w:tcW w:w="533" w:type="pct"/>
                  <w:tcBorders>
                    <w:top w:val="single" w:color="auto" w:sz="6" w:space="0"/>
                    <w:left w:val="single" w:color="auto" w:sz="6" w:space="0"/>
                    <w:bottom w:val="single" w:color="auto" w:sz="4" w:space="0"/>
                    <w:right w:val="single" w:color="auto" w:sz="6" w:space="0"/>
                  </w:tcBorders>
                  <w:vAlign w:val="center"/>
                </w:tcPr>
                <w:p>
                  <w:pPr>
                    <w:jc w:val="center"/>
                  </w:pPr>
                  <w:r>
                    <w:t>10</w:t>
                  </w:r>
                </w:p>
              </w:tc>
              <w:tc>
                <w:tcPr>
                  <w:tcW w:w="598" w:type="pct"/>
                  <w:tcBorders>
                    <w:top w:val="single" w:color="auto" w:sz="6" w:space="0"/>
                    <w:left w:val="single" w:color="auto" w:sz="6" w:space="0"/>
                    <w:bottom w:val="single" w:color="auto" w:sz="4" w:space="0"/>
                    <w:right w:val="single" w:color="auto" w:sz="6" w:space="0"/>
                  </w:tcBorders>
                  <w:vAlign w:val="center"/>
                </w:tcPr>
                <w:p>
                  <w:pPr>
                    <w:jc w:val="center"/>
                  </w:pPr>
                  <w:r>
                    <w:t>5（8）</w:t>
                  </w:r>
                </w:p>
              </w:tc>
              <w:tc>
                <w:tcPr>
                  <w:tcW w:w="411" w:type="pct"/>
                  <w:tcBorders>
                    <w:top w:val="single" w:color="auto" w:sz="6" w:space="0"/>
                    <w:left w:val="single" w:color="auto" w:sz="6" w:space="0"/>
                    <w:bottom w:val="single" w:color="auto" w:sz="4" w:space="0"/>
                    <w:right w:val="single" w:color="auto" w:sz="6" w:space="0"/>
                  </w:tcBorders>
                  <w:vAlign w:val="center"/>
                </w:tcPr>
                <w:p>
                  <w:pPr>
                    <w:jc w:val="center"/>
                  </w:pPr>
                  <w:r>
                    <w:t>10</w:t>
                  </w:r>
                </w:p>
              </w:tc>
              <w:tc>
                <w:tcPr>
                  <w:tcW w:w="464" w:type="pct"/>
                  <w:tcBorders>
                    <w:top w:val="single" w:color="auto" w:sz="6" w:space="0"/>
                    <w:left w:val="single" w:color="auto" w:sz="6" w:space="0"/>
                    <w:bottom w:val="single" w:color="auto" w:sz="4" w:space="0"/>
                    <w:right w:val="single" w:color="auto" w:sz="4" w:space="0"/>
                  </w:tcBorders>
                  <w:vAlign w:val="center"/>
                </w:tcPr>
                <w:p>
                  <w:pPr>
                    <w:jc w:val="center"/>
                  </w:pPr>
                  <w:r>
                    <w:t>1</w:t>
                  </w:r>
                </w:p>
              </w:tc>
            </w:tr>
          </w:tbl>
          <w:p>
            <w:pPr>
              <w:adjustRightInd w:val="0"/>
              <w:snapToGrid w:val="0"/>
              <w:spacing w:line="360" w:lineRule="auto"/>
              <w:ind w:firstLine="482" w:firstLineChars="200"/>
              <w:jc w:val="left"/>
              <w:rPr>
                <w:kern w:val="0"/>
                <w:sz w:val="24"/>
                <w:szCs w:val="24"/>
              </w:rPr>
            </w:pPr>
            <w:r>
              <w:rPr>
                <w:b/>
                <w:bCs/>
                <w:kern w:val="0"/>
                <w:sz w:val="24"/>
                <w:szCs w:val="24"/>
              </w:rPr>
              <w:t>3、噪声排放标准</w:t>
            </w:r>
          </w:p>
          <w:p>
            <w:pPr>
              <w:widowControl/>
              <w:spacing w:line="360" w:lineRule="auto"/>
              <w:ind w:firstLine="480" w:firstLineChars="200"/>
              <w:rPr>
                <w:sz w:val="24"/>
              </w:rPr>
            </w:pPr>
            <w:r>
              <w:rPr>
                <w:sz w:val="24"/>
              </w:rPr>
              <w:t>施工期执行《建筑施工场界环境噪声排放标准》（GB 12523-2011）；</w:t>
            </w:r>
            <w:r>
              <w:rPr>
                <w:sz w:val="24"/>
                <w:szCs w:val="24"/>
              </w:rPr>
              <w:t>运营期厂界噪声执行《工业企业厂界环境噪声排放标准》（GBl2348-2008）3类标准</w:t>
            </w:r>
            <w:r>
              <w:rPr>
                <w:sz w:val="24"/>
              </w:rPr>
              <w:t>；具体见下表。</w:t>
            </w:r>
          </w:p>
          <w:p>
            <w:pPr>
              <w:pStyle w:val="64"/>
              <w:spacing w:line="360" w:lineRule="auto"/>
              <w:rPr>
                <w:sz w:val="24"/>
              </w:rPr>
            </w:pPr>
            <w:r>
              <w:rPr>
                <w:sz w:val="24"/>
              </w:rPr>
              <w:t>表</w:t>
            </w:r>
            <w:r>
              <w:rPr>
                <w:rFonts w:hint="eastAsia"/>
                <w:sz w:val="24"/>
              </w:rPr>
              <w:t>3-13</w:t>
            </w:r>
            <w:r>
              <w:rPr>
                <w:sz w:val="24"/>
              </w:rPr>
              <w:t xml:space="preserve">  建筑施工场界环境噪声排放标准 单位:dB(A)</w:t>
            </w:r>
          </w:p>
          <w:tbl>
            <w:tblPr>
              <w:tblStyle w:val="23"/>
              <w:tblW w:w="81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74"/>
              <w:gridCol w:w="4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exact"/>
                <w:jc w:val="center"/>
              </w:trPr>
              <w:tc>
                <w:tcPr>
                  <w:tcW w:w="3874" w:type="dxa"/>
                  <w:noWrap/>
                  <w:vAlign w:val="center"/>
                </w:tcPr>
                <w:p>
                  <w:pPr>
                    <w:pStyle w:val="67"/>
                    <w:ind w:firstLine="0"/>
                    <w:jc w:val="center"/>
                    <w:rPr>
                      <w:bCs/>
                      <w:szCs w:val="21"/>
                    </w:rPr>
                  </w:pPr>
                  <w:r>
                    <w:rPr>
                      <w:rFonts w:ascii="Times New Roman"/>
                      <w:bCs/>
                      <w:sz w:val="21"/>
                      <w:szCs w:val="21"/>
                    </w:rPr>
                    <w:t>昼间</w:t>
                  </w:r>
                </w:p>
              </w:tc>
              <w:tc>
                <w:tcPr>
                  <w:tcW w:w="4268" w:type="dxa"/>
                  <w:noWrap/>
                  <w:vAlign w:val="center"/>
                </w:tcPr>
                <w:p>
                  <w:pPr>
                    <w:jc w:val="center"/>
                    <w:rPr>
                      <w:bCs/>
                    </w:rPr>
                  </w:pPr>
                  <w:r>
                    <w:t>夜间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exact"/>
                <w:jc w:val="center"/>
              </w:trPr>
              <w:tc>
                <w:tcPr>
                  <w:tcW w:w="3874" w:type="dxa"/>
                  <w:noWrap/>
                  <w:vAlign w:val="center"/>
                </w:tcPr>
                <w:p>
                  <w:pPr>
                    <w:jc w:val="center"/>
                  </w:pPr>
                  <w:r>
                    <w:rPr>
                      <w:rFonts w:hint="eastAsia"/>
                    </w:rPr>
                    <w:t>70</w:t>
                  </w:r>
                </w:p>
              </w:tc>
              <w:tc>
                <w:tcPr>
                  <w:tcW w:w="4268" w:type="dxa"/>
                  <w:noWrap/>
                  <w:vAlign w:val="center"/>
                </w:tcPr>
                <w:p>
                  <w:pPr>
                    <w:jc w:val="center"/>
                  </w:pPr>
                  <w:r>
                    <w:rPr>
                      <w:rFonts w:hint="eastAsia"/>
                    </w:rPr>
                    <w:t>55</w:t>
                  </w:r>
                </w:p>
              </w:tc>
            </w:tr>
          </w:tbl>
          <w:p>
            <w:pPr>
              <w:pStyle w:val="64"/>
              <w:spacing w:line="360" w:lineRule="auto"/>
              <w:rPr>
                <w:sz w:val="24"/>
                <w:szCs w:val="24"/>
              </w:rPr>
            </w:pPr>
            <w:r>
              <w:rPr>
                <w:sz w:val="24"/>
                <w:szCs w:val="24"/>
              </w:rPr>
              <w:t>表3-1</w:t>
            </w:r>
            <w:r>
              <w:rPr>
                <w:rFonts w:hint="eastAsia"/>
                <w:sz w:val="24"/>
                <w:szCs w:val="24"/>
              </w:rPr>
              <w:t>4</w:t>
            </w:r>
            <w:r>
              <w:rPr>
                <w:sz w:val="24"/>
                <w:szCs w:val="24"/>
              </w:rPr>
              <w:t xml:space="preserve">  工业企业厂界环境噪声排放标准</w:t>
            </w:r>
          </w:p>
          <w:tbl>
            <w:tblPr>
              <w:tblStyle w:val="23"/>
              <w:tblW w:w="8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5"/>
              <w:gridCol w:w="3257"/>
              <w:gridCol w:w="33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7" w:hRule="atLeast"/>
                <w:jc w:val="center"/>
              </w:trPr>
              <w:tc>
                <w:tcPr>
                  <w:tcW w:w="932" w:type="pct"/>
                  <w:vMerge w:val="restart"/>
                  <w:tcBorders>
                    <w:top w:val="single" w:color="auto" w:sz="4" w:space="0"/>
                    <w:left w:val="single" w:color="auto" w:sz="4" w:space="0"/>
                    <w:bottom w:val="single" w:color="auto" w:sz="4" w:space="0"/>
                    <w:right w:val="single" w:color="auto" w:sz="4" w:space="0"/>
                  </w:tcBorders>
                  <w:vAlign w:val="center"/>
                </w:tcPr>
                <w:p>
                  <w:pPr>
                    <w:pStyle w:val="67"/>
                    <w:ind w:firstLine="0"/>
                    <w:jc w:val="center"/>
                    <w:rPr>
                      <w:rFonts w:ascii="Times New Roman" w:cs="Times New Roman"/>
                      <w:sz w:val="21"/>
                      <w:szCs w:val="21"/>
                    </w:rPr>
                  </w:pPr>
                  <w:r>
                    <w:rPr>
                      <w:rFonts w:ascii="Times New Roman" w:cs="Times New Roman"/>
                      <w:sz w:val="21"/>
                      <w:szCs w:val="21"/>
                    </w:rPr>
                    <w:t>标准</w:t>
                  </w:r>
                </w:p>
              </w:tc>
              <w:tc>
                <w:tcPr>
                  <w:tcW w:w="4067" w:type="pct"/>
                  <w:gridSpan w:val="2"/>
                  <w:tcBorders>
                    <w:top w:val="single" w:color="auto" w:sz="4" w:space="0"/>
                    <w:left w:val="single" w:color="auto" w:sz="4" w:space="0"/>
                    <w:bottom w:val="single" w:color="auto" w:sz="4" w:space="0"/>
                    <w:right w:val="single" w:color="auto" w:sz="4" w:space="0"/>
                  </w:tcBorders>
                  <w:vAlign w:val="center"/>
                </w:tcPr>
                <w:p>
                  <w:pPr>
                    <w:pStyle w:val="67"/>
                    <w:ind w:firstLine="0"/>
                    <w:jc w:val="center"/>
                    <w:rPr>
                      <w:rFonts w:ascii="Times New Roman" w:cs="Times New Roman"/>
                      <w:sz w:val="21"/>
                      <w:szCs w:val="21"/>
                    </w:rPr>
                  </w:pPr>
                  <w:r>
                    <w:rPr>
                      <w:rFonts w:ascii="Times New Roman" w:cs="Times New Roman"/>
                      <w:sz w:val="21"/>
                      <w:szCs w:val="21"/>
                    </w:rPr>
                    <w:t>标准值（dB（A））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932" w:type="pct"/>
                  <w:vMerge w:val="continue"/>
                  <w:tcBorders>
                    <w:top w:val="single" w:color="auto" w:sz="4" w:space="0"/>
                    <w:left w:val="single" w:color="auto" w:sz="4" w:space="0"/>
                    <w:bottom w:val="single" w:color="auto" w:sz="4" w:space="0"/>
                    <w:right w:val="single" w:color="auto" w:sz="4" w:space="0"/>
                  </w:tcBorders>
                  <w:vAlign w:val="center"/>
                </w:tcPr>
                <w:p>
                  <w:pPr>
                    <w:pStyle w:val="67"/>
                    <w:ind w:firstLine="0"/>
                    <w:jc w:val="center"/>
                    <w:rPr>
                      <w:rFonts w:ascii="Times New Roman" w:cs="Times New Roman"/>
                      <w:sz w:val="21"/>
                      <w:szCs w:val="21"/>
                    </w:rPr>
                  </w:pPr>
                </w:p>
              </w:tc>
              <w:tc>
                <w:tcPr>
                  <w:tcW w:w="2017" w:type="pct"/>
                  <w:tcBorders>
                    <w:top w:val="single" w:color="auto" w:sz="4" w:space="0"/>
                    <w:left w:val="single" w:color="auto" w:sz="4" w:space="0"/>
                    <w:bottom w:val="single" w:color="auto" w:sz="4" w:space="0"/>
                    <w:right w:val="single" w:color="auto" w:sz="4" w:space="0"/>
                  </w:tcBorders>
                  <w:vAlign w:val="center"/>
                </w:tcPr>
                <w:p>
                  <w:pPr>
                    <w:jc w:val="center"/>
                  </w:pPr>
                  <w:r>
                    <w:t>昼间</w:t>
                  </w:r>
                </w:p>
              </w:tc>
              <w:tc>
                <w:tcPr>
                  <w:tcW w:w="2050" w:type="pct"/>
                  <w:tcBorders>
                    <w:top w:val="single" w:color="auto" w:sz="4" w:space="0"/>
                    <w:left w:val="single" w:color="auto" w:sz="4" w:space="0"/>
                    <w:bottom w:val="single" w:color="auto" w:sz="4" w:space="0"/>
                    <w:right w:val="single" w:color="auto" w:sz="4" w:space="0"/>
                  </w:tcBorders>
                  <w:vAlign w:val="center"/>
                </w:tcPr>
                <w:p>
                  <w:pPr>
                    <w:jc w:val="center"/>
                  </w:pPr>
                  <w:r>
                    <w:t>夜间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932" w:type="pct"/>
                  <w:tcBorders>
                    <w:top w:val="single" w:color="auto" w:sz="4" w:space="0"/>
                    <w:left w:val="single" w:color="auto" w:sz="4" w:space="0"/>
                    <w:bottom w:val="single" w:color="auto" w:sz="4" w:space="0"/>
                    <w:right w:val="single" w:color="auto" w:sz="4" w:space="0"/>
                  </w:tcBorders>
                  <w:vAlign w:val="center"/>
                </w:tcPr>
                <w:p>
                  <w:pPr>
                    <w:pStyle w:val="67"/>
                    <w:ind w:firstLine="0"/>
                    <w:jc w:val="center"/>
                    <w:rPr>
                      <w:rFonts w:ascii="Times New Roman" w:cs="Times New Roman"/>
                      <w:sz w:val="21"/>
                      <w:szCs w:val="21"/>
                    </w:rPr>
                  </w:pPr>
                  <w:r>
                    <w:rPr>
                      <w:rFonts w:ascii="Times New Roman" w:cs="Times New Roman"/>
                      <w:sz w:val="21"/>
                      <w:szCs w:val="21"/>
                    </w:rPr>
                    <w:t>3类标准</w:t>
                  </w:r>
                </w:p>
              </w:tc>
              <w:tc>
                <w:tcPr>
                  <w:tcW w:w="2017" w:type="pct"/>
                  <w:tcBorders>
                    <w:top w:val="single" w:color="auto" w:sz="4" w:space="0"/>
                    <w:left w:val="single" w:color="auto" w:sz="4" w:space="0"/>
                    <w:bottom w:val="single" w:color="auto" w:sz="4" w:space="0"/>
                    <w:right w:val="single" w:color="auto" w:sz="4" w:space="0"/>
                  </w:tcBorders>
                  <w:vAlign w:val="center"/>
                </w:tcPr>
                <w:p>
                  <w:pPr>
                    <w:jc w:val="center"/>
                  </w:pPr>
                  <w:r>
                    <w:t>65</w:t>
                  </w:r>
                </w:p>
              </w:tc>
              <w:tc>
                <w:tcPr>
                  <w:tcW w:w="2050" w:type="pct"/>
                  <w:tcBorders>
                    <w:top w:val="single" w:color="auto" w:sz="4" w:space="0"/>
                    <w:left w:val="single" w:color="auto" w:sz="4" w:space="0"/>
                    <w:bottom w:val="single" w:color="auto" w:sz="4" w:space="0"/>
                    <w:right w:val="single" w:color="auto" w:sz="4" w:space="0"/>
                  </w:tcBorders>
                  <w:vAlign w:val="center"/>
                </w:tcPr>
                <w:p>
                  <w:pPr>
                    <w:jc w:val="center"/>
                  </w:pPr>
                  <w:r>
                    <w:t>55</w:t>
                  </w:r>
                </w:p>
              </w:tc>
            </w:tr>
          </w:tbl>
          <w:p>
            <w:pPr>
              <w:pStyle w:val="30"/>
              <w:spacing w:line="360" w:lineRule="auto"/>
              <w:ind w:left="420" w:leftChars="200"/>
              <w:rPr>
                <w:rFonts w:ascii="Times New Roman" w:hAnsi="Times New Roman" w:cs="Times New Roman"/>
                <w:b/>
                <w:bCs/>
                <w:color w:val="auto"/>
              </w:rPr>
            </w:pPr>
            <w:r>
              <w:rPr>
                <w:rFonts w:ascii="Times New Roman" w:hAnsi="Times New Roman" w:cs="Times New Roman"/>
                <w:b/>
                <w:bCs/>
                <w:color w:val="auto"/>
              </w:rPr>
              <w:t>4、固体废物存储、处置标准</w:t>
            </w:r>
          </w:p>
          <w:p>
            <w:pPr>
              <w:pStyle w:val="30"/>
              <w:spacing w:line="360" w:lineRule="auto"/>
              <w:ind w:firstLine="480" w:firstLineChars="200"/>
              <w:rPr>
                <w:rFonts w:ascii="Times New Roman" w:hAnsi="Times New Roman" w:cs="Times New Roman"/>
              </w:rPr>
            </w:pPr>
            <w:r>
              <w:rPr>
                <w:rFonts w:ascii="Times New Roman" w:hAnsi="Times New Roman" w:cs="Times New Roman"/>
                <w:color w:val="auto"/>
              </w:rPr>
              <w:t>项目一般固废</w:t>
            </w:r>
            <w:r>
              <w:rPr>
                <w:rFonts w:hint="eastAsia" w:ascii="Times New Roman" w:hAnsi="Times New Roman" w:cs="Times New Roman"/>
                <w:color w:val="auto"/>
              </w:rPr>
              <w:t>参照</w:t>
            </w:r>
            <w:r>
              <w:rPr>
                <w:rFonts w:ascii="Times New Roman" w:hAnsi="Times New Roman" w:cs="Times New Roman"/>
                <w:color w:val="auto"/>
              </w:rPr>
              <w:t>《一般工业固体废物贮存和填埋污染物控制标准》（GB18599-2020）和《</w:t>
            </w:r>
            <w:r>
              <w:rPr>
                <w:rFonts w:hint="eastAsia" w:ascii="Times New Roman" w:hAnsi="Times New Roman" w:cs="Times New Roman"/>
                <w:color w:val="auto"/>
              </w:rPr>
              <w:t>中华人民共和国固体废物污染环境防治法</w:t>
            </w:r>
            <w:bookmarkStart w:id="5" w:name="_GoBack"/>
            <w:bookmarkEnd w:id="5"/>
            <w:r>
              <w:rPr>
                <w:rFonts w:ascii="Times New Roman" w:hAnsi="Times New Roman" w:cs="Times New Roman"/>
                <w:color w:val="auto"/>
              </w:rPr>
              <w:t>》中的有关规定。危险废物贮存满足《危险废物贮存污染控制标准》（GB18597-2001）及2013年修改单（公告2013年第36号）</w:t>
            </w:r>
            <w:r>
              <w:rPr>
                <w:rFonts w:hint="eastAsia" w:ascii="Times New Roman" w:hAnsi="Times New Roman" w:cs="Times New Roman"/>
                <w:color w:val="auto"/>
              </w:rPr>
              <w:t>中的有关规定</w:t>
            </w:r>
            <w:r>
              <w:rPr>
                <w:rFonts w:ascii="Times New Roman" w:hAnsi="Times New Roman" w:cs="Times New Roman"/>
                <w:color w:val="auto"/>
              </w:rPr>
              <w:t>。</w:t>
            </w:r>
          </w:p>
          <w:p>
            <w:pPr>
              <w:pStyle w:val="30"/>
              <w:spacing w:line="360" w:lineRule="auto"/>
              <w:ind w:firstLine="480" w:firstLineChars="200"/>
              <w:rPr>
                <w:rFonts w:ascii="Times New Roman" w:hAnsi="Times New Roman" w:cs="Times New Roman"/>
                <w:kern w:val="0"/>
              </w:rPr>
            </w:pPr>
          </w:p>
          <w:p>
            <w:pPr>
              <w:pStyle w:val="30"/>
              <w:spacing w:line="360" w:lineRule="auto"/>
              <w:ind w:firstLine="480" w:firstLineChars="200"/>
              <w:rPr>
                <w:rFonts w:ascii="Times New Roman" w:hAnsi="Times New Roman" w:cs="Times New Roman"/>
                <w:kern w:val="0"/>
              </w:rPr>
            </w:pPr>
          </w:p>
          <w:p>
            <w:pPr>
              <w:pStyle w:val="30"/>
              <w:spacing w:line="360" w:lineRule="auto"/>
              <w:ind w:firstLine="480" w:firstLineChars="200"/>
              <w:rPr>
                <w:rFonts w:ascii="Times New Roman" w:hAnsi="Times New Roman" w:cs="Times New Roman"/>
                <w:kern w:val="0"/>
              </w:rPr>
            </w:pPr>
          </w:p>
          <w:p>
            <w:pPr>
              <w:pStyle w:val="30"/>
              <w:spacing w:line="360" w:lineRule="auto"/>
              <w:ind w:firstLine="480" w:firstLineChars="200"/>
              <w:rPr>
                <w:rFonts w:ascii="Times New Roman" w:hAnsi="Times New Roman" w:cs="Times New Roman"/>
                <w:kern w:val="0"/>
              </w:rPr>
            </w:pPr>
          </w:p>
          <w:p>
            <w:pPr>
              <w:pStyle w:val="30"/>
              <w:spacing w:line="360" w:lineRule="auto"/>
              <w:ind w:firstLine="480" w:firstLineChars="200"/>
              <w:rPr>
                <w:rFonts w:ascii="Times New Roman" w:hAnsi="Times New Roman" w:cs="Times New Roman"/>
                <w:kern w:val="0"/>
              </w:rPr>
            </w:pPr>
          </w:p>
          <w:p>
            <w:pPr>
              <w:pStyle w:val="30"/>
              <w:spacing w:line="360" w:lineRule="auto"/>
              <w:ind w:firstLine="480" w:firstLineChars="200"/>
              <w:rPr>
                <w:rFonts w:ascii="Times New Roman" w:hAnsi="Times New Roman" w:cs="Times New Roman"/>
                <w:kern w:val="0"/>
              </w:rPr>
            </w:pPr>
          </w:p>
          <w:p>
            <w:pPr>
              <w:pStyle w:val="30"/>
              <w:spacing w:line="360" w:lineRule="auto"/>
              <w:ind w:firstLine="480" w:firstLineChars="200"/>
              <w:rPr>
                <w:rFonts w:ascii="Times New Roman" w:hAnsi="Times New Roman" w:cs="Times New Roman"/>
                <w:kern w:val="0"/>
              </w:rPr>
            </w:pPr>
          </w:p>
          <w:p>
            <w:pPr>
              <w:pStyle w:val="30"/>
              <w:spacing w:line="360" w:lineRule="auto"/>
              <w:rPr>
                <w:rFonts w:ascii="Times New Roman" w:hAnsi="Times New Roman" w:cs="Times New Roman"/>
                <w:kern w:val="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919" w:hRule="atLeast"/>
          <w:jc w:val="center"/>
        </w:trPr>
        <w:tc>
          <w:tcPr>
            <w:tcW w:w="800" w:type="dxa"/>
            <w:tcBorders>
              <w:bottom w:val="single" w:color="auto" w:sz="8" w:space="0"/>
            </w:tcBorders>
            <w:vAlign w:val="center"/>
          </w:tcPr>
          <w:p>
            <w:pPr>
              <w:adjustRightInd w:val="0"/>
              <w:snapToGrid w:val="0"/>
              <w:jc w:val="center"/>
              <w:rPr>
                <w:kern w:val="0"/>
              </w:rPr>
            </w:pPr>
            <w:r>
              <w:rPr>
                <w:kern w:val="0"/>
              </w:rPr>
              <w:t>总量</w:t>
            </w:r>
          </w:p>
          <w:p>
            <w:pPr>
              <w:adjustRightInd w:val="0"/>
              <w:snapToGrid w:val="0"/>
              <w:jc w:val="center"/>
              <w:rPr>
                <w:kern w:val="0"/>
              </w:rPr>
            </w:pPr>
            <w:r>
              <w:rPr>
                <w:kern w:val="0"/>
              </w:rPr>
              <w:t>控制</w:t>
            </w:r>
          </w:p>
          <w:p>
            <w:pPr>
              <w:adjustRightInd w:val="0"/>
              <w:snapToGrid w:val="0"/>
              <w:jc w:val="center"/>
              <w:rPr>
                <w:kern w:val="0"/>
              </w:rPr>
            </w:pPr>
            <w:r>
              <w:rPr>
                <w:kern w:val="0"/>
              </w:rPr>
              <w:t>指标</w:t>
            </w:r>
          </w:p>
        </w:tc>
        <w:tc>
          <w:tcPr>
            <w:tcW w:w="8190" w:type="dxa"/>
            <w:tcBorders>
              <w:bottom w:val="single" w:color="auto" w:sz="8" w:space="0"/>
            </w:tcBorders>
            <w:vAlign w:val="center"/>
          </w:tcPr>
          <w:p>
            <w:pPr>
              <w:spacing w:line="360" w:lineRule="auto"/>
              <w:ind w:firstLine="480" w:firstLineChars="200"/>
              <w:rPr>
                <w:kern w:val="0"/>
                <w:sz w:val="24"/>
                <w:szCs w:val="24"/>
              </w:rPr>
            </w:pPr>
            <w:r>
              <w:rPr>
                <w:kern w:val="0"/>
                <w:sz w:val="24"/>
                <w:szCs w:val="24"/>
              </w:rPr>
              <w:t>根据《安徽省环保厅关于进一步加强建设项目新增大气主要污染物总量指标管理工作的通知》皖环发〔2017〕19号，结合工程分析，本项目涉及的总量控制因子主要为</w:t>
            </w:r>
            <w:r>
              <w:rPr>
                <w:kern w:val="0"/>
                <w:sz w:val="24"/>
              </w:rPr>
              <w:t>COD、NH</w:t>
            </w:r>
            <w:r>
              <w:rPr>
                <w:kern w:val="0"/>
                <w:sz w:val="24"/>
                <w:vertAlign w:val="subscript"/>
              </w:rPr>
              <w:t>3</w:t>
            </w:r>
            <w:r>
              <w:rPr>
                <w:kern w:val="0"/>
                <w:sz w:val="24"/>
              </w:rPr>
              <w:t>-N、SO</w:t>
            </w:r>
            <w:r>
              <w:rPr>
                <w:kern w:val="0"/>
                <w:sz w:val="24"/>
                <w:vertAlign w:val="subscript"/>
              </w:rPr>
              <w:t>2</w:t>
            </w:r>
            <w:r>
              <w:rPr>
                <w:kern w:val="0"/>
                <w:sz w:val="24"/>
              </w:rPr>
              <w:t>、NO</w:t>
            </w:r>
            <w:r>
              <w:rPr>
                <w:kern w:val="0"/>
                <w:sz w:val="24"/>
                <w:vertAlign w:val="subscript"/>
              </w:rPr>
              <w:t>X</w:t>
            </w:r>
            <w:r>
              <w:rPr>
                <w:kern w:val="0"/>
                <w:sz w:val="24"/>
              </w:rPr>
              <w:t>、烟（粉）尘。</w:t>
            </w:r>
          </w:p>
          <w:p>
            <w:pPr>
              <w:adjustRightInd w:val="0"/>
              <w:snapToGrid w:val="0"/>
              <w:spacing w:line="360" w:lineRule="auto"/>
              <w:ind w:firstLine="480" w:firstLineChars="200"/>
              <w:rPr>
                <w:kern w:val="0"/>
                <w:sz w:val="24"/>
                <w:szCs w:val="24"/>
              </w:rPr>
            </w:pPr>
            <w:r>
              <w:rPr>
                <w:kern w:val="0"/>
                <w:sz w:val="24"/>
                <w:szCs w:val="24"/>
              </w:rPr>
              <w:t>本项目</w:t>
            </w:r>
            <w:r>
              <w:rPr>
                <w:rFonts w:ascii="宋体" w:hAnsi="宋体" w:cs="宋体"/>
                <w:sz w:val="24"/>
                <w:szCs w:val="24"/>
              </w:rPr>
              <w:t>食堂废水经隔油池预处理后，与生活污水一同经化粪池处理后纳管，</w:t>
            </w:r>
            <w:r>
              <w:rPr>
                <w:rFonts w:hint="eastAsia" w:ascii="宋体" w:hAnsi="宋体" w:cs="宋体"/>
                <w:sz w:val="24"/>
                <w:szCs w:val="24"/>
                <w:lang w:eastAsia="zh-CN"/>
              </w:rPr>
              <w:t>纯水制备废水</w:t>
            </w:r>
            <w:r>
              <w:rPr>
                <w:rFonts w:ascii="宋体" w:hAnsi="宋体" w:cs="宋体"/>
                <w:sz w:val="24"/>
                <w:szCs w:val="24"/>
              </w:rPr>
              <w:t>浓度满足宿州市经济技术开发区污水处理厂接管标准，可直接纳管排入区域管网，所有废水均进入宿州市经济技术开发区污水处理厂集中处理，达标后排入运粮河</w:t>
            </w:r>
            <w:r>
              <w:rPr>
                <w:color w:val="000000"/>
                <w:spacing w:val="-2"/>
                <w:kern w:val="0"/>
                <w:sz w:val="24"/>
                <w:szCs w:val="24"/>
              </w:rPr>
              <w:t>。</w:t>
            </w:r>
            <w:r>
              <w:rPr>
                <w:kern w:val="0"/>
                <w:sz w:val="24"/>
                <w:szCs w:val="24"/>
              </w:rPr>
              <w:t>由于</w:t>
            </w:r>
            <w:r>
              <w:rPr>
                <w:rFonts w:hint="eastAsia"/>
                <w:kern w:val="0"/>
                <w:sz w:val="24"/>
                <w:szCs w:val="24"/>
              </w:rPr>
              <w:t>本</w:t>
            </w:r>
            <w:r>
              <w:rPr>
                <w:kern w:val="0"/>
                <w:sz w:val="24"/>
                <w:szCs w:val="24"/>
              </w:rPr>
              <w:t>项目废水总量纳入</w:t>
            </w:r>
            <w:r>
              <w:rPr>
                <w:rFonts w:hint="eastAsia"/>
                <w:kern w:val="0"/>
                <w:sz w:val="24"/>
                <w:szCs w:val="24"/>
              </w:rPr>
              <w:t>宿州市经济技术开发区污水处理厂</w:t>
            </w:r>
            <w:r>
              <w:rPr>
                <w:kern w:val="0"/>
                <w:sz w:val="24"/>
                <w:szCs w:val="24"/>
              </w:rPr>
              <w:t>内，因此本项目无需申请水污染物指标。</w:t>
            </w:r>
          </w:p>
          <w:p>
            <w:pPr>
              <w:spacing w:line="360" w:lineRule="auto"/>
              <w:ind w:firstLine="480" w:firstLineChars="200"/>
              <w:rPr>
                <w:color w:val="auto"/>
                <w:kern w:val="0"/>
                <w:sz w:val="24"/>
                <w:szCs w:val="24"/>
              </w:rPr>
            </w:pPr>
            <w:r>
              <w:rPr>
                <w:color w:val="auto"/>
                <w:sz w:val="24"/>
                <w:szCs w:val="24"/>
              </w:rPr>
              <w:t>根据工程分析</w:t>
            </w:r>
            <w:r>
              <w:rPr>
                <w:rFonts w:hint="eastAsia"/>
                <w:color w:val="auto"/>
                <w:sz w:val="24"/>
                <w:szCs w:val="24"/>
              </w:rPr>
              <w:t>可知</w:t>
            </w:r>
            <w:r>
              <w:rPr>
                <w:color w:val="auto"/>
                <w:sz w:val="24"/>
                <w:szCs w:val="24"/>
              </w:rPr>
              <w:t>，本项目</w:t>
            </w:r>
            <w:r>
              <w:rPr>
                <w:rFonts w:hint="eastAsia"/>
                <w:color w:val="auto"/>
                <w:sz w:val="24"/>
                <w:szCs w:val="24"/>
                <w:lang w:eastAsia="zh-CN"/>
              </w:rPr>
              <w:t>猪饲料</w:t>
            </w:r>
            <w:r>
              <w:rPr>
                <w:rFonts w:hint="eastAsia"/>
                <w:color w:val="auto"/>
                <w:sz w:val="24"/>
                <w:szCs w:val="24"/>
              </w:rPr>
              <w:t>生产过程中，</w:t>
            </w:r>
            <w:r>
              <w:rPr>
                <w:rFonts w:hint="eastAsia"/>
                <w:color w:val="auto"/>
                <w:kern w:val="0"/>
                <w:sz w:val="24"/>
                <w:szCs w:val="24"/>
              </w:rPr>
              <w:t>各工段产生的粉尘经各工段配置的除尘器进行处理后，通过同一根35m高的DA001排气筒高空排放；</w:t>
            </w:r>
            <w:r>
              <w:rPr>
                <w:rFonts w:hint="eastAsia"/>
                <w:color w:val="auto"/>
                <w:kern w:val="0"/>
                <w:sz w:val="24"/>
                <w:szCs w:val="24"/>
                <w:lang w:eastAsia="zh-CN"/>
              </w:rPr>
              <w:t>反刍饲料</w:t>
            </w:r>
            <w:r>
              <w:rPr>
                <w:rFonts w:hint="eastAsia"/>
                <w:color w:val="auto"/>
                <w:kern w:val="0"/>
                <w:sz w:val="24"/>
                <w:szCs w:val="24"/>
              </w:rPr>
              <w:t>生产过程中，各工段产生的粉尘经各工段配置的除尘器进行处理后，通过同一根35m高的DA002排气筒高空排放；燃气锅炉设置了低氮燃烧器，燃烧废气通过一根8m高的DA003排气筒高空排放。本项目</w:t>
            </w:r>
            <w:r>
              <w:rPr>
                <w:color w:val="auto"/>
                <w:sz w:val="24"/>
                <w:szCs w:val="24"/>
              </w:rPr>
              <w:t>有组织</w:t>
            </w:r>
            <w:r>
              <w:rPr>
                <w:rFonts w:hint="eastAsia"/>
                <w:color w:val="auto"/>
                <w:sz w:val="24"/>
                <w:szCs w:val="24"/>
              </w:rPr>
              <w:t>排放</w:t>
            </w:r>
            <w:r>
              <w:rPr>
                <w:color w:val="auto"/>
                <w:sz w:val="24"/>
                <w:szCs w:val="24"/>
              </w:rPr>
              <w:t>总量控制指标为：</w:t>
            </w:r>
            <w:r>
              <w:rPr>
                <w:color w:val="auto"/>
                <w:kern w:val="0"/>
                <w:sz w:val="24"/>
              </w:rPr>
              <w:t>SO</w:t>
            </w:r>
            <w:r>
              <w:rPr>
                <w:color w:val="auto"/>
                <w:kern w:val="0"/>
                <w:sz w:val="24"/>
                <w:vertAlign w:val="subscript"/>
              </w:rPr>
              <w:t>2</w:t>
            </w:r>
            <w:r>
              <w:rPr>
                <w:color w:val="auto"/>
                <w:kern w:val="0"/>
                <w:sz w:val="24"/>
              </w:rPr>
              <w:t>：</w:t>
            </w:r>
            <w:r>
              <w:rPr>
                <w:rFonts w:hint="eastAsia"/>
                <w:color w:val="auto"/>
                <w:kern w:val="0"/>
                <w:sz w:val="24"/>
              </w:rPr>
              <w:t>0.0</w:t>
            </w:r>
            <w:r>
              <w:rPr>
                <w:rFonts w:hint="eastAsia"/>
                <w:color w:val="auto"/>
                <w:kern w:val="0"/>
                <w:sz w:val="24"/>
                <w:lang w:val="en-US" w:eastAsia="zh-CN"/>
              </w:rPr>
              <w:t>403</w:t>
            </w:r>
            <w:r>
              <w:rPr>
                <w:color w:val="auto"/>
                <w:kern w:val="0"/>
                <w:sz w:val="24"/>
              </w:rPr>
              <w:t>t/a；NO</w:t>
            </w:r>
            <w:r>
              <w:rPr>
                <w:color w:val="auto"/>
                <w:kern w:val="0"/>
                <w:sz w:val="24"/>
                <w:vertAlign w:val="subscript"/>
              </w:rPr>
              <w:t>X</w:t>
            </w:r>
            <w:r>
              <w:rPr>
                <w:color w:val="auto"/>
                <w:kern w:val="0"/>
                <w:sz w:val="24"/>
              </w:rPr>
              <w:t>：</w:t>
            </w:r>
            <w:r>
              <w:rPr>
                <w:rFonts w:hint="eastAsia"/>
                <w:color w:val="auto"/>
                <w:kern w:val="0"/>
                <w:sz w:val="24"/>
              </w:rPr>
              <w:t>0.1018</w:t>
            </w:r>
            <w:r>
              <w:rPr>
                <w:color w:val="auto"/>
                <w:kern w:val="0"/>
                <w:sz w:val="24"/>
              </w:rPr>
              <w:t>t/a；烟（粉）尘：</w:t>
            </w:r>
            <w:r>
              <w:rPr>
                <w:rFonts w:hint="eastAsia"/>
                <w:color w:val="auto"/>
                <w:kern w:val="0"/>
                <w:sz w:val="24"/>
              </w:rPr>
              <w:t>0.1</w:t>
            </w:r>
            <w:r>
              <w:rPr>
                <w:rFonts w:hint="eastAsia"/>
                <w:color w:val="auto"/>
                <w:kern w:val="0"/>
                <w:sz w:val="24"/>
                <w:lang w:val="en-US" w:eastAsia="zh-CN"/>
              </w:rPr>
              <w:t>70</w:t>
            </w:r>
            <w:r>
              <w:rPr>
                <w:color w:val="auto"/>
                <w:kern w:val="0"/>
                <w:sz w:val="24"/>
              </w:rPr>
              <w:t>t/a。</w:t>
            </w:r>
          </w:p>
          <w:p>
            <w:pPr>
              <w:spacing w:line="360" w:lineRule="auto"/>
              <w:ind w:firstLine="480" w:firstLineChars="200"/>
              <w:rPr>
                <w:color w:val="auto"/>
                <w:kern w:val="0"/>
                <w:sz w:val="24"/>
                <w:szCs w:val="24"/>
              </w:rPr>
            </w:pPr>
            <w:r>
              <w:rPr>
                <w:color w:val="auto"/>
                <w:kern w:val="0"/>
                <w:sz w:val="24"/>
                <w:szCs w:val="24"/>
              </w:rPr>
              <w:t>经宿州市生态环境局批准总量控制文件</w:t>
            </w:r>
            <w:r>
              <w:rPr>
                <w:rFonts w:hint="eastAsia"/>
                <w:color w:val="auto"/>
                <w:kern w:val="0"/>
                <w:sz w:val="24"/>
                <w:szCs w:val="24"/>
              </w:rPr>
              <w:t>可知</w:t>
            </w:r>
            <w:r>
              <w:rPr>
                <w:color w:val="auto"/>
                <w:kern w:val="0"/>
                <w:sz w:val="24"/>
                <w:szCs w:val="24"/>
              </w:rPr>
              <w:t>，</w:t>
            </w:r>
            <w:r>
              <w:rPr>
                <w:rFonts w:hint="eastAsia"/>
                <w:color w:val="auto"/>
                <w:kern w:val="0"/>
                <w:sz w:val="24"/>
                <w:szCs w:val="24"/>
              </w:rPr>
              <w:t>宿州</w:t>
            </w:r>
            <w:r>
              <w:rPr>
                <w:color w:val="auto"/>
                <w:kern w:val="0"/>
                <w:sz w:val="24"/>
                <w:szCs w:val="24"/>
              </w:rPr>
              <w:t>批准本项目的总量为</w:t>
            </w:r>
            <w:r>
              <w:rPr>
                <w:color w:val="auto"/>
                <w:kern w:val="0"/>
                <w:sz w:val="24"/>
              </w:rPr>
              <w:t>SO</w:t>
            </w:r>
            <w:r>
              <w:rPr>
                <w:color w:val="auto"/>
                <w:kern w:val="0"/>
                <w:sz w:val="24"/>
                <w:vertAlign w:val="subscript"/>
              </w:rPr>
              <w:t>2</w:t>
            </w:r>
            <w:r>
              <w:rPr>
                <w:color w:val="auto"/>
                <w:kern w:val="0"/>
                <w:sz w:val="24"/>
              </w:rPr>
              <w:t>：</w:t>
            </w:r>
            <w:r>
              <w:rPr>
                <w:rFonts w:hint="eastAsia"/>
                <w:color w:val="auto"/>
                <w:kern w:val="0"/>
                <w:sz w:val="24"/>
              </w:rPr>
              <w:t>0.0672</w:t>
            </w:r>
            <w:r>
              <w:rPr>
                <w:color w:val="auto"/>
                <w:kern w:val="0"/>
                <w:sz w:val="24"/>
              </w:rPr>
              <w:t>t/a；NO</w:t>
            </w:r>
            <w:r>
              <w:rPr>
                <w:color w:val="auto"/>
                <w:kern w:val="0"/>
                <w:sz w:val="24"/>
                <w:vertAlign w:val="subscript"/>
              </w:rPr>
              <w:t>X</w:t>
            </w:r>
            <w:r>
              <w:rPr>
                <w:color w:val="auto"/>
                <w:kern w:val="0"/>
                <w:sz w:val="24"/>
              </w:rPr>
              <w:t>：</w:t>
            </w:r>
            <w:r>
              <w:rPr>
                <w:rFonts w:hint="eastAsia"/>
                <w:color w:val="auto"/>
                <w:kern w:val="0"/>
                <w:sz w:val="24"/>
              </w:rPr>
              <w:t>0.1018</w:t>
            </w:r>
            <w:r>
              <w:rPr>
                <w:color w:val="auto"/>
                <w:kern w:val="0"/>
                <w:sz w:val="24"/>
              </w:rPr>
              <w:t>t/a；烟（粉）尘：</w:t>
            </w:r>
            <w:r>
              <w:rPr>
                <w:rFonts w:hint="eastAsia"/>
                <w:color w:val="auto"/>
                <w:kern w:val="0"/>
                <w:sz w:val="24"/>
              </w:rPr>
              <w:t>0.1722</w:t>
            </w:r>
            <w:r>
              <w:rPr>
                <w:color w:val="auto"/>
                <w:kern w:val="0"/>
                <w:sz w:val="24"/>
              </w:rPr>
              <w:t>t/a</w:t>
            </w:r>
            <w:r>
              <w:rPr>
                <w:color w:val="auto"/>
                <w:kern w:val="0"/>
                <w:sz w:val="24"/>
                <w:szCs w:val="24"/>
              </w:rPr>
              <w:t>。</w:t>
            </w:r>
          </w:p>
          <w:p>
            <w:pPr>
              <w:spacing w:line="360" w:lineRule="auto"/>
              <w:ind w:firstLine="480" w:firstLineChars="200"/>
              <w:rPr>
                <w:color w:val="auto"/>
                <w:kern w:val="0"/>
                <w:sz w:val="24"/>
                <w:szCs w:val="24"/>
              </w:rPr>
            </w:pPr>
            <w:r>
              <w:rPr>
                <w:rFonts w:hint="eastAsia"/>
                <w:color w:val="auto"/>
                <w:kern w:val="0"/>
                <w:sz w:val="24"/>
                <w:szCs w:val="24"/>
              </w:rPr>
              <w:t>本项目所需总量指标从宿州市诚志试剂有限公司原有生物质锅炉关闭形成的排减量（消减烟粉尘2.166吨/年、二氧化</w:t>
            </w:r>
            <w:r>
              <w:rPr>
                <w:rFonts w:hint="eastAsia"/>
                <w:color w:val="auto"/>
                <w:kern w:val="0"/>
                <w:sz w:val="24"/>
                <w:szCs w:val="24"/>
                <w:lang w:eastAsia="zh-CN"/>
              </w:rPr>
              <w:t>硫</w:t>
            </w:r>
            <w:r>
              <w:rPr>
                <w:rFonts w:hint="eastAsia"/>
                <w:color w:val="auto"/>
                <w:kern w:val="0"/>
                <w:sz w:val="24"/>
                <w:szCs w:val="24"/>
              </w:rPr>
              <w:t>2.938吨/年、氮氧化物5.875吨/年）中调剂解决。</w:t>
            </w:r>
          </w:p>
          <w:p>
            <w:pPr>
              <w:spacing w:line="360" w:lineRule="auto"/>
              <w:ind w:firstLine="480" w:firstLineChars="200"/>
              <w:rPr>
                <w:kern w:val="0"/>
              </w:rPr>
            </w:pPr>
            <w:r>
              <w:rPr>
                <w:color w:val="auto"/>
                <w:kern w:val="0"/>
                <w:sz w:val="24"/>
                <w:szCs w:val="24"/>
              </w:rPr>
              <w:t>因此，本评价工程分析核算大气污染物源强满足宿州市生态环境局批准的总量要求。</w:t>
            </w:r>
          </w:p>
        </w:tc>
      </w:tr>
    </w:tbl>
    <w:p>
      <w:pPr>
        <w:pStyle w:val="20"/>
        <w:jc w:val="center"/>
        <w:outlineLvl w:val="0"/>
        <w:rPr>
          <w:rFonts w:ascii="Times New Roman" w:hAnsi="Times New Roman" w:eastAsia="黑体"/>
          <w:snapToGrid w:val="0"/>
          <w:sz w:val="30"/>
          <w:szCs w:val="30"/>
        </w:rPr>
      </w:pPr>
      <w:r>
        <w:rPr>
          <w:rFonts w:ascii="Times New Roman" w:hAnsi="Times New Roman" w:eastAsia="黑体"/>
          <w:snapToGrid w:val="0"/>
          <w:sz w:val="36"/>
          <w:szCs w:val="36"/>
        </w:rPr>
        <w:br w:type="page"/>
      </w:r>
      <w:r>
        <w:rPr>
          <w:rFonts w:ascii="Times New Roman" w:hAnsi="Times New Roman" w:eastAsia="黑体"/>
          <w:snapToGrid w:val="0"/>
          <w:sz w:val="30"/>
          <w:szCs w:val="30"/>
        </w:rPr>
        <w:t>四、主要环境影响和保护措施</w:t>
      </w:r>
    </w:p>
    <w:tbl>
      <w:tblPr>
        <w:tblStyle w:val="23"/>
        <w:tblW w:w="8908"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510"/>
        <w:gridCol w:w="839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510" w:type="dxa"/>
            <w:tcBorders>
              <w:top w:val="single" w:color="auto" w:sz="8" w:space="0"/>
            </w:tcBorders>
            <w:tcMar>
              <w:left w:w="28" w:type="dxa"/>
              <w:right w:w="28" w:type="dxa"/>
            </w:tcMar>
            <w:vAlign w:val="center"/>
          </w:tcPr>
          <w:p>
            <w:pPr>
              <w:pStyle w:val="20"/>
              <w:adjustRightInd w:val="0"/>
              <w:snapToGrid w:val="0"/>
              <w:spacing w:before="0" w:beforeAutospacing="0" w:after="0" w:afterAutospacing="0"/>
              <w:jc w:val="center"/>
              <w:rPr>
                <w:rFonts w:ascii="Times New Roman" w:hAnsi="Times New Roman"/>
                <w:kern w:val="2"/>
                <w:sz w:val="21"/>
                <w:szCs w:val="21"/>
              </w:rPr>
            </w:pPr>
            <w:r>
              <w:rPr>
                <w:rFonts w:ascii="Times New Roman" w:hAnsi="Times New Roman"/>
                <w:kern w:val="2"/>
                <w:sz w:val="21"/>
                <w:szCs w:val="21"/>
              </w:rPr>
              <w:t>施工</w:t>
            </w:r>
          </w:p>
          <w:p>
            <w:pPr>
              <w:pStyle w:val="20"/>
              <w:adjustRightInd w:val="0"/>
              <w:snapToGrid w:val="0"/>
              <w:spacing w:before="0" w:beforeAutospacing="0" w:after="0" w:afterAutospacing="0"/>
              <w:jc w:val="center"/>
              <w:rPr>
                <w:rFonts w:ascii="Times New Roman" w:hAnsi="Times New Roman"/>
                <w:kern w:val="2"/>
                <w:sz w:val="21"/>
                <w:szCs w:val="21"/>
              </w:rPr>
            </w:pPr>
            <w:r>
              <w:rPr>
                <w:rFonts w:ascii="Times New Roman" w:hAnsi="Times New Roman"/>
                <w:kern w:val="2"/>
                <w:sz w:val="21"/>
                <w:szCs w:val="21"/>
              </w:rPr>
              <w:t>期环</w:t>
            </w:r>
          </w:p>
          <w:p>
            <w:pPr>
              <w:pStyle w:val="20"/>
              <w:adjustRightInd w:val="0"/>
              <w:snapToGrid w:val="0"/>
              <w:spacing w:before="0" w:beforeAutospacing="0" w:after="0" w:afterAutospacing="0"/>
              <w:jc w:val="center"/>
              <w:rPr>
                <w:rFonts w:ascii="Times New Roman" w:hAnsi="Times New Roman"/>
                <w:kern w:val="2"/>
                <w:sz w:val="21"/>
                <w:szCs w:val="21"/>
              </w:rPr>
            </w:pPr>
            <w:r>
              <w:rPr>
                <w:rFonts w:ascii="Times New Roman" w:hAnsi="Times New Roman"/>
                <w:kern w:val="2"/>
                <w:sz w:val="21"/>
                <w:szCs w:val="21"/>
              </w:rPr>
              <w:t>境保</w:t>
            </w:r>
          </w:p>
          <w:p>
            <w:pPr>
              <w:pStyle w:val="20"/>
              <w:adjustRightInd w:val="0"/>
              <w:snapToGrid w:val="0"/>
              <w:spacing w:before="0" w:beforeAutospacing="0" w:after="0" w:afterAutospacing="0"/>
              <w:jc w:val="center"/>
              <w:rPr>
                <w:rFonts w:ascii="Times New Roman" w:hAnsi="Times New Roman"/>
                <w:kern w:val="2"/>
                <w:sz w:val="21"/>
                <w:szCs w:val="21"/>
              </w:rPr>
            </w:pPr>
            <w:r>
              <w:rPr>
                <w:rFonts w:ascii="Times New Roman" w:hAnsi="Times New Roman"/>
                <w:kern w:val="2"/>
                <w:sz w:val="21"/>
                <w:szCs w:val="21"/>
              </w:rPr>
              <w:t>护措</w:t>
            </w:r>
          </w:p>
          <w:p>
            <w:pPr>
              <w:pStyle w:val="20"/>
              <w:adjustRightInd w:val="0"/>
              <w:snapToGrid w:val="0"/>
              <w:spacing w:before="0" w:beforeAutospacing="0" w:after="0" w:afterAutospacing="0"/>
              <w:jc w:val="center"/>
              <w:rPr>
                <w:rFonts w:ascii="Times New Roman" w:hAnsi="Times New Roman"/>
                <w:kern w:val="2"/>
                <w:sz w:val="21"/>
                <w:szCs w:val="21"/>
              </w:rPr>
            </w:pPr>
            <w:r>
              <w:rPr>
                <w:rFonts w:ascii="Times New Roman" w:hAnsi="Times New Roman"/>
                <w:kern w:val="2"/>
                <w:sz w:val="21"/>
                <w:szCs w:val="21"/>
              </w:rPr>
              <w:t>施</w:t>
            </w:r>
          </w:p>
        </w:tc>
        <w:tc>
          <w:tcPr>
            <w:tcW w:w="8398" w:type="dxa"/>
            <w:tcBorders>
              <w:top w:val="single" w:color="auto" w:sz="8" w:space="0"/>
            </w:tcBorders>
          </w:tcPr>
          <w:p>
            <w:pPr>
              <w:adjustRightInd w:val="0"/>
              <w:snapToGrid w:val="0"/>
              <w:spacing w:line="360" w:lineRule="auto"/>
              <w:ind w:firstLine="440" w:firstLineChars="200"/>
              <w:rPr>
                <w:bCs/>
                <w:spacing w:val="-10"/>
                <w:sz w:val="24"/>
              </w:rPr>
            </w:pPr>
            <w:r>
              <w:rPr>
                <w:bCs/>
                <w:spacing w:val="-10"/>
                <w:sz w:val="24"/>
              </w:rPr>
              <w:t>1、废气</w:t>
            </w:r>
          </w:p>
          <w:p>
            <w:pPr>
              <w:pStyle w:val="68"/>
              <w:rPr>
                <w:color w:val="auto"/>
                <w:szCs w:val="21"/>
              </w:rPr>
            </w:pPr>
            <w:r>
              <w:rPr>
                <w:color w:val="auto"/>
                <w:szCs w:val="21"/>
              </w:rPr>
              <w:t>本项目施工期废气主要来源于施工扬尘、运输车量及机械设备废气以及装修阶段的有机废气，其中扬尘产生的环境影响最大。</w:t>
            </w:r>
          </w:p>
          <w:p>
            <w:pPr>
              <w:spacing w:line="360" w:lineRule="auto"/>
              <w:ind w:left="420" w:leftChars="200"/>
              <w:rPr>
                <w:bCs/>
                <w:sz w:val="24"/>
              </w:rPr>
            </w:pPr>
            <w:r>
              <w:rPr>
                <w:bCs/>
                <w:sz w:val="24"/>
              </w:rPr>
              <w:t>（1）扬尘</w:t>
            </w:r>
          </w:p>
          <w:p>
            <w:pPr>
              <w:pStyle w:val="68"/>
              <w:rPr>
                <w:color w:val="auto"/>
                <w:szCs w:val="21"/>
              </w:rPr>
            </w:pPr>
            <w:r>
              <w:rPr>
                <w:color w:val="auto"/>
                <w:szCs w:val="21"/>
              </w:rPr>
              <w:t>本工程施工扬尘的主要来源有：</w:t>
            </w:r>
            <w:r>
              <w:rPr>
                <w:rFonts w:hint="eastAsia" w:ascii="宋体" w:hAnsi="宋体" w:cs="宋体"/>
                <w:color w:val="auto"/>
                <w:szCs w:val="21"/>
              </w:rPr>
              <w:t>①</w:t>
            </w:r>
            <w:r>
              <w:rPr>
                <w:color w:val="auto"/>
                <w:szCs w:val="21"/>
              </w:rPr>
              <w:t>施工作业扬尘；</w:t>
            </w:r>
            <w:r>
              <w:rPr>
                <w:rFonts w:hint="eastAsia" w:ascii="宋体" w:hAnsi="宋体" w:cs="宋体"/>
                <w:color w:val="auto"/>
                <w:szCs w:val="21"/>
              </w:rPr>
              <w:t>②</w:t>
            </w:r>
            <w:r>
              <w:rPr>
                <w:color w:val="auto"/>
                <w:szCs w:val="21"/>
              </w:rPr>
              <w:t>建筑材料（白灰、水泥、砖等）的现场搬运及堆放扬尘；</w:t>
            </w:r>
            <w:r>
              <w:rPr>
                <w:rFonts w:hint="eastAsia" w:ascii="宋体" w:hAnsi="宋体" w:cs="宋体"/>
                <w:color w:val="auto"/>
                <w:szCs w:val="21"/>
              </w:rPr>
              <w:t>③</w:t>
            </w:r>
            <w:r>
              <w:rPr>
                <w:color w:val="auto"/>
                <w:szCs w:val="21"/>
              </w:rPr>
              <w:t>施工垃圾的清理及堆放扬尘；</w:t>
            </w:r>
            <w:r>
              <w:rPr>
                <w:rFonts w:hint="eastAsia" w:ascii="宋体" w:hAnsi="宋体" w:cs="宋体"/>
                <w:color w:val="auto"/>
                <w:szCs w:val="21"/>
              </w:rPr>
              <w:t>④</w:t>
            </w:r>
            <w:r>
              <w:rPr>
                <w:color w:val="auto"/>
                <w:szCs w:val="21"/>
              </w:rPr>
              <w:t>人来车往所造成的现场道路扬尘。</w:t>
            </w:r>
          </w:p>
          <w:p>
            <w:pPr>
              <w:spacing w:line="360" w:lineRule="auto"/>
              <w:ind w:left="420" w:leftChars="200"/>
              <w:rPr>
                <w:bCs/>
                <w:sz w:val="24"/>
              </w:rPr>
            </w:pPr>
            <w:r>
              <w:rPr>
                <w:bCs/>
                <w:sz w:val="24"/>
              </w:rPr>
              <w:t>（2）运输车量及机械设备废气</w:t>
            </w:r>
          </w:p>
          <w:p>
            <w:pPr>
              <w:pStyle w:val="68"/>
              <w:rPr>
                <w:color w:val="auto"/>
                <w:szCs w:val="21"/>
              </w:rPr>
            </w:pPr>
            <w:r>
              <w:rPr>
                <w:color w:val="auto"/>
                <w:szCs w:val="21"/>
              </w:rPr>
              <w:t>运输车辆和施工机械在运行工程中会产生废气，主要含有CO、NOx等污染物。废气排放局限于施工场地和运输沿线，并且施工过程中其产生的废气量较小，因而对环境造成的影响较小。</w:t>
            </w:r>
          </w:p>
          <w:p>
            <w:pPr>
              <w:spacing w:line="360" w:lineRule="auto"/>
              <w:ind w:left="420" w:leftChars="200"/>
              <w:rPr>
                <w:bCs/>
                <w:sz w:val="24"/>
              </w:rPr>
            </w:pPr>
            <w:r>
              <w:rPr>
                <w:bCs/>
                <w:sz w:val="24"/>
              </w:rPr>
              <w:t>（3）装修阶段废气</w:t>
            </w:r>
          </w:p>
          <w:p>
            <w:pPr>
              <w:pStyle w:val="68"/>
              <w:rPr>
                <w:color w:val="auto"/>
                <w:szCs w:val="21"/>
              </w:rPr>
            </w:pPr>
            <w:r>
              <w:rPr>
                <w:color w:val="auto"/>
                <w:szCs w:val="21"/>
              </w:rPr>
              <w:t>项目装修阶段会产生有机废气。拟建项目应该尽可能采用环保水性涂料，以最大程度地减少装修阶段有机废气的产生量。有机废气的主要污染因子为二甲苯和甲苯，还有少量丁醇和丙酮等。有机废气的排放属于无组织排放，其过程持续时间较长，是一个缓慢挥发的过程，对环境的影响较小。</w:t>
            </w:r>
          </w:p>
          <w:p>
            <w:pPr>
              <w:pStyle w:val="68"/>
              <w:rPr>
                <w:color w:val="auto"/>
                <w:szCs w:val="21"/>
              </w:rPr>
            </w:pPr>
            <w:r>
              <w:rPr>
                <w:color w:val="auto"/>
                <w:szCs w:val="21"/>
              </w:rPr>
              <w:t>根据《安徽省大气污染防治行动计划实施方案》、《安徽省建筑工程施工扬尘污染防治规定》，为降低施工废气和扬尘的污染，应采取如下防治措施：</w:t>
            </w:r>
          </w:p>
          <w:p>
            <w:pPr>
              <w:pStyle w:val="68"/>
              <w:ind w:firstLineChars="0"/>
              <w:rPr>
                <w:color w:val="auto"/>
                <w:szCs w:val="21"/>
              </w:rPr>
            </w:pPr>
            <w:r>
              <w:rPr>
                <w:rFonts w:hint="eastAsia"/>
                <w:color w:val="auto"/>
                <w:szCs w:val="21"/>
              </w:rPr>
              <w:t>1）</w:t>
            </w:r>
            <w:r>
              <w:rPr>
                <w:color w:val="auto"/>
                <w:szCs w:val="21"/>
              </w:rPr>
              <w:t>施工现场实行围挡封闭。主要路段施工现场围挡高度不得低于2.5米，一般路段施工现场围挡高度不得低于1.8米。围挡底边应当封闭并设置防溢沉淀井，不得有泥浆外漏。</w:t>
            </w:r>
          </w:p>
          <w:p>
            <w:pPr>
              <w:pStyle w:val="68"/>
              <w:ind w:firstLineChars="0"/>
              <w:rPr>
                <w:color w:val="auto"/>
                <w:szCs w:val="21"/>
              </w:rPr>
            </w:pPr>
            <w:r>
              <w:rPr>
                <w:rFonts w:hint="eastAsia"/>
                <w:color w:val="auto"/>
                <w:szCs w:val="21"/>
              </w:rPr>
              <w:t>2）</w:t>
            </w:r>
            <w:r>
              <w:rPr>
                <w:color w:val="auto"/>
                <w:szCs w:val="21"/>
              </w:rPr>
              <w:t>施工现场出入口道路实施混凝土硬化并配备车辆冲洗设备。对驶出施工现场的机动车辆进行冲洗，确保冲洗干净不会对场外道路造成影响。</w:t>
            </w:r>
          </w:p>
          <w:p>
            <w:pPr>
              <w:pStyle w:val="68"/>
              <w:ind w:left="480" w:firstLine="0" w:firstLineChars="0"/>
              <w:rPr>
                <w:color w:val="auto"/>
                <w:szCs w:val="21"/>
              </w:rPr>
            </w:pPr>
            <w:r>
              <w:rPr>
                <w:rFonts w:hint="eastAsia"/>
                <w:color w:val="auto"/>
                <w:szCs w:val="21"/>
              </w:rPr>
              <w:t>3）</w:t>
            </w:r>
            <w:r>
              <w:rPr>
                <w:color w:val="auto"/>
                <w:szCs w:val="21"/>
              </w:rPr>
              <w:t>施工现场设置洒水降尘设施，安排专人定时洒水降尘。</w:t>
            </w:r>
          </w:p>
          <w:p>
            <w:pPr>
              <w:pStyle w:val="68"/>
              <w:spacing w:line="240" w:lineRule="auto"/>
              <w:ind w:firstLineChars="0"/>
              <w:rPr>
                <w:color w:val="auto"/>
                <w:szCs w:val="21"/>
              </w:rPr>
            </w:pPr>
            <w:r>
              <w:rPr>
                <w:rFonts w:hint="eastAsia"/>
                <w:color w:val="auto"/>
                <w:szCs w:val="21"/>
              </w:rPr>
              <w:t>4）</w:t>
            </w:r>
            <w:r>
              <w:rPr>
                <w:color w:val="auto"/>
                <w:szCs w:val="21"/>
              </w:rPr>
              <w:t>施工现场土方开挖后尽快完成回填，不能及时回填的场地，采取覆盖</w:t>
            </w:r>
          </w:p>
          <w:p>
            <w:pPr>
              <w:pStyle w:val="68"/>
              <w:ind w:firstLine="0" w:firstLineChars="0"/>
              <w:rPr>
                <w:color w:val="auto"/>
                <w:szCs w:val="21"/>
              </w:rPr>
            </w:pPr>
            <w:r>
              <w:rPr>
                <w:color w:val="auto"/>
                <w:szCs w:val="21"/>
              </w:rPr>
              <w:t>等防尘措施，砂石等材料集中堆放并覆盖。</w:t>
            </w:r>
          </w:p>
          <w:p>
            <w:pPr>
              <w:pStyle w:val="68"/>
              <w:ind w:firstLineChars="0"/>
              <w:rPr>
                <w:color w:val="auto"/>
                <w:szCs w:val="21"/>
              </w:rPr>
            </w:pPr>
            <w:r>
              <w:rPr>
                <w:rFonts w:hint="eastAsia"/>
                <w:color w:val="auto"/>
                <w:szCs w:val="21"/>
              </w:rPr>
              <w:t>5）</w:t>
            </w:r>
            <w:r>
              <w:rPr>
                <w:color w:val="auto"/>
                <w:szCs w:val="21"/>
              </w:rPr>
              <w:t>渣土等建筑垃圾集中、分类堆放，严密遮盖，采用封闭式管道或装袋清运，严禁高出抛洒。需要运输、处理的，按照市县（区）政府市容环境卫生行政主管部门规定的时间、线路和要求，清运到指定场所处理。</w:t>
            </w:r>
          </w:p>
          <w:p>
            <w:pPr>
              <w:pStyle w:val="68"/>
              <w:ind w:firstLineChars="0"/>
              <w:rPr>
                <w:color w:val="auto"/>
                <w:szCs w:val="21"/>
              </w:rPr>
            </w:pPr>
            <w:r>
              <w:rPr>
                <w:rFonts w:hint="eastAsia"/>
                <w:color w:val="auto"/>
                <w:szCs w:val="21"/>
              </w:rPr>
              <w:t>6）</w:t>
            </w:r>
            <w:r>
              <w:rPr>
                <w:color w:val="auto"/>
                <w:szCs w:val="21"/>
              </w:rPr>
              <w:t>外脚手架应当设置悬挂密目式安全网封闭，并保持严密整洁。</w:t>
            </w:r>
          </w:p>
          <w:p>
            <w:pPr>
              <w:pStyle w:val="68"/>
              <w:ind w:firstLineChars="0"/>
              <w:rPr>
                <w:color w:val="auto"/>
                <w:szCs w:val="21"/>
              </w:rPr>
            </w:pPr>
            <w:r>
              <w:rPr>
                <w:rFonts w:hint="eastAsia"/>
                <w:color w:val="auto"/>
                <w:szCs w:val="21"/>
              </w:rPr>
              <w:t>7）</w:t>
            </w:r>
            <w:r>
              <w:rPr>
                <w:color w:val="auto"/>
                <w:szCs w:val="21"/>
              </w:rPr>
              <w:t>施工现场严禁焚烧沥青、橡胶、塑料等会产生有毒有害烟尘和恶臭气体的物质。</w:t>
            </w:r>
          </w:p>
          <w:p>
            <w:pPr>
              <w:pStyle w:val="68"/>
              <w:ind w:firstLineChars="0"/>
              <w:rPr>
                <w:color w:val="auto"/>
                <w:szCs w:val="21"/>
              </w:rPr>
            </w:pPr>
            <w:r>
              <w:rPr>
                <w:rFonts w:hint="eastAsia"/>
                <w:color w:val="auto"/>
                <w:szCs w:val="21"/>
              </w:rPr>
              <w:t>8）</w:t>
            </w:r>
            <w:r>
              <w:rPr>
                <w:color w:val="auto"/>
                <w:szCs w:val="21"/>
              </w:rPr>
              <w:t>施工现场使用商品混凝土和预拌砂浆，搅拌混凝土和砂浆采取封闭、降尘措施。</w:t>
            </w:r>
          </w:p>
          <w:p>
            <w:pPr>
              <w:pStyle w:val="68"/>
              <w:ind w:firstLineChars="0"/>
              <w:rPr>
                <w:color w:val="auto"/>
                <w:szCs w:val="21"/>
              </w:rPr>
            </w:pPr>
            <w:r>
              <w:rPr>
                <w:rFonts w:hint="eastAsia"/>
                <w:color w:val="auto"/>
                <w:szCs w:val="21"/>
              </w:rPr>
              <w:t>9）</w:t>
            </w:r>
            <w:r>
              <w:rPr>
                <w:color w:val="auto"/>
                <w:szCs w:val="21"/>
              </w:rPr>
              <w:t>运进或运出工地的土方、砂石、粉煤灰、建筑垃圾等易产生扬尘的材料，应采取封闭运输。</w:t>
            </w:r>
          </w:p>
          <w:p>
            <w:pPr>
              <w:pStyle w:val="68"/>
              <w:ind w:firstLineChars="0"/>
              <w:rPr>
                <w:color w:val="auto"/>
                <w:szCs w:val="21"/>
              </w:rPr>
            </w:pPr>
            <w:r>
              <w:rPr>
                <w:rFonts w:hint="eastAsia"/>
                <w:color w:val="auto"/>
                <w:szCs w:val="21"/>
              </w:rPr>
              <w:t>10）</w:t>
            </w:r>
            <w:r>
              <w:rPr>
                <w:color w:val="auto"/>
                <w:szCs w:val="21"/>
              </w:rPr>
              <w:t>拆除工程工地的围挡应使用金属或硬质板材材料，严禁使用各类砌筑墙体；拆除作业实行持续加压洒水或者喷淋方式作业；拆除作业后，场地闲置1个月以上的，用地单位对拆除后的裸露地面采取绿化等防尘措施。</w:t>
            </w:r>
          </w:p>
          <w:p>
            <w:pPr>
              <w:pStyle w:val="71"/>
              <w:spacing w:line="360" w:lineRule="auto"/>
              <w:rPr>
                <w:rFonts w:ascii="Times New Roman" w:hAnsi="Times New Roman" w:eastAsia="宋体"/>
                <w:szCs w:val="21"/>
              </w:rPr>
            </w:pPr>
            <w:r>
              <w:rPr>
                <w:rFonts w:ascii="Times New Roman" w:hAnsi="Times New Roman" w:eastAsia="宋体"/>
                <w:szCs w:val="21"/>
              </w:rPr>
              <w:t>根据安徽省大气办关于印发《20</w:t>
            </w:r>
            <w:r>
              <w:rPr>
                <w:rFonts w:hint="eastAsia" w:ascii="Times New Roman" w:hAnsi="Times New Roman" w:eastAsia="宋体"/>
                <w:szCs w:val="21"/>
              </w:rPr>
              <w:t>20</w:t>
            </w:r>
            <w:r>
              <w:rPr>
                <w:rFonts w:ascii="Times New Roman" w:hAnsi="Times New Roman" w:eastAsia="宋体"/>
                <w:szCs w:val="21"/>
              </w:rPr>
              <w:t xml:space="preserve"> 年安徽省大气污染防治重点工作任务》的通知》（皖大气办[20</w:t>
            </w:r>
            <w:r>
              <w:rPr>
                <w:rFonts w:hint="eastAsia" w:ascii="Times New Roman" w:hAnsi="Times New Roman" w:eastAsia="宋体"/>
                <w:szCs w:val="21"/>
              </w:rPr>
              <w:t>20</w:t>
            </w:r>
            <w:r>
              <w:rPr>
                <w:rFonts w:ascii="Times New Roman" w:hAnsi="Times New Roman" w:eastAsia="宋体"/>
                <w:szCs w:val="21"/>
              </w:rPr>
              <w:t>]</w:t>
            </w:r>
            <w:r>
              <w:rPr>
                <w:rFonts w:hint="eastAsia" w:ascii="Times New Roman" w:hAnsi="Times New Roman" w:eastAsia="宋体"/>
                <w:szCs w:val="21"/>
              </w:rPr>
              <w:t>2</w:t>
            </w:r>
            <w:r>
              <w:rPr>
                <w:rFonts w:ascii="Times New Roman" w:hAnsi="Times New Roman" w:eastAsia="宋体"/>
                <w:szCs w:val="21"/>
              </w:rPr>
              <w:t xml:space="preserve"> 号）文要求，企业应严格施工扬尘监管，施工工地要做到工地封闭围挡、易扬尘物料堆放覆盖、出入车辆冲洗、路面硬化、土方开挖湿法作业、渣土车辆密闭运输“六个百分之百”要求。</w:t>
            </w:r>
          </w:p>
          <w:p>
            <w:pPr>
              <w:pStyle w:val="19"/>
              <w:spacing w:after="0" w:line="360" w:lineRule="auto"/>
              <w:jc w:val="center"/>
              <w:rPr>
                <w:b/>
                <w:bCs/>
                <w:sz w:val="24"/>
              </w:rPr>
            </w:pPr>
            <w:r>
              <w:rPr>
                <w:b/>
                <w:bCs/>
                <w:sz w:val="24"/>
              </w:rPr>
              <w:t>表</w:t>
            </w:r>
            <w:r>
              <w:rPr>
                <w:rFonts w:hint="eastAsia"/>
                <w:b/>
                <w:bCs/>
                <w:sz w:val="24"/>
              </w:rPr>
              <w:t xml:space="preserve">4-1 </w:t>
            </w:r>
            <w:r>
              <w:rPr>
                <w:b/>
                <w:bCs/>
                <w:sz w:val="24"/>
              </w:rPr>
              <w:t xml:space="preserve"> “六个百分之百”要求</w:t>
            </w:r>
          </w:p>
          <w:tbl>
            <w:tblPr>
              <w:tblStyle w:val="23"/>
              <w:tblW w:w="793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16"/>
              <w:gridCol w:w="1074"/>
              <w:gridCol w:w="64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jc w:val="center"/>
              </w:trPr>
              <w:tc>
                <w:tcPr>
                  <w:tcW w:w="1490" w:type="dxa"/>
                  <w:gridSpan w:val="2"/>
                  <w:noWrap/>
                  <w:vAlign w:val="center"/>
                </w:tcPr>
                <w:p>
                  <w:pPr>
                    <w:pStyle w:val="74"/>
                    <w:jc w:val="center"/>
                    <w:rPr>
                      <w:sz w:val="21"/>
                      <w:szCs w:val="21"/>
                    </w:rPr>
                  </w:pPr>
                  <w:r>
                    <w:rPr>
                      <w:sz w:val="21"/>
                      <w:szCs w:val="21"/>
                    </w:rPr>
                    <w:t>工作标准</w:t>
                  </w:r>
                </w:p>
              </w:tc>
              <w:tc>
                <w:tcPr>
                  <w:tcW w:w="6449" w:type="dxa"/>
                  <w:noWrap/>
                  <w:vAlign w:val="center"/>
                </w:tcPr>
                <w:p>
                  <w:pPr>
                    <w:pStyle w:val="74"/>
                    <w:jc w:val="center"/>
                    <w:rPr>
                      <w:sz w:val="21"/>
                      <w:szCs w:val="21"/>
                    </w:rPr>
                  </w:pPr>
                  <w:r>
                    <w:rPr>
                      <w:sz w:val="21"/>
                      <w:szCs w:val="21"/>
                    </w:rPr>
                    <w:t>工作要求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346" w:hRule="atLeast"/>
                <w:jc w:val="center"/>
              </w:trPr>
              <w:tc>
                <w:tcPr>
                  <w:tcW w:w="416" w:type="dxa"/>
                  <w:vMerge w:val="restart"/>
                  <w:noWrap/>
                  <w:vAlign w:val="center"/>
                </w:tcPr>
                <w:p>
                  <w:pPr>
                    <w:pStyle w:val="74"/>
                    <w:jc w:val="center"/>
                    <w:rPr>
                      <w:b/>
                      <w:sz w:val="21"/>
                      <w:szCs w:val="21"/>
                    </w:rPr>
                  </w:pPr>
                </w:p>
                <w:p>
                  <w:pPr>
                    <w:pStyle w:val="74"/>
                    <w:jc w:val="center"/>
                    <w:rPr>
                      <w:b/>
                      <w:sz w:val="21"/>
                      <w:szCs w:val="21"/>
                    </w:rPr>
                  </w:pPr>
                </w:p>
                <w:p>
                  <w:pPr>
                    <w:pStyle w:val="74"/>
                    <w:jc w:val="center"/>
                    <w:rPr>
                      <w:b/>
                      <w:sz w:val="21"/>
                      <w:szCs w:val="21"/>
                    </w:rPr>
                  </w:pPr>
                </w:p>
                <w:p>
                  <w:pPr>
                    <w:pStyle w:val="74"/>
                    <w:jc w:val="center"/>
                    <w:rPr>
                      <w:b/>
                      <w:sz w:val="21"/>
                      <w:szCs w:val="21"/>
                    </w:rPr>
                  </w:pPr>
                </w:p>
                <w:p>
                  <w:pPr>
                    <w:pStyle w:val="74"/>
                    <w:jc w:val="center"/>
                    <w:rPr>
                      <w:b/>
                      <w:sz w:val="21"/>
                      <w:szCs w:val="21"/>
                    </w:rPr>
                  </w:pPr>
                </w:p>
                <w:p>
                  <w:pPr>
                    <w:pStyle w:val="74"/>
                    <w:jc w:val="center"/>
                    <w:rPr>
                      <w:b/>
                      <w:sz w:val="21"/>
                      <w:szCs w:val="21"/>
                    </w:rPr>
                  </w:pPr>
                </w:p>
                <w:p>
                  <w:pPr>
                    <w:pStyle w:val="74"/>
                    <w:jc w:val="center"/>
                    <w:rPr>
                      <w:b/>
                      <w:sz w:val="21"/>
                      <w:szCs w:val="21"/>
                    </w:rPr>
                  </w:pPr>
                </w:p>
                <w:p>
                  <w:pPr>
                    <w:pStyle w:val="74"/>
                    <w:jc w:val="center"/>
                    <w:rPr>
                      <w:b/>
                      <w:sz w:val="21"/>
                      <w:szCs w:val="21"/>
                    </w:rPr>
                  </w:pPr>
                </w:p>
                <w:p>
                  <w:pPr>
                    <w:pStyle w:val="74"/>
                    <w:jc w:val="center"/>
                    <w:rPr>
                      <w:b/>
                      <w:sz w:val="21"/>
                      <w:szCs w:val="21"/>
                    </w:rPr>
                  </w:pPr>
                </w:p>
                <w:p>
                  <w:pPr>
                    <w:pStyle w:val="74"/>
                    <w:jc w:val="center"/>
                    <w:rPr>
                      <w:b/>
                      <w:sz w:val="21"/>
                      <w:szCs w:val="21"/>
                    </w:rPr>
                  </w:pPr>
                </w:p>
                <w:p>
                  <w:pPr>
                    <w:pStyle w:val="74"/>
                    <w:jc w:val="center"/>
                    <w:rPr>
                      <w:b/>
                      <w:sz w:val="21"/>
                      <w:szCs w:val="21"/>
                    </w:rPr>
                  </w:pPr>
                </w:p>
                <w:p>
                  <w:pPr>
                    <w:pStyle w:val="74"/>
                    <w:jc w:val="center"/>
                    <w:rPr>
                      <w:b/>
                      <w:sz w:val="21"/>
                      <w:szCs w:val="21"/>
                    </w:rPr>
                  </w:pPr>
                </w:p>
                <w:p>
                  <w:pPr>
                    <w:pStyle w:val="74"/>
                    <w:jc w:val="center"/>
                    <w:rPr>
                      <w:b/>
                      <w:sz w:val="21"/>
                      <w:szCs w:val="21"/>
                    </w:rPr>
                  </w:pPr>
                </w:p>
                <w:p>
                  <w:pPr>
                    <w:pStyle w:val="74"/>
                    <w:jc w:val="center"/>
                    <w:rPr>
                      <w:b/>
                      <w:sz w:val="21"/>
                      <w:szCs w:val="21"/>
                    </w:rPr>
                  </w:pPr>
                </w:p>
                <w:p>
                  <w:pPr>
                    <w:pStyle w:val="74"/>
                    <w:jc w:val="center"/>
                    <w:rPr>
                      <w:b/>
                      <w:sz w:val="21"/>
                      <w:szCs w:val="21"/>
                    </w:rPr>
                  </w:pPr>
                </w:p>
                <w:p>
                  <w:pPr>
                    <w:pStyle w:val="74"/>
                    <w:jc w:val="center"/>
                    <w:rPr>
                      <w:sz w:val="21"/>
                      <w:szCs w:val="21"/>
                    </w:rPr>
                  </w:pPr>
                  <w:r>
                    <w:rPr>
                      <w:sz w:val="21"/>
                      <w:szCs w:val="21"/>
                    </w:rPr>
                    <w:t>六个百分之百</w:t>
                  </w:r>
                </w:p>
              </w:tc>
              <w:tc>
                <w:tcPr>
                  <w:tcW w:w="1074" w:type="dxa"/>
                  <w:noWrap/>
                  <w:vAlign w:val="center"/>
                </w:tcPr>
                <w:p>
                  <w:pPr>
                    <w:pStyle w:val="74"/>
                    <w:jc w:val="center"/>
                    <w:rPr>
                      <w:sz w:val="21"/>
                      <w:szCs w:val="21"/>
                    </w:rPr>
                  </w:pPr>
                  <w:r>
                    <w:rPr>
                      <w:sz w:val="21"/>
                      <w:szCs w:val="21"/>
                    </w:rPr>
                    <w:t xml:space="preserve">施工工地周 边 </w:t>
                  </w:r>
                  <w:r>
                    <w:rPr>
                      <w:rFonts w:eastAsia="Times New Roman"/>
                      <w:sz w:val="21"/>
                      <w:szCs w:val="21"/>
                    </w:rPr>
                    <w:t>100%</w:t>
                  </w:r>
                  <w:r>
                    <w:rPr>
                      <w:sz w:val="21"/>
                      <w:szCs w:val="21"/>
                    </w:rPr>
                    <w:t>围挡</w:t>
                  </w:r>
                </w:p>
              </w:tc>
              <w:tc>
                <w:tcPr>
                  <w:tcW w:w="6449" w:type="dxa"/>
                  <w:noWrap/>
                  <w:vAlign w:val="center"/>
                </w:tcPr>
                <w:p>
                  <w:pPr>
                    <w:pStyle w:val="74"/>
                    <w:jc w:val="both"/>
                    <w:rPr>
                      <w:sz w:val="21"/>
                      <w:szCs w:val="21"/>
                    </w:rPr>
                  </w:pPr>
                  <w:r>
                    <w:rPr>
                      <w:spacing w:val="-1"/>
                      <w:sz w:val="21"/>
                      <w:szCs w:val="21"/>
                    </w:rPr>
                    <w:t>施工现场应设置稳固、整齐、美观并符合安全标准要求的连续封闭式围</w:t>
                  </w:r>
                  <w:r>
                    <w:rPr>
                      <w:spacing w:val="-6"/>
                      <w:sz w:val="21"/>
                      <w:szCs w:val="21"/>
                    </w:rPr>
                    <w:t xml:space="preserve">挡；围挡底部应设置 </w:t>
                  </w:r>
                  <w:r>
                    <w:rPr>
                      <w:rFonts w:eastAsia="Times New Roman"/>
                      <w:sz w:val="21"/>
                      <w:szCs w:val="21"/>
                    </w:rPr>
                    <w:t>30</w:t>
                  </w:r>
                  <w:r>
                    <w:rPr>
                      <w:sz w:val="21"/>
                      <w:szCs w:val="21"/>
                    </w:rPr>
                    <w:t>厘米防溢座，防止泥浆外漏；房屋建筑工程施</w:t>
                  </w:r>
                  <w:r>
                    <w:rPr>
                      <w:spacing w:val="-14"/>
                      <w:sz w:val="21"/>
                      <w:szCs w:val="21"/>
                    </w:rPr>
                    <w:t xml:space="preserve">工期在 </w:t>
                  </w:r>
                  <w:r>
                    <w:rPr>
                      <w:rFonts w:eastAsia="Times New Roman"/>
                      <w:sz w:val="21"/>
                      <w:szCs w:val="21"/>
                    </w:rPr>
                    <w:t>30</w:t>
                  </w:r>
                  <w:r>
                    <w:rPr>
                      <w:spacing w:val="-5"/>
                      <w:sz w:val="21"/>
                      <w:szCs w:val="21"/>
                    </w:rPr>
                    <w:t xml:space="preserve">天以上的，必须设置不低于 </w:t>
                  </w:r>
                  <w:r>
                    <w:rPr>
                      <w:rFonts w:eastAsia="Times New Roman"/>
                      <w:sz w:val="21"/>
                      <w:szCs w:val="21"/>
                    </w:rPr>
                    <w:t>25</w:t>
                  </w:r>
                  <w:r>
                    <w:rPr>
                      <w:spacing w:val="-6"/>
                      <w:sz w:val="21"/>
                      <w:szCs w:val="21"/>
                    </w:rPr>
                    <w:t xml:space="preserve">米的围墙，工期在 </w:t>
                  </w:r>
                  <w:r>
                    <w:rPr>
                      <w:rFonts w:eastAsia="Times New Roman"/>
                      <w:sz w:val="21"/>
                      <w:szCs w:val="21"/>
                    </w:rPr>
                    <w:t>30</w:t>
                  </w:r>
                  <w:r>
                    <w:rPr>
                      <w:sz w:val="21"/>
                      <w:szCs w:val="21"/>
                    </w:rPr>
                    <w:t>天以内</w:t>
                  </w:r>
                  <w:r>
                    <w:rPr>
                      <w:spacing w:val="-1"/>
                      <w:sz w:val="21"/>
                      <w:szCs w:val="21"/>
                    </w:rPr>
                    <w:t>的可设置彩钢围挡。市政道路、桥梁、各类管线敷设工程在城市主要干</w:t>
                  </w:r>
                  <w:r>
                    <w:rPr>
                      <w:spacing w:val="-2"/>
                      <w:sz w:val="21"/>
                      <w:szCs w:val="21"/>
                    </w:rPr>
                    <w:t xml:space="preserve">道、景观地区、繁华区域及车站广场施工的，其边界应设置不低于 </w:t>
                  </w:r>
                  <w:r>
                    <w:rPr>
                      <w:rFonts w:eastAsia="Times New Roman"/>
                      <w:sz w:val="21"/>
                      <w:szCs w:val="21"/>
                    </w:rPr>
                    <w:t>2</w:t>
                  </w:r>
                  <w:r>
                    <w:rPr>
                      <w:spacing w:val="-16"/>
                      <w:sz w:val="21"/>
                      <w:szCs w:val="21"/>
                    </w:rPr>
                    <w:t>米</w:t>
                  </w:r>
                  <w:r>
                    <w:rPr>
                      <w:spacing w:val="-1"/>
                      <w:sz w:val="21"/>
                      <w:szCs w:val="21"/>
                    </w:rPr>
                    <w:t>的定型化、工具化、坚固安全的连续封闭式围挡，围挡之间以及围挡与</w:t>
                  </w:r>
                  <w:r>
                    <w:rPr>
                      <w:sz w:val="21"/>
                      <w:szCs w:val="21"/>
                    </w:rPr>
                    <w:t>防溢座之间无缝隙。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8" w:hRule="atLeast"/>
                <w:jc w:val="center"/>
              </w:trPr>
              <w:tc>
                <w:tcPr>
                  <w:tcW w:w="416" w:type="dxa"/>
                  <w:vMerge w:val="continue"/>
                  <w:noWrap/>
                </w:tcPr>
                <w:p/>
              </w:tc>
              <w:tc>
                <w:tcPr>
                  <w:tcW w:w="1074" w:type="dxa"/>
                  <w:noWrap/>
                  <w:vAlign w:val="center"/>
                </w:tcPr>
                <w:p>
                  <w:pPr>
                    <w:pStyle w:val="74"/>
                    <w:jc w:val="center"/>
                    <w:rPr>
                      <w:sz w:val="21"/>
                      <w:szCs w:val="21"/>
                    </w:rPr>
                  </w:pPr>
                  <w:r>
                    <w:rPr>
                      <w:sz w:val="21"/>
                      <w:szCs w:val="21"/>
                    </w:rPr>
                    <w:t>物料堆放</w:t>
                  </w:r>
                </w:p>
                <w:p>
                  <w:pPr>
                    <w:pStyle w:val="74"/>
                    <w:jc w:val="center"/>
                    <w:rPr>
                      <w:sz w:val="21"/>
                      <w:szCs w:val="21"/>
                    </w:rPr>
                  </w:pPr>
                  <w:r>
                    <w:rPr>
                      <w:rFonts w:eastAsia="Times New Roman"/>
                      <w:spacing w:val="-1"/>
                      <w:sz w:val="21"/>
                      <w:szCs w:val="21"/>
                    </w:rPr>
                    <w:t>100%</w:t>
                  </w:r>
                  <w:r>
                    <w:rPr>
                      <w:sz w:val="21"/>
                      <w:szCs w:val="21"/>
                    </w:rPr>
                    <w:t>覆盖</w:t>
                  </w:r>
                </w:p>
              </w:tc>
              <w:tc>
                <w:tcPr>
                  <w:tcW w:w="6449" w:type="dxa"/>
                  <w:noWrap/>
                  <w:vAlign w:val="center"/>
                </w:tcPr>
                <w:p>
                  <w:pPr>
                    <w:pStyle w:val="74"/>
                    <w:jc w:val="both"/>
                    <w:rPr>
                      <w:sz w:val="21"/>
                      <w:szCs w:val="21"/>
                    </w:rPr>
                  </w:pPr>
                  <w:r>
                    <w:rPr>
                      <w:sz w:val="21"/>
                      <w:szCs w:val="21"/>
                    </w:rPr>
                    <w:t>施工现场建筑材料、构配件、施工设备等应按施工现场平面布置图确定的位置放置，对渣土、水泥等易产生扬尘的建筑材料，应严密遮盖或存放库房内；专门设置集中堆放建筑垃圾、渣土的场地；不能按时完成清运的，应及时覆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9" w:hRule="atLeast"/>
                <w:jc w:val="center"/>
              </w:trPr>
              <w:tc>
                <w:tcPr>
                  <w:tcW w:w="416" w:type="dxa"/>
                  <w:vMerge w:val="continue"/>
                  <w:noWrap/>
                </w:tcPr>
                <w:p/>
              </w:tc>
              <w:tc>
                <w:tcPr>
                  <w:tcW w:w="1074" w:type="dxa"/>
                  <w:noWrap/>
                  <w:vAlign w:val="center"/>
                </w:tcPr>
                <w:p>
                  <w:pPr>
                    <w:pStyle w:val="74"/>
                    <w:jc w:val="center"/>
                    <w:rPr>
                      <w:sz w:val="21"/>
                      <w:szCs w:val="21"/>
                    </w:rPr>
                  </w:pPr>
                  <w:r>
                    <w:rPr>
                      <w:sz w:val="21"/>
                      <w:szCs w:val="21"/>
                    </w:rPr>
                    <w:t>出入车辆</w:t>
                  </w:r>
                </w:p>
                <w:p>
                  <w:pPr>
                    <w:pStyle w:val="74"/>
                    <w:jc w:val="center"/>
                    <w:rPr>
                      <w:sz w:val="21"/>
                      <w:szCs w:val="21"/>
                    </w:rPr>
                  </w:pPr>
                  <w:r>
                    <w:rPr>
                      <w:rFonts w:eastAsia="Times New Roman"/>
                      <w:spacing w:val="-1"/>
                      <w:sz w:val="21"/>
                      <w:szCs w:val="21"/>
                    </w:rPr>
                    <w:t>100%</w:t>
                  </w:r>
                  <w:r>
                    <w:rPr>
                      <w:sz w:val="21"/>
                      <w:szCs w:val="21"/>
                    </w:rPr>
                    <w:t>冲洗</w:t>
                  </w:r>
                </w:p>
              </w:tc>
              <w:tc>
                <w:tcPr>
                  <w:tcW w:w="6449" w:type="dxa"/>
                  <w:noWrap/>
                  <w:vAlign w:val="center"/>
                </w:tcPr>
                <w:p>
                  <w:pPr>
                    <w:pStyle w:val="74"/>
                    <w:jc w:val="both"/>
                    <w:rPr>
                      <w:sz w:val="21"/>
                      <w:szCs w:val="21"/>
                    </w:rPr>
                  </w:pPr>
                  <w:r>
                    <w:rPr>
                      <w:sz w:val="21"/>
                      <w:szCs w:val="21"/>
                    </w:rPr>
                    <w:t>施工现场的出入口均应设置车辆冲洗台，四周设置排水沟，上盖钢策， 设置两级沉淀池，排水沟与沉淀池相连，沉淀池大小应满足冲洗要求； 配备高压冲洗设备或设置自动冲洗台；应配备保洁员负责车辆、进出道路的冲洗、清扫和保洁工作；运输车出场前应冲洗干净确保车轮、车身不带泥；应建立车辆冲洗台帐；不具备设置冲洗台条件的，在工地出入口采取铺设麻袋、安排保洁人员及时清理等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9" w:hRule="atLeast"/>
                <w:jc w:val="center"/>
              </w:trPr>
              <w:tc>
                <w:tcPr>
                  <w:tcW w:w="416" w:type="dxa"/>
                  <w:vMerge w:val="continue"/>
                  <w:noWrap/>
                </w:tcPr>
                <w:p/>
              </w:tc>
              <w:tc>
                <w:tcPr>
                  <w:tcW w:w="1074" w:type="dxa"/>
                  <w:noWrap/>
                  <w:vAlign w:val="center"/>
                </w:tcPr>
                <w:p>
                  <w:pPr>
                    <w:pStyle w:val="74"/>
                    <w:jc w:val="center"/>
                    <w:rPr>
                      <w:sz w:val="21"/>
                      <w:szCs w:val="21"/>
                    </w:rPr>
                  </w:pPr>
                  <w:r>
                    <w:rPr>
                      <w:sz w:val="21"/>
                      <w:szCs w:val="21"/>
                    </w:rPr>
                    <w:t xml:space="preserve">施工现场地 面 </w:t>
                  </w:r>
                  <w:r>
                    <w:rPr>
                      <w:rFonts w:eastAsia="Times New Roman"/>
                      <w:sz w:val="21"/>
                      <w:szCs w:val="21"/>
                    </w:rPr>
                    <w:t>100%</w:t>
                  </w:r>
                  <w:r>
                    <w:rPr>
                      <w:sz w:val="21"/>
                      <w:szCs w:val="21"/>
                    </w:rPr>
                    <w:t>硬化</w:t>
                  </w:r>
                </w:p>
              </w:tc>
              <w:tc>
                <w:tcPr>
                  <w:tcW w:w="6449" w:type="dxa"/>
                  <w:noWrap/>
                  <w:vAlign w:val="center"/>
                </w:tcPr>
                <w:p>
                  <w:pPr>
                    <w:pStyle w:val="74"/>
                    <w:jc w:val="both"/>
                    <w:rPr>
                      <w:sz w:val="21"/>
                      <w:szCs w:val="21"/>
                    </w:rPr>
                  </w:pPr>
                  <w:r>
                    <w:rPr>
                      <w:sz w:val="21"/>
                      <w:szCs w:val="21"/>
                    </w:rPr>
                    <w:t>施工现场出入口、操作场地、材料堆场、生活区、场内道路等应采取铺设钢板、水泥混凝土、沥青混凝土或焦渣、细石或其它功能相当的材料进行硬化，并辅以洒水、喷洒抑尘剂等其他有效的防尘措施，保证不扬尘、不泥泞；场地硬化的强度、厚度、宽度应满足安全通行卫生保洁的需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9" w:hRule="atLeast"/>
                <w:jc w:val="center"/>
              </w:trPr>
              <w:tc>
                <w:tcPr>
                  <w:tcW w:w="416" w:type="dxa"/>
                  <w:vMerge w:val="continue"/>
                  <w:noWrap/>
                </w:tcPr>
                <w:p/>
              </w:tc>
              <w:tc>
                <w:tcPr>
                  <w:tcW w:w="1074" w:type="dxa"/>
                  <w:noWrap/>
                  <w:vAlign w:val="center"/>
                </w:tcPr>
                <w:p>
                  <w:pPr>
                    <w:pStyle w:val="74"/>
                    <w:jc w:val="center"/>
                    <w:rPr>
                      <w:sz w:val="21"/>
                      <w:szCs w:val="21"/>
                    </w:rPr>
                  </w:pPr>
                  <w:r>
                    <w:rPr>
                      <w:sz w:val="21"/>
                      <w:szCs w:val="21"/>
                    </w:rPr>
                    <w:t>拆迁工地</w:t>
                  </w:r>
                </w:p>
                <w:p>
                  <w:pPr>
                    <w:pStyle w:val="74"/>
                    <w:jc w:val="center"/>
                    <w:rPr>
                      <w:sz w:val="21"/>
                      <w:szCs w:val="21"/>
                    </w:rPr>
                  </w:pPr>
                  <w:r>
                    <w:rPr>
                      <w:rFonts w:eastAsia="Times New Roman"/>
                      <w:sz w:val="21"/>
                      <w:szCs w:val="21"/>
                    </w:rPr>
                    <w:t>100%</w:t>
                  </w:r>
                  <w:r>
                    <w:rPr>
                      <w:sz w:val="21"/>
                      <w:szCs w:val="21"/>
                    </w:rPr>
                    <w:t>湿法作业</w:t>
                  </w:r>
                </w:p>
              </w:tc>
              <w:tc>
                <w:tcPr>
                  <w:tcW w:w="6449" w:type="dxa"/>
                  <w:noWrap/>
                  <w:vAlign w:val="center"/>
                </w:tcPr>
                <w:p>
                  <w:pPr>
                    <w:pStyle w:val="74"/>
                    <w:jc w:val="both"/>
                    <w:rPr>
                      <w:sz w:val="21"/>
                      <w:szCs w:val="21"/>
                    </w:rPr>
                  </w:pPr>
                  <w:r>
                    <w:rPr>
                      <w:sz w:val="21"/>
                      <w:szCs w:val="21"/>
                    </w:rPr>
                    <w:t>旧建筑物拆除施工应严格落实文明施工和作业标准，配备酒水、喷雾等</w:t>
                  </w:r>
                </w:p>
                <w:p>
                  <w:pPr>
                    <w:pStyle w:val="74"/>
                    <w:jc w:val="both"/>
                    <w:rPr>
                      <w:sz w:val="21"/>
                      <w:szCs w:val="21"/>
                    </w:rPr>
                  </w:pPr>
                  <w:r>
                    <w:rPr>
                      <w:sz w:val="21"/>
                      <w:szCs w:val="21"/>
                    </w:rPr>
                    <w:t>防尘设备和设施，施工时要采取湿法作业，进行洒水、喷雾抑尘，拆除的垃圾必须随拆随清运。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3" w:hRule="atLeast"/>
                <w:jc w:val="center"/>
              </w:trPr>
              <w:tc>
                <w:tcPr>
                  <w:tcW w:w="416" w:type="dxa"/>
                  <w:vMerge w:val="continue"/>
                  <w:noWrap/>
                </w:tcPr>
                <w:p/>
              </w:tc>
              <w:tc>
                <w:tcPr>
                  <w:tcW w:w="1074" w:type="dxa"/>
                  <w:noWrap/>
                  <w:vAlign w:val="center"/>
                </w:tcPr>
                <w:p>
                  <w:pPr>
                    <w:pStyle w:val="74"/>
                    <w:jc w:val="center"/>
                    <w:rPr>
                      <w:sz w:val="21"/>
                      <w:szCs w:val="21"/>
                    </w:rPr>
                  </w:pPr>
                  <w:r>
                    <w:rPr>
                      <w:sz w:val="21"/>
                      <w:szCs w:val="21"/>
                    </w:rPr>
                    <w:t>渣土车辆</w:t>
                  </w:r>
                  <w:r>
                    <w:rPr>
                      <w:rFonts w:eastAsia="Times New Roman"/>
                      <w:sz w:val="21"/>
                      <w:szCs w:val="21"/>
                    </w:rPr>
                    <w:t>100%</w:t>
                  </w:r>
                  <w:r>
                    <w:rPr>
                      <w:sz w:val="21"/>
                      <w:szCs w:val="21"/>
                    </w:rPr>
                    <w:t>密闭运输</w:t>
                  </w:r>
                </w:p>
              </w:tc>
              <w:tc>
                <w:tcPr>
                  <w:tcW w:w="6449" w:type="dxa"/>
                  <w:noWrap/>
                  <w:vAlign w:val="center"/>
                </w:tcPr>
                <w:p>
                  <w:pPr>
                    <w:pStyle w:val="74"/>
                    <w:jc w:val="both"/>
                    <w:rPr>
                      <w:sz w:val="21"/>
                      <w:szCs w:val="21"/>
                    </w:rPr>
                  </w:pPr>
                  <w:r>
                    <w:rPr>
                      <w:sz w:val="21"/>
                      <w:szCs w:val="21"/>
                    </w:rPr>
                    <w:t xml:space="preserve">进出工地车辆应采取密闭车斗，并保证物料不遗撒外漏。若无密闭车 </w:t>
                  </w:r>
                  <w:r>
                    <w:rPr>
                      <w:spacing w:val="-1"/>
                      <w:sz w:val="21"/>
                      <w:szCs w:val="21"/>
                    </w:rPr>
                    <w:t>斗，物料、垃圾、渣土的装载与车厢持平，不得超高；车斗应用苦布盖严、捆实，车厢左右侧各三竖道，车后十字交叉并收紧，保证物料、垃圾、渣土等不露出、不遗撒。车辆运输不得超过车辆荷载，不得私自加</w:t>
                  </w:r>
                  <w:r>
                    <w:rPr>
                      <w:spacing w:val="-3"/>
                      <w:sz w:val="21"/>
                      <w:szCs w:val="21"/>
                    </w:rPr>
                    <w:t xml:space="preserve">装、改装车辆槽帮。渣土运输车辆必须安装 </w:t>
                  </w:r>
                  <w:r>
                    <w:rPr>
                      <w:rFonts w:eastAsia="Times New Roman"/>
                      <w:sz w:val="21"/>
                      <w:szCs w:val="21"/>
                    </w:rPr>
                    <w:t>GPS</w:t>
                  </w:r>
                  <w:r>
                    <w:rPr>
                      <w:sz w:val="21"/>
                      <w:szCs w:val="21"/>
                    </w:rPr>
                    <w:t>装置，时速不得超过</w:t>
                  </w:r>
                  <w:r>
                    <w:rPr>
                      <w:rFonts w:eastAsia="Times New Roman"/>
                      <w:sz w:val="21"/>
                      <w:szCs w:val="21"/>
                    </w:rPr>
                    <w:t xml:space="preserve">60 </w:t>
                  </w:r>
                  <w:r>
                    <w:rPr>
                      <w:sz w:val="21"/>
                      <w:szCs w:val="21"/>
                    </w:rPr>
                    <w:t>公里。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68" w:hRule="atLeast"/>
                <w:jc w:val="center"/>
              </w:trPr>
              <w:tc>
                <w:tcPr>
                  <w:tcW w:w="416" w:type="dxa"/>
                  <w:noWrap/>
                  <w:vAlign w:val="center"/>
                </w:tcPr>
                <w:p>
                  <w:pPr>
                    <w:pStyle w:val="74"/>
                    <w:jc w:val="center"/>
                    <w:rPr>
                      <w:sz w:val="21"/>
                      <w:szCs w:val="21"/>
                    </w:rPr>
                  </w:pPr>
                  <w:r>
                    <w:rPr>
                      <w:sz w:val="21"/>
                      <w:szCs w:val="21"/>
                    </w:rPr>
                    <w:t>备注</w:t>
                  </w:r>
                </w:p>
              </w:tc>
              <w:tc>
                <w:tcPr>
                  <w:tcW w:w="7523" w:type="dxa"/>
                  <w:gridSpan w:val="2"/>
                  <w:noWrap/>
                </w:tcPr>
                <w:p>
                  <w:pPr>
                    <w:pStyle w:val="74"/>
                    <w:jc w:val="center"/>
                    <w:rPr>
                      <w:sz w:val="21"/>
                      <w:szCs w:val="21"/>
                    </w:rPr>
                  </w:pPr>
                  <w:r>
                    <w:rPr>
                      <w:sz w:val="21"/>
                      <w:szCs w:val="21"/>
                    </w:rPr>
                    <w:t>施工现场主要出入口应设置整齐明显的“八牌一图”（工程概况牌、管理人员名单及监督电话牌、消防保卫牌、安全生产牌、文明施工牌、卫生须知牌、环保标志</w:t>
                  </w:r>
                </w:p>
                <w:p>
                  <w:pPr>
                    <w:pStyle w:val="74"/>
                    <w:jc w:val="center"/>
                    <w:rPr>
                      <w:sz w:val="21"/>
                      <w:szCs w:val="21"/>
                    </w:rPr>
                  </w:pPr>
                  <w:r>
                    <w:rPr>
                      <w:sz w:val="21"/>
                      <w:szCs w:val="21"/>
                    </w:rPr>
                    <w:t>牌、施工扬尘管控监督牌和现场平面布置图）</w:t>
                  </w:r>
                </w:p>
              </w:tc>
            </w:tr>
          </w:tbl>
          <w:p>
            <w:pPr>
              <w:pStyle w:val="68"/>
              <w:rPr>
                <w:color w:val="auto"/>
                <w:szCs w:val="21"/>
              </w:rPr>
            </w:pPr>
            <w:r>
              <w:rPr>
                <w:color w:val="auto"/>
                <w:szCs w:val="21"/>
              </w:rPr>
              <w:t>项目采取上述污染防治措施后，项目施工期</w:t>
            </w:r>
            <w:r>
              <w:rPr>
                <w:rFonts w:hint="eastAsia"/>
                <w:szCs w:val="21"/>
              </w:rPr>
              <w:t>对周围环境影响较小</w:t>
            </w:r>
            <w:r>
              <w:rPr>
                <w:color w:val="auto"/>
                <w:szCs w:val="21"/>
              </w:rPr>
              <w:t>。</w:t>
            </w:r>
          </w:p>
          <w:p>
            <w:pPr>
              <w:pStyle w:val="68"/>
              <w:rPr>
                <w:color w:val="auto"/>
                <w:szCs w:val="21"/>
              </w:rPr>
            </w:pPr>
            <w:r>
              <w:rPr>
                <w:rFonts w:hint="eastAsia"/>
                <w:bCs/>
                <w:color w:val="auto"/>
                <w:szCs w:val="21"/>
              </w:rPr>
              <w:t>2、</w:t>
            </w:r>
            <w:r>
              <w:rPr>
                <w:bCs/>
                <w:color w:val="auto"/>
                <w:szCs w:val="21"/>
              </w:rPr>
              <w:t>废水</w:t>
            </w:r>
          </w:p>
          <w:p>
            <w:pPr>
              <w:pStyle w:val="68"/>
              <w:rPr>
                <w:color w:val="auto"/>
                <w:szCs w:val="21"/>
              </w:rPr>
            </w:pPr>
            <w:r>
              <w:rPr>
                <w:color w:val="auto"/>
                <w:szCs w:val="21"/>
              </w:rPr>
              <w:t>本项目施工废水排放主要包括建筑施工废水（砂石冲洗、混凝土养护、场地和设备冲洗等）和施工人员的生活污水，因不同阶段用水和排水差异较大，废水排放量不稳定，其主要成分一般为COD、SS和NH</w:t>
            </w:r>
            <w:r>
              <w:rPr>
                <w:color w:val="auto"/>
                <w:szCs w:val="21"/>
                <w:vertAlign w:val="subscript"/>
              </w:rPr>
              <w:t>3</w:t>
            </w:r>
            <w:r>
              <w:rPr>
                <w:color w:val="auto"/>
                <w:szCs w:val="21"/>
              </w:rPr>
              <w:t>—N。据统计施工高峰期人数约</w:t>
            </w:r>
            <w:r>
              <w:rPr>
                <w:rFonts w:hint="eastAsia"/>
                <w:color w:val="auto"/>
                <w:szCs w:val="21"/>
              </w:rPr>
              <w:t>30</w:t>
            </w:r>
            <w:r>
              <w:rPr>
                <w:color w:val="auto"/>
                <w:szCs w:val="21"/>
              </w:rPr>
              <w:t>人，根据《给排水设计手册》，每人每天用水量</w:t>
            </w:r>
            <w:r>
              <w:rPr>
                <w:rFonts w:hint="eastAsia"/>
                <w:color w:val="auto"/>
                <w:szCs w:val="21"/>
              </w:rPr>
              <w:t>100</w:t>
            </w:r>
            <w:r>
              <w:rPr>
                <w:color w:val="auto"/>
                <w:szCs w:val="21"/>
              </w:rPr>
              <w:t>L，则用水量为</w:t>
            </w:r>
            <w:r>
              <w:rPr>
                <w:rFonts w:hint="eastAsia"/>
                <w:color w:val="auto"/>
                <w:szCs w:val="21"/>
              </w:rPr>
              <w:t>3</w:t>
            </w:r>
            <w:r>
              <w:rPr>
                <w:color w:val="auto"/>
                <w:szCs w:val="21"/>
              </w:rPr>
              <w:t>t/d，排放系数按</w:t>
            </w:r>
            <w:r>
              <w:rPr>
                <w:rFonts w:hint="eastAsia"/>
                <w:color w:val="auto"/>
                <w:szCs w:val="21"/>
              </w:rPr>
              <w:t>0.8</w:t>
            </w:r>
            <w:r>
              <w:rPr>
                <w:color w:val="auto"/>
                <w:szCs w:val="21"/>
              </w:rPr>
              <w:t>计算，则生活污水的产生量为</w:t>
            </w:r>
            <w:r>
              <w:rPr>
                <w:rFonts w:hint="eastAsia"/>
                <w:color w:val="auto"/>
                <w:szCs w:val="21"/>
              </w:rPr>
              <w:t>2.4</w:t>
            </w:r>
            <w:r>
              <w:rPr>
                <w:color w:val="auto"/>
                <w:szCs w:val="21"/>
              </w:rPr>
              <w:t>t/d。</w:t>
            </w:r>
          </w:p>
          <w:p>
            <w:pPr>
              <w:pStyle w:val="68"/>
              <w:rPr>
                <w:color w:val="auto"/>
                <w:szCs w:val="21"/>
              </w:rPr>
            </w:pPr>
            <w:r>
              <w:rPr>
                <w:color w:val="auto"/>
                <w:szCs w:val="21"/>
              </w:rPr>
              <w:t>施工期产生的废水量虽然不大，但是也不能任其流淌危害环境。生活废水经过管网收集，通过化粪池处理排入</w:t>
            </w:r>
            <w:r>
              <w:rPr>
                <w:rFonts w:ascii="宋体" w:hAnsi="宋体" w:cs="宋体"/>
              </w:rPr>
              <w:t>宿州市经济技术开发区污水处理厂</w:t>
            </w:r>
            <w:r>
              <w:rPr>
                <w:rFonts w:hint="eastAsia"/>
                <w:color w:val="auto"/>
                <w:szCs w:val="21"/>
              </w:rPr>
              <w:t>，经污水厂处理达标后排入运粮河</w:t>
            </w:r>
            <w:r>
              <w:rPr>
                <w:color w:val="auto"/>
                <w:szCs w:val="21"/>
              </w:rPr>
              <w:t>。施工废水通过设置临时的排污沟来收集，沉淀处理后用于施工现场洒水降尘，从而使水可以循环利用，减少水资源浪费。</w:t>
            </w:r>
          </w:p>
          <w:p>
            <w:pPr>
              <w:pStyle w:val="68"/>
              <w:rPr>
                <w:color w:val="auto"/>
                <w:szCs w:val="21"/>
              </w:rPr>
            </w:pPr>
            <w:r>
              <w:rPr>
                <w:rFonts w:hint="eastAsia"/>
                <w:color w:val="auto"/>
                <w:szCs w:val="21"/>
              </w:rPr>
              <w:t>3、</w:t>
            </w:r>
            <w:r>
              <w:rPr>
                <w:bCs/>
                <w:color w:val="auto"/>
                <w:szCs w:val="21"/>
              </w:rPr>
              <w:t>噪声</w:t>
            </w:r>
          </w:p>
          <w:p>
            <w:pPr>
              <w:pStyle w:val="68"/>
              <w:rPr>
                <w:color w:val="auto"/>
                <w:szCs w:val="21"/>
              </w:rPr>
            </w:pPr>
            <w:r>
              <w:rPr>
                <w:color w:val="auto"/>
                <w:szCs w:val="21"/>
              </w:rPr>
              <w:t>施工期噪声主要来源于机械噪声和施工作业噪声，其中机械噪声包括挖土机械和打桩机械产生的噪声；而施工作业噪声包括零星的敲打声、装卸车辆的撞击声、吆喝声以及拆卸模板的撞击声。为了减少施工过程对周围环境造成的噪声污染，应该采取下列措施：</w:t>
            </w:r>
          </w:p>
          <w:p>
            <w:pPr>
              <w:pStyle w:val="68"/>
              <w:rPr>
                <w:color w:val="auto"/>
                <w:szCs w:val="21"/>
              </w:rPr>
            </w:pPr>
            <w:r>
              <w:rPr>
                <w:rFonts w:hint="eastAsia"/>
                <w:color w:val="auto"/>
                <w:szCs w:val="21"/>
              </w:rPr>
              <w:t>（1）</w:t>
            </w:r>
            <w:r>
              <w:rPr>
                <w:color w:val="auto"/>
                <w:szCs w:val="21"/>
              </w:rPr>
              <w:t>加强管理，控制同时作业的高噪声设备数量，尽量采用低噪声设备；</w:t>
            </w:r>
          </w:p>
          <w:p>
            <w:pPr>
              <w:pStyle w:val="68"/>
              <w:ind w:firstLineChars="0"/>
              <w:rPr>
                <w:color w:val="auto"/>
                <w:szCs w:val="21"/>
              </w:rPr>
            </w:pPr>
            <w:r>
              <w:rPr>
                <w:rFonts w:hint="eastAsia"/>
                <w:color w:val="auto"/>
                <w:szCs w:val="21"/>
              </w:rPr>
              <w:t>（2）</w:t>
            </w:r>
            <w:r>
              <w:rPr>
                <w:color w:val="auto"/>
                <w:szCs w:val="21"/>
              </w:rPr>
              <w:t>施工尽可能安排在白天，夜间禁止高噪声设备施工，以减少对周围居民产生影响。</w:t>
            </w:r>
          </w:p>
          <w:p>
            <w:pPr>
              <w:pStyle w:val="68"/>
              <w:ind w:left="480" w:firstLine="0" w:firstLineChars="0"/>
              <w:rPr>
                <w:color w:val="auto"/>
                <w:szCs w:val="21"/>
              </w:rPr>
            </w:pPr>
            <w:r>
              <w:rPr>
                <w:rFonts w:hint="eastAsia"/>
                <w:color w:val="auto"/>
                <w:szCs w:val="21"/>
              </w:rPr>
              <w:t>（3）</w:t>
            </w:r>
            <w:r>
              <w:rPr>
                <w:color w:val="auto"/>
                <w:szCs w:val="21"/>
              </w:rPr>
              <w:t>在高噪声设备周围设置掩盖物，从而进一步降低其影响。</w:t>
            </w:r>
          </w:p>
          <w:p>
            <w:pPr>
              <w:pStyle w:val="68"/>
              <w:rPr>
                <w:color w:val="auto"/>
                <w:szCs w:val="21"/>
              </w:rPr>
            </w:pPr>
            <w:r>
              <w:rPr>
                <w:color w:val="auto"/>
                <w:szCs w:val="21"/>
              </w:rPr>
              <w:t>综上所述，通过采取一定的降低噪声措施后，施工期产生的噪声影响将得到有效控制，进而其对于周围环境的影响较小。</w:t>
            </w:r>
          </w:p>
          <w:p>
            <w:pPr>
              <w:pStyle w:val="68"/>
              <w:rPr>
                <w:color w:val="auto"/>
                <w:szCs w:val="21"/>
              </w:rPr>
            </w:pPr>
            <w:r>
              <w:rPr>
                <w:rFonts w:hint="eastAsia"/>
                <w:color w:val="auto"/>
                <w:szCs w:val="21"/>
              </w:rPr>
              <w:t>4、</w:t>
            </w:r>
            <w:r>
              <w:rPr>
                <w:bCs/>
                <w:color w:val="auto"/>
                <w:szCs w:val="21"/>
              </w:rPr>
              <w:t>固体废物</w:t>
            </w:r>
          </w:p>
          <w:p>
            <w:pPr>
              <w:pStyle w:val="68"/>
              <w:rPr>
                <w:color w:val="auto"/>
                <w:szCs w:val="21"/>
              </w:rPr>
            </w:pPr>
            <w:r>
              <w:rPr>
                <w:color w:val="auto"/>
                <w:szCs w:val="21"/>
              </w:rPr>
              <w:t>施工期的固体废物主要来自建筑垃圾和施工人员的生活垃圾。为了减少施工过程中的固废对环境的影响，应该采取以下措施：</w:t>
            </w:r>
          </w:p>
          <w:p>
            <w:pPr>
              <w:pStyle w:val="68"/>
              <w:rPr>
                <w:color w:val="auto"/>
                <w:szCs w:val="21"/>
              </w:rPr>
            </w:pPr>
            <w:r>
              <w:rPr>
                <w:color w:val="auto"/>
                <w:szCs w:val="21"/>
              </w:rPr>
              <w:t>（1）对施工中的建筑垃圾进行分类，以便回收可以二次利用的废弃物，不能利用的建筑垃圾要及时清运至专门的建筑垃圾堆放场地处置，避免任意堆放影响土地利用及造成二次污染；</w:t>
            </w:r>
          </w:p>
          <w:p>
            <w:pPr>
              <w:pStyle w:val="68"/>
              <w:rPr>
                <w:color w:val="auto"/>
                <w:szCs w:val="21"/>
              </w:rPr>
            </w:pPr>
            <w:r>
              <w:rPr>
                <w:color w:val="auto"/>
                <w:szCs w:val="21"/>
              </w:rPr>
              <w:t>（2）施工单位在开工前，应当与市容环境卫生行政主管部门签订市容环境卫生责任书，对施工过程中产生的各类建筑垃圾应及时清运，保持场地整洁；</w:t>
            </w:r>
          </w:p>
          <w:p>
            <w:pPr>
              <w:pStyle w:val="68"/>
              <w:rPr>
                <w:color w:val="auto"/>
                <w:szCs w:val="21"/>
              </w:rPr>
            </w:pPr>
            <w:r>
              <w:rPr>
                <w:color w:val="auto"/>
                <w:szCs w:val="21"/>
              </w:rPr>
              <w:t>（3）建筑垃圾运输车辆应采取密闭措施，不得超载运输，不得遗撒、泄露。</w:t>
            </w:r>
          </w:p>
          <w:p>
            <w:pPr>
              <w:pStyle w:val="68"/>
              <w:rPr>
                <w:color w:val="auto"/>
                <w:szCs w:val="21"/>
              </w:rPr>
            </w:pPr>
            <w:r>
              <w:rPr>
                <w:color w:val="auto"/>
                <w:szCs w:val="21"/>
              </w:rPr>
              <w:t>（4）建筑垃圾运往城管部门指定地点处理，严禁沿路堆放。</w:t>
            </w:r>
          </w:p>
          <w:p>
            <w:pPr>
              <w:pStyle w:val="68"/>
              <w:rPr>
                <w:color w:val="auto"/>
                <w:szCs w:val="21"/>
              </w:rPr>
            </w:pPr>
            <w:r>
              <w:rPr>
                <w:color w:val="auto"/>
                <w:szCs w:val="21"/>
              </w:rPr>
              <w:t>综上所述，通过采取上述措施后，施工期的固体废弃物均实现清洁处理和处置，不造成二次污染，对周围环境影响较小。</w:t>
            </w:r>
          </w:p>
          <w:p>
            <w:pPr>
              <w:spacing w:line="360" w:lineRule="auto"/>
              <w:ind w:firstLine="480" w:firstLineChars="200"/>
              <w:rPr>
                <w:sz w:val="24"/>
                <w:szCs w:val="24"/>
              </w:rPr>
            </w:pPr>
          </w:p>
          <w:p>
            <w:pPr>
              <w:spacing w:line="360" w:lineRule="auto"/>
              <w:ind w:firstLine="480" w:firstLineChars="200"/>
              <w:rPr>
                <w:sz w:val="24"/>
                <w:szCs w:val="24"/>
              </w:rPr>
            </w:pPr>
          </w:p>
          <w:p>
            <w:pPr>
              <w:spacing w:line="360" w:lineRule="auto"/>
              <w:ind w:firstLine="480" w:firstLineChars="200"/>
              <w:rPr>
                <w:sz w:val="24"/>
                <w:szCs w:val="24"/>
              </w:rPr>
            </w:pPr>
          </w:p>
          <w:p>
            <w:pPr>
              <w:spacing w:line="360" w:lineRule="auto"/>
              <w:ind w:firstLine="480" w:firstLineChars="200"/>
              <w:rPr>
                <w:sz w:val="24"/>
                <w:szCs w:val="24"/>
              </w:rPr>
            </w:pPr>
          </w:p>
          <w:p>
            <w:pPr>
              <w:spacing w:line="360" w:lineRule="auto"/>
              <w:ind w:firstLine="480" w:firstLineChars="200"/>
              <w:rPr>
                <w:sz w:val="24"/>
                <w:szCs w:val="24"/>
              </w:rPr>
            </w:pPr>
          </w:p>
          <w:p>
            <w:pPr>
              <w:spacing w:line="360" w:lineRule="auto"/>
              <w:ind w:firstLine="480" w:firstLineChars="200"/>
              <w:rPr>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638" w:hRule="atLeast"/>
          <w:jc w:val="center"/>
        </w:trPr>
        <w:tc>
          <w:tcPr>
            <w:tcW w:w="510" w:type="dxa"/>
            <w:tcBorders>
              <w:bottom w:val="single" w:color="auto" w:sz="8" w:space="0"/>
            </w:tcBorders>
            <w:tcMar>
              <w:left w:w="28" w:type="dxa"/>
              <w:right w:w="28" w:type="dxa"/>
            </w:tcMar>
            <w:vAlign w:val="center"/>
          </w:tcPr>
          <w:p>
            <w:pPr>
              <w:adjustRightInd w:val="0"/>
              <w:snapToGrid w:val="0"/>
              <w:jc w:val="center"/>
            </w:pPr>
            <w:r>
              <w:t>运营</w:t>
            </w:r>
          </w:p>
          <w:p>
            <w:pPr>
              <w:adjustRightInd w:val="0"/>
              <w:snapToGrid w:val="0"/>
              <w:jc w:val="center"/>
            </w:pPr>
            <w:r>
              <w:t>期环</w:t>
            </w:r>
          </w:p>
          <w:p>
            <w:pPr>
              <w:adjustRightInd w:val="0"/>
              <w:snapToGrid w:val="0"/>
              <w:jc w:val="center"/>
            </w:pPr>
            <w:r>
              <w:t>境影</w:t>
            </w:r>
          </w:p>
          <w:p>
            <w:pPr>
              <w:adjustRightInd w:val="0"/>
              <w:snapToGrid w:val="0"/>
              <w:jc w:val="center"/>
            </w:pPr>
            <w:r>
              <w:t>响和</w:t>
            </w:r>
          </w:p>
          <w:p>
            <w:pPr>
              <w:adjustRightInd w:val="0"/>
              <w:snapToGrid w:val="0"/>
              <w:jc w:val="center"/>
            </w:pPr>
            <w:r>
              <w:t>保护</w:t>
            </w:r>
          </w:p>
          <w:p>
            <w:pPr>
              <w:adjustRightInd w:val="0"/>
              <w:snapToGrid w:val="0"/>
              <w:jc w:val="center"/>
            </w:pPr>
            <w:r>
              <w:t>措施</w:t>
            </w:r>
          </w:p>
        </w:tc>
        <w:tc>
          <w:tcPr>
            <w:tcW w:w="8398" w:type="dxa"/>
            <w:tcBorders>
              <w:bottom w:val="single" w:color="auto" w:sz="8" w:space="0"/>
            </w:tcBorders>
            <w:vAlign w:val="center"/>
          </w:tcPr>
          <w:p>
            <w:pPr>
              <w:spacing w:line="360" w:lineRule="auto"/>
              <w:ind w:firstLine="482" w:firstLineChars="200"/>
              <w:rPr>
                <w:b/>
                <w:bCs/>
                <w:sz w:val="24"/>
                <w:szCs w:val="24"/>
              </w:rPr>
            </w:pPr>
            <w:r>
              <w:rPr>
                <w:b/>
                <w:bCs/>
                <w:sz w:val="24"/>
                <w:szCs w:val="24"/>
              </w:rPr>
              <w:t>1、废气</w:t>
            </w:r>
          </w:p>
          <w:p>
            <w:pPr>
              <w:spacing w:line="360" w:lineRule="auto"/>
              <w:ind w:firstLine="482" w:firstLineChars="200"/>
              <w:rPr>
                <w:sz w:val="24"/>
                <w:szCs w:val="24"/>
              </w:rPr>
            </w:pPr>
            <w:r>
              <w:rPr>
                <w:b/>
                <w:bCs/>
                <w:color w:val="000000"/>
                <w:sz w:val="24"/>
                <w:szCs w:val="24"/>
              </w:rPr>
              <w:t>1.1废气产排污情况及污染防治措施</w:t>
            </w:r>
          </w:p>
          <w:p>
            <w:pPr>
              <w:spacing w:line="360" w:lineRule="auto"/>
              <w:ind w:firstLine="480" w:firstLineChars="200"/>
              <w:rPr>
                <w:b/>
                <w:bCs/>
                <w:sz w:val="24"/>
                <w:szCs w:val="24"/>
              </w:rPr>
            </w:pPr>
            <w:r>
              <w:rPr>
                <w:sz w:val="24"/>
                <w:szCs w:val="24"/>
              </w:rPr>
              <w:t>本项目大气污染物主要为：</w:t>
            </w:r>
            <w:r>
              <w:rPr>
                <w:rFonts w:hint="eastAsia"/>
                <w:sz w:val="24"/>
                <w:szCs w:val="24"/>
                <w:lang w:eastAsia="zh-CN"/>
              </w:rPr>
              <w:t>猪饲料</w:t>
            </w:r>
            <w:r>
              <w:rPr>
                <w:rFonts w:hint="eastAsia"/>
                <w:sz w:val="24"/>
                <w:szCs w:val="24"/>
              </w:rPr>
              <w:t>生产过程中产生的粉尘、</w:t>
            </w:r>
            <w:r>
              <w:rPr>
                <w:rFonts w:hint="eastAsia"/>
                <w:sz w:val="24"/>
                <w:szCs w:val="24"/>
                <w:lang w:eastAsia="zh-CN"/>
              </w:rPr>
              <w:t>反刍饲料</w:t>
            </w:r>
            <w:r>
              <w:rPr>
                <w:rFonts w:hint="eastAsia"/>
                <w:sz w:val="24"/>
                <w:szCs w:val="24"/>
              </w:rPr>
              <w:t>生产过程中产生的粉尘、锅炉烟气和食堂废气。</w:t>
            </w:r>
          </w:p>
          <w:p>
            <w:pPr>
              <w:spacing w:line="360" w:lineRule="auto"/>
              <w:ind w:firstLine="482" w:firstLineChars="200"/>
              <w:rPr>
                <w:sz w:val="24"/>
                <w:szCs w:val="24"/>
              </w:rPr>
            </w:pPr>
            <w:r>
              <w:rPr>
                <w:rFonts w:hint="eastAsia"/>
                <w:b/>
                <w:bCs/>
                <w:sz w:val="24"/>
                <w:szCs w:val="24"/>
              </w:rPr>
              <w:t>（</w:t>
            </w:r>
            <w:r>
              <w:rPr>
                <w:rFonts w:hint="eastAsia"/>
                <w:b/>
                <w:bCs/>
                <w:sz w:val="24"/>
                <w:szCs w:val="24"/>
                <w:lang w:val="en-US" w:eastAsia="zh-CN"/>
              </w:rPr>
              <w:t>1</w:t>
            </w:r>
            <w:r>
              <w:rPr>
                <w:rFonts w:hint="eastAsia"/>
                <w:b/>
                <w:bCs/>
                <w:sz w:val="24"/>
                <w:szCs w:val="24"/>
              </w:rPr>
              <w:t>）</w:t>
            </w:r>
            <w:r>
              <w:rPr>
                <w:rFonts w:hint="eastAsia"/>
                <w:b/>
                <w:bCs/>
                <w:sz w:val="24"/>
                <w:szCs w:val="24"/>
                <w:lang w:eastAsia="zh-CN"/>
              </w:rPr>
              <w:t>猪饲料</w:t>
            </w:r>
            <w:r>
              <w:rPr>
                <w:rFonts w:hint="eastAsia"/>
                <w:b/>
                <w:bCs/>
                <w:sz w:val="24"/>
                <w:szCs w:val="24"/>
              </w:rPr>
              <w:t>生产过程中产生的粉尘</w:t>
            </w:r>
          </w:p>
          <w:p>
            <w:pPr>
              <w:spacing w:line="360" w:lineRule="auto"/>
              <w:ind w:firstLine="480" w:firstLineChars="200"/>
              <w:rPr>
                <w:b/>
                <w:bCs/>
                <w:sz w:val="24"/>
                <w:szCs w:val="24"/>
              </w:rPr>
            </w:pPr>
            <w:r>
              <w:rPr>
                <w:sz w:val="24"/>
                <w:szCs w:val="24"/>
              </w:rPr>
              <w:t>①</w:t>
            </w:r>
            <w:r>
              <w:rPr>
                <w:rFonts w:hint="eastAsia"/>
                <w:sz w:val="24"/>
                <w:szCs w:val="24"/>
              </w:rPr>
              <w:t>投料粉尘</w:t>
            </w:r>
          </w:p>
          <w:p>
            <w:pPr>
              <w:spacing w:line="360" w:lineRule="auto"/>
              <w:ind w:firstLine="480" w:firstLineChars="200"/>
              <w:rPr>
                <w:color w:val="auto"/>
                <w:sz w:val="24"/>
                <w:szCs w:val="24"/>
              </w:rPr>
            </w:pPr>
            <w:r>
              <w:rPr>
                <w:sz w:val="24"/>
                <w:szCs w:val="24"/>
              </w:rPr>
              <w:t>项目生产过程中员工分别将袋装的原料通过</w:t>
            </w:r>
            <w:r>
              <w:rPr>
                <w:rFonts w:hint="eastAsia"/>
                <w:sz w:val="24"/>
                <w:szCs w:val="24"/>
              </w:rPr>
              <w:t>主车间一层的</w:t>
            </w:r>
            <w:r>
              <w:rPr>
                <w:rFonts w:hint="eastAsia"/>
                <w:sz w:val="24"/>
                <w:szCs w:val="24"/>
                <w:lang w:eastAsia="zh-CN"/>
              </w:rPr>
              <w:t>猪饲料</w:t>
            </w:r>
            <w:r>
              <w:rPr>
                <w:sz w:val="24"/>
                <w:szCs w:val="24"/>
              </w:rPr>
              <w:t>投料口投入</w:t>
            </w:r>
            <w:r>
              <w:rPr>
                <w:rFonts w:hint="eastAsia"/>
                <w:sz w:val="24"/>
                <w:szCs w:val="24"/>
              </w:rPr>
              <w:t>位于主车间负一层的</w:t>
            </w:r>
            <w:r>
              <w:rPr>
                <w:sz w:val="24"/>
                <w:szCs w:val="24"/>
              </w:rPr>
              <w:t>料仓中。在投料过程中会产生粉尘，依据《逸散性工业粉尘控制技术》的相关排放因子，本项目</w:t>
            </w:r>
            <w:r>
              <w:rPr>
                <w:rFonts w:hint="eastAsia"/>
                <w:sz w:val="24"/>
                <w:szCs w:val="24"/>
                <w:lang w:eastAsia="zh-CN"/>
              </w:rPr>
              <w:t>猪饲料</w:t>
            </w:r>
            <w:r>
              <w:rPr>
                <w:rFonts w:hint="eastAsia"/>
                <w:sz w:val="24"/>
                <w:szCs w:val="24"/>
              </w:rPr>
              <w:t>粉料、粒料使用量</w:t>
            </w:r>
            <w:r>
              <w:rPr>
                <w:rFonts w:hint="eastAsia"/>
                <w:color w:val="auto"/>
                <w:sz w:val="24"/>
                <w:szCs w:val="24"/>
              </w:rPr>
              <w:t>约为1</w:t>
            </w:r>
            <w:r>
              <w:rPr>
                <w:rFonts w:hint="eastAsia"/>
                <w:color w:val="auto"/>
                <w:sz w:val="24"/>
                <w:szCs w:val="24"/>
                <w:lang w:val="en-US" w:eastAsia="zh-CN"/>
              </w:rPr>
              <w:t>1.76</w:t>
            </w:r>
            <w:r>
              <w:rPr>
                <w:rFonts w:hint="eastAsia"/>
                <w:color w:val="auto"/>
                <w:sz w:val="24"/>
                <w:szCs w:val="24"/>
              </w:rPr>
              <w:t>万</w:t>
            </w:r>
            <w:r>
              <w:rPr>
                <w:color w:val="auto"/>
                <w:sz w:val="24"/>
                <w:szCs w:val="24"/>
              </w:rPr>
              <w:t>t/a</w:t>
            </w:r>
            <w:r>
              <w:rPr>
                <w:rFonts w:hint="eastAsia"/>
                <w:color w:val="auto"/>
                <w:sz w:val="24"/>
                <w:szCs w:val="24"/>
              </w:rPr>
              <w:t>，</w:t>
            </w:r>
            <w:r>
              <w:rPr>
                <w:color w:val="auto"/>
                <w:sz w:val="24"/>
                <w:szCs w:val="24"/>
              </w:rPr>
              <w:t>投料粉尘产污系数取0.03kg/t，则</w:t>
            </w:r>
            <w:r>
              <w:rPr>
                <w:rFonts w:hint="eastAsia"/>
                <w:color w:val="auto"/>
                <w:sz w:val="24"/>
                <w:szCs w:val="24"/>
                <w:lang w:eastAsia="zh-CN"/>
              </w:rPr>
              <w:t>猪饲料</w:t>
            </w:r>
            <w:r>
              <w:rPr>
                <w:rFonts w:hint="eastAsia"/>
                <w:color w:val="auto"/>
                <w:sz w:val="24"/>
                <w:szCs w:val="24"/>
              </w:rPr>
              <w:t>生产中</w:t>
            </w:r>
            <w:r>
              <w:rPr>
                <w:color w:val="auto"/>
                <w:sz w:val="24"/>
                <w:szCs w:val="24"/>
              </w:rPr>
              <w:t>投料工序产生的粉尘量</w:t>
            </w:r>
            <w:r>
              <w:rPr>
                <w:rFonts w:hint="eastAsia"/>
                <w:color w:val="auto"/>
                <w:sz w:val="24"/>
                <w:szCs w:val="24"/>
              </w:rPr>
              <w:t>约</w:t>
            </w:r>
            <w:r>
              <w:rPr>
                <w:color w:val="auto"/>
                <w:sz w:val="24"/>
                <w:szCs w:val="24"/>
              </w:rPr>
              <w:t>为</w:t>
            </w:r>
            <w:r>
              <w:rPr>
                <w:rFonts w:hint="eastAsia"/>
                <w:color w:val="auto"/>
                <w:sz w:val="24"/>
                <w:szCs w:val="24"/>
                <w:lang w:val="en-US" w:eastAsia="zh-CN"/>
              </w:rPr>
              <w:t>3.53</w:t>
            </w:r>
            <w:r>
              <w:rPr>
                <w:color w:val="auto"/>
                <w:sz w:val="24"/>
                <w:szCs w:val="24"/>
              </w:rPr>
              <w:t>t/a。</w:t>
            </w:r>
          </w:p>
          <w:p>
            <w:pPr>
              <w:spacing w:line="360" w:lineRule="auto"/>
              <w:ind w:firstLine="480" w:firstLineChars="200"/>
              <w:rPr>
                <w:b/>
                <w:bCs/>
                <w:color w:val="auto"/>
                <w:sz w:val="24"/>
                <w:szCs w:val="24"/>
              </w:rPr>
            </w:pPr>
            <w:r>
              <w:rPr>
                <w:rFonts w:ascii="宋体" w:hAnsi="宋体" w:cs="宋体"/>
                <w:color w:val="auto"/>
                <w:sz w:val="24"/>
                <w:szCs w:val="24"/>
              </w:rPr>
              <w:t>本环评要求企业在投料点设置负压收集装置，来收集投料粉尘。投料粉尘经</w:t>
            </w:r>
            <w:r>
              <w:rPr>
                <w:color w:val="auto"/>
                <w:sz w:val="24"/>
                <w:szCs w:val="24"/>
              </w:rPr>
              <w:t>2</w:t>
            </w:r>
            <w:r>
              <w:rPr>
                <w:rFonts w:hint="eastAsia" w:ascii="宋体" w:hAnsi="宋体" w:cs="宋体"/>
                <w:color w:val="auto"/>
                <w:sz w:val="24"/>
                <w:szCs w:val="24"/>
              </w:rPr>
              <w:t>台</w:t>
            </w:r>
            <w:r>
              <w:rPr>
                <w:rFonts w:hint="eastAsia" w:cs="宋体"/>
                <w:color w:val="auto"/>
                <w:kern w:val="0"/>
                <w:sz w:val="24"/>
                <w:szCs w:val="24"/>
              </w:rPr>
              <w:t>脉冲布筒除尘器（TA001、TA002）</w:t>
            </w:r>
            <w:r>
              <w:rPr>
                <w:rFonts w:ascii="宋体" w:hAnsi="宋体" w:cs="宋体"/>
                <w:color w:val="auto"/>
                <w:sz w:val="24"/>
                <w:szCs w:val="24"/>
              </w:rPr>
              <w:t>处理后</w:t>
            </w:r>
            <w:r>
              <w:rPr>
                <w:color w:val="auto"/>
                <w:sz w:val="24"/>
                <w:szCs w:val="24"/>
              </w:rPr>
              <w:t>，通过1根3</w:t>
            </w:r>
            <w:r>
              <w:rPr>
                <w:rFonts w:hint="eastAsia"/>
                <w:color w:val="auto"/>
                <w:sz w:val="24"/>
                <w:szCs w:val="24"/>
              </w:rPr>
              <w:t>5</w:t>
            </w:r>
            <w:r>
              <w:rPr>
                <w:color w:val="auto"/>
                <w:sz w:val="24"/>
                <w:szCs w:val="24"/>
              </w:rPr>
              <w:t>m高的DA001排</w:t>
            </w:r>
            <w:r>
              <w:rPr>
                <w:rFonts w:ascii="宋体" w:hAnsi="宋体" w:cs="宋体"/>
                <w:color w:val="auto"/>
                <w:sz w:val="24"/>
                <w:szCs w:val="24"/>
              </w:rPr>
              <w:t>气筒高空排放。</w:t>
            </w:r>
            <w:r>
              <w:rPr>
                <w:color w:val="auto"/>
                <w:sz w:val="24"/>
                <w:szCs w:val="24"/>
              </w:rPr>
              <w:t>投料工序在密闭的车间内进行，收集效率按9</w:t>
            </w:r>
            <w:r>
              <w:rPr>
                <w:rFonts w:hint="eastAsia"/>
                <w:color w:val="auto"/>
                <w:sz w:val="24"/>
                <w:szCs w:val="24"/>
              </w:rPr>
              <w:t>0</w:t>
            </w:r>
            <w:r>
              <w:rPr>
                <w:color w:val="auto"/>
                <w:sz w:val="24"/>
                <w:szCs w:val="24"/>
              </w:rPr>
              <w:t>%计，除尘器处理效率按99%计，则投料粉尘的有组织排放量为</w:t>
            </w:r>
            <w:r>
              <w:rPr>
                <w:rFonts w:hint="eastAsia"/>
                <w:color w:val="auto"/>
                <w:sz w:val="24"/>
                <w:szCs w:val="24"/>
              </w:rPr>
              <w:t>0.03</w:t>
            </w:r>
            <w:r>
              <w:rPr>
                <w:rFonts w:hint="eastAsia"/>
                <w:color w:val="auto"/>
                <w:sz w:val="24"/>
                <w:szCs w:val="24"/>
                <w:lang w:val="en-US" w:eastAsia="zh-CN"/>
              </w:rPr>
              <w:t>2</w:t>
            </w:r>
            <w:r>
              <w:rPr>
                <w:color w:val="auto"/>
                <w:sz w:val="24"/>
                <w:szCs w:val="24"/>
              </w:rPr>
              <w:t>t/a</w:t>
            </w:r>
            <w:r>
              <w:rPr>
                <w:rFonts w:hint="eastAsia"/>
                <w:color w:val="auto"/>
                <w:sz w:val="24"/>
                <w:szCs w:val="24"/>
              </w:rPr>
              <w:t>，无组织排放量为</w:t>
            </w:r>
            <w:r>
              <w:rPr>
                <w:rFonts w:hint="eastAsia"/>
                <w:color w:val="auto"/>
                <w:sz w:val="24"/>
                <w:szCs w:val="24"/>
                <w:lang w:val="en-US" w:eastAsia="zh-CN"/>
              </w:rPr>
              <w:t>0.353</w:t>
            </w:r>
            <w:r>
              <w:rPr>
                <w:color w:val="auto"/>
                <w:sz w:val="24"/>
                <w:szCs w:val="24"/>
              </w:rPr>
              <w:t>t/a</w:t>
            </w:r>
            <w:r>
              <w:rPr>
                <w:rFonts w:hint="eastAsia"/>
                <w:color w:val="auto"/>
                <w:sz w:val="24"/>
                <w:szCs w:val="24"/>
              </w:rPr>
              <w:t>。</w:t>
            </w:r>
          </w:p>
          <w:p>
            <w:pPr>
              <w:spacing w:line="360" w:lineRule="auto"/>
              <w:ind w:firstLine="480" w:firstLineChars="200"/>
              <w:rPr>
                <w:sz w:val="24"/>
                <w:szCs w:val="24"/>
              </w:rPr>
            </w:pPr>
            <w:r>
              <w:rPr>
                <w:sz w:val="24"/>
                <w:szCs w:val="24"/>
              </w:rPr>
              <w:t>②</w:t>
            </w:r>
            <w:r>
              <w:rPr>
                <w:rFonts w:hint="eastAsia"/>
                <w:sz w:val="24"/>
                <w:szCs w:val="24"/>
              </w:rPr>
              <w:t>生产工艺粉尘</w:t>
            </w:r>
          </w:p>
          <w:p>
            <w:pPr>
              <w:spacing w:line="360" w:lineRule="auto"/>
              <w:ind w:firstLine="480" w:firstLineChars="200"/>
              <w:rPr>
                <w:sz w:val="24"/>
                <w:szCs w:val="24"/>
              </w:rPr>
            </w:pPr>
            <w:r>
              <w:rPr>
                <w:rFonts w:hint="eastAsia"/>
                <w:sz w:val="24"/>
                <w:szCs w:val="24"/>
              </w:rPr>
              <w:t>项目生产过程中在初清筛、粉碎、配料及产品打包处设置了</w:t>
            </w:r>
            <w:r>
              <w:rPr>
                <w:rFonts w:hint="eastAsia" w:cs="宋体"/>
                <w:kern w:val="0"/>
                <w:sz w:val="24"/>
                <w:szCs w:val="24"/>
              </w:rPr>
              <w:t>脉冲布筒除尘器或</w:t>
            </w:r>
            <w:r>
              <w:rPr>
                <w:rFonts w:ascii="宋体" w:hAnsi="宋体" w:cs="宋体"/>
                <w:sz w:val="24"/>
                <w:szCs w:val="24"/>
              </w:rPr>
              <w:t>单筒无动力除尘器</w:t>
            </w:r>
            <w:r>
              <w:rPr>
                <w:rFonts w:hint="eastAsia" w:ascii="宋体" w:hAnsi="宋体" w:cs="宋体"/>
                <w:sz w:val="24"/>
                <w:szCs w:val="24"/>
              </w:rPr>
              <w:t>。初清筛粉尘经</w:t>
            </w:r>
            <w:r>
              <w:rPr>
                <w:sz w:val="24"/>
                <w:szCs w:val="24"/>
              </w:rPr>
              <w:t>1</w:t>
            </w:r>
            <w:r>
              <w:rPr>
                <w:rFonts w:hint="eastAsia" w:ascii="宋体" w:hAnsi="宋体" w:cs="宋体"/>
                <w:sz w:val="24"/>
                <w:szCs w:val="24"/>
              </w:rPr>
              <w:t>台</w:t>
            </w:r>
            <w:r>
              <w:rPr>
                <w:rFonts w:hint="eastAsia" w:cs="宋体"/>
                <w:kern w:val="0"/>
                <w:sz w:val="24"/>
                <w:szCs w:val="24"/>
              </w:rPr>
              <w:t>脉冲布筒除尘器（TA003）进行处理；粉碎粉尘经2</w:t>
            </w:r>
            <w:r>
              <w:rPr>
                <w:rFonts w:hint="eastAsia" w:ascii="宋体" w:hAnsi="宋体" w:cs="宋体"/>
                <w:sz w:val="24"/>
                <w:szCs w:val="24"/>
              </w:rPr>
              <w:t>台</w:t>
            </w:r>
            <w:r>
              <w:rPr>
                <w:rFonts w:hint="eastAsia" w:cs="宋体"/>
                <w:kern w:val="0"/>
                <w:sz w:val="24"/>
                <w:szCs w:val="24"/>
              </w:rPr>
              <w:t>脉冲布筒除尘器（TA004、TA005）进行处理；配料粉尘经3</w:t>
            </w:r>
            <w:r>
              <w:rPr>
                <w:rFonts w:hint="eastAsia" w:ascii="宋体" w:hAnsi="宋体" w:cs="宋体"/>
                <w:sz w:val="24"/>
                <w:szCs w:val="24"/>
              </w:rPr>
              <w:t>台单筒无动力除尘器</w:t>
            </w:r>
            <w:r>
              <w:rPr>
                <w:rFonts w:hint="eastAsia" w:cs="宋体"/>
                <w:kern w:val="0"/>
                <w:sz w:val="24"/>
                <w:szCs w:val="24"/>
              </w:rPr>
              <w:t>（TA006、TA007、TA008）进行处理；打包粉尘经</w:t>
            </w:r>
            <w:r>
              <w:rPr>
                <w:sz w:val="24"/>
                <w:szCs w:val="24"/>
              </w:rPr>
              <w:t>1</w:t>
            </w:r>
            <w:r>
              <w:rPr>
                <w:rFonts w:hint="eastAsia" w:ascii="宋体" w:hAnsi="宋体" w:cs="宋体"/>
                <w:sz w:val="24"/>
                <w:szCs w:val="24"/>
              </w:rPr>
              <w:t>台</w:t>
            </w:r>
            <w:r>
              <w:rPr>
                <w:rFonts w:hint="eastAsia" w:cs="宋体"/>
                <w:kern w:val="0"/>
                <w:sz w:val="24"/>
                <w:szCs w:val="24"/>
              </w:rPr>
              <w:t>脉冲布筒除尘器（TA009）进行处理。</w:t>
            </w:r>
            <w:r>
              <w:rPr>
                <w:rFonts w:hint="eastAsia" w:cs="宋体"/>
                <w:color w:val="auto"/>
                <w:kern w:val="0"/>
                <w:sz w:val="24"/>
                <w:szCs w:val="24"/>
              </w:rPr>
              <w:t>初清筛、粉碎、配料和打包工段产生的粉尘经各工段配置的除尘器进行处理后，通过同一根35m高的DA</w:t>
            </w:r>
            <w:r>
              <w:rPr>
                <w:rFonts w:hint="eastAsia" w:cs="宋体"/>
                <w:kern w:val="0"/>
                <w:sz w:val="24"/>
                <w:szCs w:val="24"/>
              </w:rPr>
              <w:t>001排气筒高空排放。</w:t>
            </w:r>
          </w:p>
          <w:p>
            <w:pPr>
              <w:spacing w:line="360" w:lineRule="auto"/>
              <w:ind w:firstLine="480" w:firstLineChars="200"/>
              <w:rPr>
                <w:color w:val="auto"/>
                <w:sz w:val="24"/>
                <w:szCs w:val="24"/>
              </w:rPr>
            </w:pPr>
            <w:r>
              <w:rPr>
                <w:sz w:val="24"/>
                <w:szCs w:val="24"/>
              </w:rPr>
              <w:t>根据《排放源统计调查产排污核算方法和系数手册》（环境部公告2021年第24号）中的《132饲料加工行业系数手册》可知，配合饲料中</w:t>
            </w:r>
            <w:r>
              <w:rPr>
                <w:rFonts w:hint="eastAsia" w:ascii="宋体" w:hAnsi="宋体" w:cs="宋体"/>
                <w:sz w:val="24"/>
                <w:szCs w:val="24"/>
              </w:rPr>
              <w:t>“</w:t>
            </w:r>
            <w:r>
              <w:rPr>
                <w:sz w:val="24"/>
                <w:szCs w:val="24"/>
              </w:rPr>
              <w:t>规模等级≥10万吨/年</w:t>
            </w:r>
            <w:r>
              <w:rPr>
                <w:rFonts w:hint="eastAsia"/>
                <w:sz w:val="24"/>
                <w:szCs w:val="24"/>
                <w:lang w:eastAsia="zh-CN"/>
              </w:rPr>
              <w:t>”</w:t>
            </w:r>
            <w:r>
              <w:rPr>
                <w:sz w:val="24"/>
                <w:szCs w:val="24"/>
              </w:rPr>
              <w:t>、</w:t>
            </w:r>
            <w:r>
              <w:rPr>
                <w:color w:val="auto"/>
                <w:sz w:val="24"/>
                <w:szCs w:val="24"/>
              </w:rPr>
              <w:t>工艺为粉碎</w:t>
            </w:r>
            <w:r>
              <w:rPr>
                <w:rFonts w:hint="eastAsia"/>
                <w:color w:val="auto"/>
                <w:sz w:val="24"/>
                <w:szCs w:val="24"/>
                <w:lang w:eastAsia="zh-CN"/>
              </w:rPr>
              <w:t>、</w:t>
            </w:r>
            <w:r>
              <w:rPr>
                <w:color w:val="auto"/>
                <w:sz w:val="24"/>
                <w:szCs w:val="24"/>
              </w:rPr>
              <w:t>混合</w:t>
            </w:r>
            <w:r>
              <w:rPr>
                <w:rFonts w:hint="eastAsia"/>
                <w:color w:val="auto"/>
                <w:sz w:val="24"/>
                <w:szCs w:val="24"/>
                <w:lang w:eastAsia="zh-CN"/>
              </w:rPr>
              <w:t>、</w:t>
            </w:r>
            <w:r>
              <w:rPr>
                <w:color w:val="auto"/>
                <w:sz w:val="24"/>
                <w:szCs w:val="24"/>
              </w:rPr>
              <w:t>制粒</w:t>
            </w:r>
            <w:r>
              <w:rPr>
                <w:rFonts w:hint="eastAsia"/>
                <w:color w:val="auto"/>
                <w:sz w:val="24"/>
                <w:szCs w:val="24"/>
                <w:lang w:eastAsia="zh-CN"/>
              </w:rPr>
              <w:t>等工序</w:t>
            </w:r>
            <w:r>
              <w:rPr>
                <w:color w:val="auto"/>
                <w:sz w:val="24"/>
                <w:szCs w:val="24"/>
              </w:rPr>
              <w:t>的</w:t>
            </w:r>
            <w:r>
              <w:rPr>
                <w:sz w:val="24"/>
                <w:szCs w:val="24"/>
              </w:rPr>
              <w:t>颗粒物产污系数为0.041kg/t-产品。本项目</w:t>
            </w:r>
            <w:r>
              <w:rPr>
                <w:rFonts w:hint="eastAsia"/>
                <w:sz w:val="24"/>
                <w:szCs w:val="24"/>
                <w:lang w:eastAsia="zh-CN"/>
              </w:rPr>
              <w:t>猪饲</w:t>
            </w:r>
            <w:r>
              <w:rPr>
                <w:rFonts w:hint="eastAsia"/>
                <w:color w:val="auto"/>
                <w:sz w:val="24"/>
                <w:szCs w:val="24"/>
                <w:lang w:eastAsia="zh-CN"/>
              </w:rPr>
              <w:t>料</w:t>
            </w:r>
            <w:r>
              <w:rPr>
                <w:color w:val="auto"/>
                <w:sz w:val="24"/>
                <w:szCs w:val="24"/>
              </w:rPr>
              <w:t>年产量为1</w:t>
            </w:r>
            <w:r>
              <w:rPr>
                <w:rFonts w:hint="eastAsia"/>
                <w:color w:val="auto"/>
                <w:sz w:val="24"/>
                <w:szCs w:val="24"/>
                <w:lang w:val="en-US" w:eastAsia="zh-CN"/>
              </w:rPr>
              <w:t>2</w:t>
            </w:r>
            <w:r>
              <w:rPr>
                <w:color w:val="auto"/>
                <w:sz w:val="24"/>
                <w:szCs w:val="24"/>
              </w:rPr>
              <w:t>万吨，则</w:t>
            </w:r>
            <w:r>
              <w:rPr>
                <w:rFonts w:hint="eastAsia"/>
                <w:color w:val="auto"/>
                <w:sz w:val="24"/>
                <w:szCs w:val="24"/>
                <w:lang w:eastAsia="zh-CN"/>
              </w:rPr>
              <w:t>猪饲料</w:t>
            </w:r>
            <w:r>
              <w:rPr>
                <w:color w:val="auto"/>
                <w:sz w:val="24"/>
                <w:szCs w:val="24"/>
              </w:rPr>
              <w:t>生产工艺粉尘产生量为</w:t>
            </w:r>
            <w:r>
              <w:rPr>
                <w:rFonts w:hint="eastAsia"/>
                <w:color w:val="auto"/>
                <w:sz w:val="24"/>
                <w:szCs w:val="24"/>
                <w:lang w:val="en-US" w:eastAsia="zh-CN"/>
              </w:rPr>
              <w:t>4.92</w:t>
            </w:r>
            <w:r>
              <w:rPr>
                <w:color w:val="auto"/>
                <w:sz w:val="24"/>
                <w:szCs w:val="24"/>
              </w:rPr>
              <w:t>t/a。</w:t>
            </w:r>
            <w:r>
              <w:rPr>
                <w:rFonts w:hint="eastAsia" w:cs="宋体"/>
                <w:bCs/>
                <w:color w:val="auto"/>
                <w:sz w:val="24"/>
              </w:rPr>
              <w:t>由于</w:t>
            </w:r>
            <w:r>
              <w:rPr>
                <w:rFonts w:hint="eastAsia" w:cs="宋体"/>
                <w:bCs/>
                <w:color w:val="auto"/>
                <w:sz w:val="24"/>
                <w:lang w:eastAsia="zh-CN"/>
              </w:rPr>
              <w:t>猪饲料</w:t>
            </w:r>
            <w:r>
              <w:rPr>
                <w:rFonts w:hint="eastAsia" w:cs="宋体"/>
                <w:bCs/>
                <w:color w:val="auto"/>
                <w:sz w:val="24"/>
              </w:rPr>
              <w:t>生产过程在密闭的设备内进行，所以</w:t>
            </w:r>
            <w:r>
              <w:rPr>
                <w:rFonts w:hint="eastAsia" w:cs="宋体"/>
                <w:color w:val="auto"/>
                <w:kern w:val="0"/>
                <w:sz w:val="24"/>
                <w:szCs w:val="24"/>
              </w:rPr>
              <w:t>初清筛、粉碎、配料和打包工段的</w:t>
            </w:r>
            <w:r>
              <w:rPr>
                <w:rFonts w:hint="eastAsia" w:cs="宋体"/>
                <w:bCs/>
                <w:color w:val="auto"/>
                <w:sz w:val="24"/>
              </w:rPr>
              <w:t>粉尘收集效率按100%计，除尘器处理效率按99%计</w:t>
            </w:r>
            <w:r>
              <w:rPr>
                <w:rFonts w:hint="eastAsia"/>
                <w:color w:val="auto"/>
                <w:sz w:val="24"/>
                <w:szCs w:val="24"/>
              </w:rPr>
              <w:t>，</w:t>
            </w:r>
            <w:r>
              <w:rPr>
                <w:rFonts w:hint="eastAsia" w:cs="宋体"/>
                <w:bCs/>
                <w:color w:val="auto"/>
                <w:sz w:val="24"/>
              </w:rPr>
              <w:t>则</w:t>
            </w:r>
            <w:r>
              <w:rPr>
                <w:rFonts w:hint="eastAsia" w:cs="宋体"/>
                <w:bCs/>
                <w:color w:val="auto"/>
                <w:sz w:val="24"/>
                <w:lang w:eastAsia="zh-CN"/>
              </w:rPr>
              <w:t>猪饲料</w:t>
            </w:r>
            <w:r>
              <w:rPr>
                <w:rFonts w:hint="eastAsia" w:cs="宋体"/>
                <w:bCs/>
                <w:color w:val="auto"/>
                <w:sz w:val="24"/>
              </w:rPr>
              <w:t>生产工艺粉尘的有组织排放量为0.0</w:t>
            </w:r>
            <w:r>
              <w:rPr>
                <w:rFonts w:hint="eastAsia" w:cs="宋体"/>
                <w:bCs/>
                <w:color w:val="auto"/>
                <w:sz w:val="24"/>
                <w:lang w:val="en-US" w:eastAsia="zh-CN"/>
              </w:rPr>
              <w:t>49</w:t>
            </w:r>
            <w:r>
              <w:rPr>
                <w:rFonts w:hint="eastAsia"/>
                <w:color w:val="auto"/>
                <w:kern w:val="0"/>
                <w:sz w:val="24"/>
              </w:rPr>
              <w:t>t/a</w:t>
            </w:r>
            <w:r>
              <w:rPr>
                <w:rFonts w:hint="eastAsia"/>
                <w:color w:val="auto"/>
                <w:sz w:val="24"/>
                <w:szCs w:val="24"/>
              </w:rPr>
              <w:t>。</w:t>
            </w:r>
          </w:p>
          <w:p>
            <w:pPr>
              <w:spacing w:line="360" w:lineRule="auto"/>
              <w:ind w:firstLine="480" w:firstLineChars="200"/>
              <w:rPr>
                <w:b/>
                <w:bCs/>
                <w:color w:val="auto"/>
                <w:sz w:val="24"/>
                <w:szCs w:val="24"/>
              </w:rPr>
            </w:pPr>
            <w:r>
              <w:rPr>
                <w:rFonts w:hint="eastAsia"/>
                <w:color w:val="auto"/>
                <w:sz w:val="24"/>
                <w:szCs w:val="24"/>
              </w:rPr>
              <w:t>本项目</w:t>
            </w:r>
            <w:r>
              <w:rPr>
                <w:rFonts w:hint="eastAsia"/>
                <w:color w:val="auto"/>
                <w:sz w:val="24"/>
                <w:szCs w:val="24"/>
                <w:lang w:eastAsia="zh-CN"/>
              </w:rPr>
              <w:t>猪饲料</w:t>
            </w:r>
            <w:r>
              <w:rPr>
                <w:rFonts w:hint="eastAsia"/>
                <w:color w:val="auto"/>
                <w:sz w:val="24"/>
                <w:szCs w:val="24"/>
              </w:rPr>
              <w:t>生产过程中产生的投料粉尘和生产工艺粉尘</w:t>
            </w:r>
            <w:r>
              <w:rPr>
                <w:rFonts w:hint="eastAsia" w:cs="宋体"/>
                <w:color w:val="auto"/>
                <w:kern w:val="0"/>
                <w:sz w:val="24"/>
                <w:szCs w:val="24"/>
              </w:rPr>
              <w:t>经投料、初清筛、粉碎、配料和打包工段配置的除尘器进行处理后，通过同一根35m高的DA001排气筒高空排放。</w:t>
            </w:r>
            <w:r>
              <w:rPr>
                <w:rFonts w:hint="eastAsia" w:cs="宋体"/>
                <w:bCs/>
                <w:color w:val="auto"/>
                <w:sz w:val="24"/>
              </w:rPr>
              <w:t>风机总量为25</w:t>
            </w:r>
            <w:r>
              <w:rPr>
                <w:rFonts w:hint="eastAsia"/>
                <w:color w:val="auto"/>
                <w:sz w:val="24"/>
                <w:szCs w:val="24"/>
              </w:rPr>
              <w:t>000m</w:t>
            </w:r>
            <w:r>
              <w:rPr>
                <w:rFonts w:hint="eastAsia"/>
                <w:color w:val="auto"/>
                <w:sz w:val="24"/>
                <w:szCs w:val="24"/>
                <w:vertAlign w:val="superscript"/>
              </w:rPr>
              <w:t>3</w:t>
            </w:r>
            <w:r>
              <w:rPr>
                <w:rFonts w:hint="eastAsia"/>
                <w:color w:val="auto"/>
                <w:sz w:val="24"/>
                <w:szCs w:val="24"/>
              </w:rPr>
              <w:t>/h，</w:t>
            </w:r>
            <w:r>
              <w:rPr>
                <w:rFonts w:hint="eastAsia"/>
                <w:color w:val="auto"/>
                <w:sz w:val="24"/>
                <w:szCs w:val="24"/>
                <w:lang w:eastAsia="zh-CN"/>
              </w:rPr>
              <w:t>生产时间为</w:t>
            </w:r>
            <w:r>
              <w:rPr>
                <w:rFonts w:hint="eastAsia"/>
                <w:color w:val="auto"/>
                <w:sz w:val="24"/>
                <w:szCs w:val="24"/>
                <w:lang w:val="en-US" w:eastAsia="zh-CN"/>
              </w:rPr>
              <w:t>4800h，则</w:t>
            </w:r>
            <w:r>
              <w:rPr>
                <w:rFonts w:hint="eastAsia"/>
                <w:color w:val="auto"/>
                <w:sz w:val="24"/>
                <w:szCs w:val="24"/>
              </w:rPr>
              <w:t>投料粉尘和生产工艺粉尘有组织排放量为</w:t>
            </w:r>
            <w:r>
              <w:rPr>
                <w:rFonts w:hint="eastAsia"/>
                <w:color w:val="auto"/>
                <w:sz w:val="24"/>
                <w:szCs w:val="24"/>
                <w:lang w:val="en-US" w:eastAsia="zh-CN"/>
              </w:rPr>
              <w:t>0.081</w:t>
            </w:r>
            <w:r>
              <w:rPr>
                <w:rFonts w:hint="eastAsia"/>
                <w:color w:val="auto"/>
                <w:kern w:val="0"/>
                <w:sz w:val="24"/>
              </w:rPr>
              <w:t>t/a</w:t>
            </w:r>
            <w:r>
              <w:rPr>
                <w:rFonts w:hint="eastAsia"/>
                <w:color w:val="auto"/>
                <w:sz w:val="24"/>
                <w:szCs w:val="24"/>
              </w:rPr>
              <w:t>，排放速率约为</w:t>
            </w:r>
            <w:r>
              <w:rPr>
                <w:rFonts w:hint="eastAsia"/>
                <w:color w:val="auto"/>
                <w:sz w:val="24"/>
                <w:szCs w:val="24"/>
                <w:lang w:val="en-US" w:eastAsia="zh-CN"/>
              </w:rPr>
              <w:t>0.0169</w:t>
            </w:r>
            <w:r>
              <w:rPr>
                <w:rFonts w:hint="eastAsia"/>
                <w:color w:val="auto"/>
                <w:sz w:val="24"/>
                <w:szCs w:val="24"/>
              </w:rPr>
              <w:t>kg/h，排放浓度约为0.</w:t>
            </w:r>
            <w:r>
              <w:rPr>
                <w:rFonts w:hint="eastAsia"/>
                <w:color w:val="auto"/>
                <w:sz w:val="24"/>
                <w:szCs w:val="24"/>
                <w:lang w:val="en-US" w:eastAsia="zh-CN"/>
              </w:rPr>
              <w:t>68</w:t>
            </w:r>
            <w:r>
              <w:rPr>
                <w:rFonts w:hint="eastAsia"/>
                <w:color w:val="auto"/>
                <w:sz w:val="24"/>
                <w:szCs w:val="24"/>
              </w:rPr>
              <w:t>mg/m</w:t>
            </w:r>
            <w:r>
              <w:rPr>
                <w:rFonts w:hint="eastAsia"/>
                <w:color w:val="auto"/>
                <w:sz w:val="24"/>
                <w:szCs w:val="24"/>
                <w:vertAlign w:val="superscript"/>
              </w:rPr>
              <w:t>3</w:t>
            </w:r>
            <w:r>
              <w:rPr>
                <w:rFonts w:hint="eastAsia"/>
                <w:color w:val="auto"/>
                <w:sz w:val="24"/>
                <w:szCs w:val="24"/>
              </w:rPr>
              <w:t>。</w:t>
            </w:r>
          </w:p>
          <w:p>
            <w:pPr>
              <w:spacing w:line="360" w:lineRule="auto"/>
              <w:ind w:firstLine="482" w:firstLineChars="200"/>
              <w:rPr>
                <w:sz w:val="24"/>
                <w:szCs w:val="24"/>
              </w:rPr>
            </w:pPr>
            <w:r>
              <w:rPr>
                <w:rFonts w:hint="eastAsia"/>
                <w:b/>
                <w:bCs/>
                <w:sz w:val="24"/>
                <w:szCs w:val="24"/>
              </w:rPr>
              <w:t>（</w:t>
            </w:r>
            <w:r>
              <w:rPr>
                <w:rFonts w:hint="eastAsia"/>
                <w:b/>
                <w:bCs/>
                <w:sz w:val="24"/>
                <w:szCs w:val="24"/>
                <w:lang w:val="en-US" w:eastAsia="zh-CN"/>
              </w:rPr>
              <w:t>2</w:t>
            </w:r>
            <w:r>
              <w:rPr>
                <w:rFonts w:hint="eastAsia"/>
                <w:b/>
                <w:bCs/>
                <w:sz w:val="24"/>
                <w:szCs w:val="24"/>
              </w:rPr>
              <w:t>）</w:t>
            </w:r>
            <w:r>
              <w:rPr>
                <w:rFonts w:hint="eastAsia"/>
                <w:b/>
                <w:bCs/>
                <w:sz w:val="24"/>
                <w:szCs w:val="24"/>
                <w:lang w:eastAsia="zh-CN"/>
              </w:rPr>
              <w:t>反刍饲料</w:t>
            </w:r>
            <w:r>
              <w:rPr>
                <w:rFonts w:hint="eastAsia"/>
                <w:b/>
                <w:bCs/>
                <w:sz w:val="24"/>
                <w:szCs w:val="24"/>
              </w:rPr>
              <w:t>生产过程中产生的粉尘</w:t>
            </w:r>
          </w:p>
          <w:p>
            <w:pPr>
              <w:spacing w:line="360" w:lineRule="auto"/>
              <w:ind w:firstLine="480" w:firstLineChars="200"/>
              <w:rPr>
                <w:sz w:val="24"/>
                <w:szCs w:val="24"/>
              </w:rPr>
            </w:pPr>
            <w:r>
              <w:rPr>
                <w:sz w:val="24"/>
                <w:szCs w:val="24"/>
              </w:rPr>
              <w:t>①</w:t>
            </w:r>
            <w:r>
              <w:rPr>
                <w:rFonts w:hint="eastAsia"/>
                <w:sz w:val="24"/>
                <w:szCs w:val="24"/>
              </w:rPr>
              <w:t>投料粉尘</w:t>
            </w:r>
          </w:p>
          <w:p>
            <w:pPr>
              <w:spacing w:line="360" w:lineRule="auto"/>
              <w:ind w:firstLine="480" w:firstLineChars="200"/>
              <w:rPr>
                <w:color w:val="auto"/>
                <w:sz w:val="24"/>
                <w:szCs w:val="24"/>
              </w:rPr>
            </w:pPr>
            <w:r>
              <w:rPr>
                <w:sz w:val="24"/>
                <w:szCs w:val="24"/>
              </w:rPr>
              <w:t>项目生产过程中员工分别将袋装的原料</w:t>
            </w:r>
            <w:r>
              <w:rPr>
                <w:rFonts w:hint="eastAsia"/>
                <w:sz w:val="24"/>
                <w:szCs w:val="24"/>
              </w:rPr>
              <w:t>按不同的比例</w:t>
            </w:r>
            <w:r>
              <w:rPr>
                <w:sz w:val="24"/>
                <w:szCs w:val="24"/>
              </w:rPr>
              <w:t>通过</w:t>
            </w:r>
            <w:r>
              <w:rPr>
                <w:rFonts w:hint="eastAsia"/>
                <w:sz w:val="24"/>
                <w:szCs w:val="24"/>
              </w:rPr>
              <w:t>主车间一层的</w:t>
            </w:r>
            <w:r>
              <w:rPr>
                <w:rFonts w:hint="eastAsia"/>
                <w:sz w:val="24"/>
                <w:szCs w:val="24"/>
                <w:lang w:eastAsia="zh-CN"/>
              </w:rPr>
              <w:t>反刍饲料</w:t>
            </w:r>
            <w:r>
              <w:rPr>
                <w:sz w:val="24"/>
                <w:szCs w:val="24"/>
              </w:rPr>
              <w:t>投料口投入</w:t>
            </w:r>
            <w:r>
              <w:rPr>
                <w:rFonts w:hint="eastAsia"/>
                <w:sz w:val="24"/>
                <w:szCs w:val="24"/>
              </w:rPr>
              <w:t>位于主车间负一层的</w:t>
            </w:r>
            <w:r>
              <w:rPr>
                <w:sz w:val="24"/>
                <w:szCs w:val="24"/>
              </w:rPr>
              <w:t>料仓中。在投料过程中会产生粉尘，依据《逸散性工业粉尘控制技术》的相关排放因子，本项目</w:t>
            </w:r>
            <w:r>
              <w:rPr>
                <w:rFonts w:hint="eastAsia"/>
                <w:sz w:val="24"/>
                <w:szCs w:val="24"/>
                <w:lang w:eastAsia="zh-CN"/>
              </w:rPr>
              <w:t>反刍饲料</w:t>
            </w:r>
            <w:r>
              <w:rPr>
                <w:rFonts w:hint="eastAsia"/>
                <w:sz w:val="24"/>
                <w:szCs w:val="24"/>
              </w:rPr>
              <w:t>粉料、粒料使用量约</w:t>
            </w:r>
            <w:r>
              <w:rPr>
                <w:rFonts w:hint="eastAsia"/>
                <w:color w:val="auto"/>
                <w:sz w:val="24"/>
                <w:szCs w:val="24"/>
              </w:rPr>
              <w:t>为</w:t>
            </w:r>
            <w:r>
              <w:rPr>
                <w:rFonts w:hint="eastAsia"/>
                <w:color w:val="auto"/>
                <w:sz w:val="24"/>
                <w:szCs w:val="24"/>
                <w:lang w:val="en-US" w:eastAsia="zh-CN"/>
              </w:rPr>
              <w:t>5.88</w:t>
            </w:r>
            <w:r>
              <w:rPr>
                <w:rFonts w:hint="eastAsia"/>
                <w:color w:val="auto"/>
                <w:sz w:val="24"/>
                <w:szCs w:val="24"/>
              </w:rPr>
              <w:t>万</w:t>
            </w:r>
            <w:r>
              <w:rPr>
                <w:color w:val="auto"/>
                <w:sz w:val="24"/>
                <w:szCs w:val="24"/>
              </w:rPr>
              <w:t>t/a</w:t>
            </w:r>
            <w:r>
              <w:rPr>
                <w:rFonts w:hint="eastAsia"/>
                <w:color w:val="auto"/>
                <w:sz w:val="24"/>
                <w:szCs w:val="24"/>
              </w:rPr>
              <w:t>，</w:t>
            </w:r>
            <w:r>
              <w:rPr>
                <w:color w:val="auto"/>
                <w:sz w:val="24"/>
                <w:szCs w:val="24"/>
              </w:rPr>
              <w:t>投料粉尘产污系数取0.03kg/t，则</w:t>
            </w:r>
            <w:r>
              <w:rPr>
                <w:rFonts w:hint="eastAsia"/>
                <w:color w:val="auto"/>
                <w:sz w:val="24"/>
                <w:szCs w:val="24"/>
                <w:lang w:eastAsia="zh-CN"/>
              </w:rPr>
              <w:t>反刍饲料</w:t>
            </w:r>
            <w:r>
              <w:rPr>
                <w:rFonts w:hint="eastAsia"/>
                <w:color w:val="auto"/>
                <w:sz w:val="24"/>
                <w:szCs w:val="24"/>
              </w:rPr>
              <w:t>生产中</w:t>
            </w:r>
            <w:r>
              <w:rPr>
                <w:color w:val="auto"/>
                <w:sz w:val="24"/>
                <w:szCs w:val="24"/>
              </w:rPr>
              <w:t>投料工序产生的粉尘量</w:t>
            </w:r>
            <w:r>
              <w:rPr>
                <w:rFonts w:hint="eastAsia"/>
                <w:color w:val="auto"/>
                <w:sz w:val="24"/>
                <w:szCs w:val="24"/>
              </w:rPr>
              <w:t>约</w:t>
            </w:r>
            <w:r>
              <w:rPr>
                <w:color w:val="auto"/>
                <w:sz w:val="24"/>
                <w:szCs w:val="24"/>
              </w:rPr>
              <w:t>为</w:t>
            </w:r>
            <w:r>
              <w:rPr>
                <w:rFonts w:hint="eastAsia"/>
                <w:color w:val="auto"/>
                <w:sz w:val="24"/>
                <w:szCs w:val="24"/>
                <w:lang w:val="en-US" w:eastAsia="zh-CN"/>
              </w:rPr>
              <w:t>1.77</w:t>
            </w:r>
            <w:r>
              <w:rPr>
                <w:color w:val="auto"/>
                <w:sz w:val="24"/>
                <w:szCs w:val="24"/>
              </w:rPr>
              <w:t>t/a。</w:t>
            </w:r>
          </w:p>
          <w:p>
            <w:pPr>
              <w:spacing w:line="360" w:lineRule="auto"/>
              <w:ind w:firstLine="480" w:firstLineChars="200"/>
              <w:rPr>
                <w:b/>
                <w:bCs/>
                <w:color w:val="auto"/>
                <w:sz w:val="24"/>
                <w:szCs w:val="24"/>
              </w:rPr>
            </w:pPr>
            <w:r>
              <w:rPr>
                <w:rFonts w:ascii="宋体" w:hAnsi="宋体" w:cs="宋体"/>
                <w:color w:val="auto"/>
                <w:sz w:val="24"/>
                <w:szCs w:val="24"/>
              </w:rPr>
              <w:t>本环评要求企业在</w:t>
            </w:r>
            <w:r>
              <w:rPr>
                <w:rFonts w:hint="eastAsia" w:ascii="宋体" w:hAnsi="宋体" w:cs="宋体"/>
                <w:color w:val="auto"/>
                <w:sz w:val="24"/>
                <w:szCs w:val="24"/>
                <w:lang w:eastAsia="zh-CN"/>
              </w:rPr>
              <w:t>反刍饲料</w:t>
            </w:r>
            <w:r>
              <w:rPr>
                <w:rFonts w:ascii="宋体" w:hAnsi="宋体" w:cs="宋体"/>
                <w:color w:val="auto"/>
                <w:sz w:val="24"/>
                <w:szCs w:val="24"/>
              </w:rPr>
              <w:t>投料点设置负压收集装置，来收集投料粉尘。投料粉尘经</w:t>
            </w:r>
            <w:r>
              <w:rPr>
                <w:color w:val="auto"/>
                <w:sz w:val="24"/>
                <w:szCs w:val="24"/>
              </w:rPr>
              <w:t>2</w:t>
            </w:r>
            <w:r>
              <w:rPr>
                <w:rFonts w:hint="eastAsia" w:ascii="宋体" w:hAnsi="宋体" w:cs="宋体"/>
                <w:color w:val="auto"/>
                <w:sz w:val="24"/>
                <w:szCs w:val="24"/>
              </w:rPr>
              <w:t>台</w:t>
            </w:r>
            <w:r>
              <w:rPr>
                <w:rFonts w:hint="eastAsia" w:cs="宋体"/>
                <w:color w:val="auto"/>
                <w:kern w:val="0"/>
                <w:sz w:val="24"/>
                <w:szCs w:val="24"/>
              </w:rPr>
              <w:t>脉冲布筒除尘器（TA0010、TA0011）</w:t>
            </w:r>
            <w:r>
              <w:rPr>
                <w:rFonts w:ascii="宋体" w:hAnsi="宋体" w:cs="宋体"/>
                <w:color w:val="auto"/>
                <w:sz w:val="24"/>
                <w:szCs w:val="24"/>
              </w:rPr>
              <w:t>处理后</w:t>
            </w:r>
            <w:r>
              <w:rPr>
                <w:color w:val="auto"/>
                <w:sz w:val="24"/>
                <w:szCs w:val="24"/>
              </w:rPr>
              <w:t>，通过1根3</w:t>
            </w:r>
            <w:r>
              <w:rPr>
                <w:rFonts w:hint="eastAsia"/>
                <w:color w:val="auto"/>
                <w:sz w:val="24"/>
                <w:szCs w:val="24"/>
              </w:rPr>
              <w:t>5</w:t>
            </w:r>
            <w:r>
              <w:rPr>
                <w:color w:val="auto"/>
                <w:sz w:val="24"/>
                <w:szCs w:val="24"/>
              </w:rPr>
              <w:t>m高的DA00</w:t>
            </w:r>
            <w:r>
              <w:rPr>
                <w:rFonts w:hint="eastAsia"/>
                <w:color w:val="auto"/>
                <w:sz w:val="24"/>
                <w:szCs w:val="24"/>
              </w:rPr>
              <w:t>2</w:t>
            </w:r>
            <w:r>
              <w:rPr>
                <w:color w:val="auto"/>
                <w:sz w:val="24"/>
                <w:szCs w:val="24"/>
              </w:rPr>
              <w:t>排</w:t>
            </w:r>
            <w:r>
              <w:rPr>
                <w:rFonts w:ascii="宋体" w:hAnsi="宋体" w:cs="宋体"/>
                <w:color w:val="auto"/>
                <w:sz w:val="24"/>
                <w:szCs w:val="24"/>
              </w:rPr>
              <w:t>气筒高空排放。</w:t>
            </w:r>
            <w:r>
              <w:rPr>
                <w:color w:val="auto"/>
                <w:sz w:val="24"/>
                <w:szCs w:val="24"/>
              </w:rPr>
              <w:t>投料工序在密闭的车间内进行，收集效率按9</w:t>
            </w:r>
            <w:r>
              <w:rPr>
                <w:rFonts w:hint="eastAsia"/>
                <w:color w:val="auto"/>
                <w:sz w:val="24"/>
                <w:szCs w:val="24"/>
              </w:rPr>
              <w:t>0</w:t>
            </w:r>
            <w:r>
              <w:rPr>
                <w:color w:val="auto"/>
                <w:sz w:val="24"/>
                <w:szCs w:val="24"/>
              </w:rPr>
              <w:t>%计，除尘器处理效率按99%计，则投料粉尘的有组织排放量为</w:t>
            </w:r>
            <w:r>
              <w:rPr>
                <w:rFonts w:hint="eastAsia"/>
                <w:color w:val="auto"/>
                <w:sz w:val="24"/>
                <w:szCs w:val="24"/>
                <w:lang w:val="en-US" w:eastAsia="zh-CN"/>
              </w:rPr>
              <w:t>0.016</w:t>
            </w:r>
            <w:r>
              <w:rPr>
                <w:color w:val="auto"/>
                <w:sz w:val="24"/>
                <w:szCs w:val="24"/>
              </w:rPr>
              <w:t>t/a</w:t>
            </w:r>
            <w:r>
              <w:rPr>
                <w:rFonts w:hint="eastAsia"/>
                <w:color w:val="auto"/>
                <w:sz w:val="24"/>
                <w:szCs w:val="24"/>
              </w:rPr>
              <w:t>；无组织排放量为</w:t>
            </w:r>
            <w:r>
              <w:rPr>
                <w:rFonts w:hint="eastAsia"/>
                <w:color w:val="auto"/>
                <w:sz w:val="24"/>
                <w:szCs w:val="24"/>
                <w:lang w:val="en-US" w:eastAsia="zh-CN"/>
              </w:rPr>
              <w:t>0.177</w:t>
            </w:r>
            <w:r>
              <w:rPr>
                <w:color w:val="auto"/>
                <w:sz w:val="24"/>
                <w:szCs w:val="24"/>
              </w:rPr>
              <w:t>t/a</w:t>
            </w:r>
            <w:r>
              <w:rPr>
                <w:rFonts w:hint="eastAsia"/>
                <w:color w:val="auto"/>
                <w:sz w:val="24"/>
                <w:szCs w:val="24"/>
                <w:lang w:eastAsia="zh-CN"/>
              </w:rPr>
              <w:t>。</w:t>
            </w:r>
          </w:p>
          <w:p>
            <w:pPr>
              <w:spacing w:line="360" w:lineRule="auto"/>
              <w:ind w:firstLine="480" w:firstLineChars="200"/>
              <w:rPr>
                <w:color w:val="auto"/>
                <w:sz w:val="24"/>
                <w:szCs w:val="24"/>
              </w:rPr>
            </w:pPr>
            <w:r>
              <w:rPr>
                <w:color w:val="auto"/>
                <w:sz w:val="24"/>
                <w:szCs w:val="24"/>
              </w:rPr>
              <w:t>②</w:t>
            </w:r>
            <w:r>
              <w:rPr>
                <w:rFonts w:hint="eastAsia"/>
                <w:color w:val="auto"/>
                <w:sz w:val="24"/>
                <w:szCs w:val="24"/>
              </w:rPr>
              <w:t>生产工艺粉尘</w:t>
            </w:r>
          </w:p>
          <w:p>
            <w:pPr>
              <w:spacing w:line="360" w:lineRule="auto"/>
              <w:ind w:firstLine="480" w:firstLineChars="200"/>
              <w:rPr>
                <w:sz w:val="24"/>
                <w:szCs w:val="24"/>
              </w:rPr>
            </w:pPr>
            <w:r>
              <w:rPr>
                <w:rFonts w:hint="eastAsia"/>
                <w:color w:val="auto"/>
                <w:sz w:val="24"/>
                <w:szCs w:val="24"/>
              </w:rPr>
              <w:t>项目生产过程中</w:t>
            </w:r>
            <w:r>
              <w:rPr>
                <w:rFonts w:hint="eastAsia"/>
                <w:sz w:val="24"/>
                <w:szCs w:val="24"/>
              </w:rPr>
              <w:t>在初清筛、粉碎、配料及产品打包处设置了</w:t>
            </w:r>
            <w:r>
              <w:rPr>
                <w:rFonts w:hint="eastAsia" w:cs="宋体"/>
                <w:kern w:val="0"/>
                <w:sz w:val="24"/>
                <w:szCs w:val="24"/>
              </w:rPr>
              <w:t>脉冲布筒除尘器或</w:t>
            </w:r>
            <w:r>
              <w:rPr>
                <w:rFonts w:ascii="宋体" w:hAnsi="宋体" w:cs="宋体"/>
                <w:sz w:val="24"/>
                <w:szCs w:val="24"/>
              </w:rPr>
              <w:t>单筒无动力除尘器</w:t>
            </w:r>
            <w:r>
              <w:rPr>
                <w:rFonts w:hint="eastAsia" w:ascii="宋体" w:hAnsi="宋体" w:cs="宋体"/>
                <w:sz w:val="24"/>
                <w:szCs w:val="24"/>
              </w:rPr>
              <w:t>。初清筛粉尘经</w:t>
            </w:r>
            <w:r>
              <w:rPr>
                <w:sz w:val="24"/>
                <w:szCs w:val="24"/>
              </w:rPr>
              <w:t>1</w:t>
            </w:r>
            <w:r>
              <w:rPr>
                <w:rFonts w:hint="eastAsia" w:ascii="宋体" w:hAnsi="宋体" w:cs="宋体"/>
                <w:sz w:val="24"/>
                <w:szCs w:val="24"/>
              </w:rPr>
              <w:t>台</w:t>
            </w:r>
            <w:r>
              <w:rPr>
                <w:rFonts w:hint="eastAsia" w:cs="宋体"/>
                <w:kern w:val="0"/>
                <w:sz w:val="24"/>
                <w:szCs w:val="24"/>
              </w:rPr>
              <w:t>脉冲布筒除尘器（TA0012）进行处理；粉碎粉尘经1</w:t>
            </w:r>
            <w:r>
              <w:rPr>
                <w:rFonts w:hint="eastAsia" w:ascii="宋体" w:hAnsi="宋体" w:cs="宋体"/>
                <w:sz w:val="24"/>
                <w:szCs w:val="24"/>
              </w:rPr>
              <w:t>台</w:t>
            </w:r>
            <w:r>
              <w:rPr>
                <w:rFonts w:hint="eastAsia" w:cs="宋体"/>
                <w:kern w:val="0"/>
                <w:sz w:val="24"/>
                <w:szCs w:val="24"/>
              </w:rPr>
              <w:t>脉冲布筒除尘器（TA0013）进行处理；配料粉尘经3</w:t>
            </w:r>
            <w:r>
              <w:rPr>
                <w:rFonts w:hint="eastAsia" w:ascii="宋体" w:hAnsi="宋体" w:cs="宋体"/>
                <w:sz w:val="24"/>
                <w:szCs w:val="24"/>
              </w:rPr>
              <w:t>台单筒无动力除尘器</w:t>
            </w:r>
            <w:r>
              <w:rPr>
                <w:rFonts w:hint="eastAsia" w:cs="宋体"/>
                <w:kern w:val="0"/>
                <w:sz w:val="24"/>
                <w:szCs w:val="24"/>
              </w:rPr>
              <w:t>（TA0014、TA0015、TA0016）进行处理；打包粉尘经</w:t>
            </w:r>
            <w:r>
              <w:rPr>
                <w:sz w:val="24"/>
                <w:szCs w:val="24"/>
              </w:rPr>
              <w:t>1</w:t>
            </w:r>
            <w:r>
              <w:rPr>
                <w:rFonts w:hint="eastAsia" w:ascii="宋体" w:hAnsi="宋体" w:cs="宋体"/>
                <w:sz w:val="24"/>
                <w:szCs w:val="24"/>
              </w:rPr>
              <w:t>台</w:t>
            </w:r>
            <w:r>
              <w:rPr>
                <w:rFonts w:hint="eastAsia" w:cs="宋体"/>
                <w:kern w:val="0"/>
                <w:sz w:val="24"/>
                <w:szCs w:val="24"/>
              </w:rPr>
              <w:t>脉冲布筒除尘器（TA0017）进行处理。</w:t>
            </w:r>
            <w:r>
              <w:rPr>
                <w:rFonts w:hint="eastAsia" w:cs="宋体"/>
                <w:color w:val="auto"/>
                <w:kern w:val="0"/>
                <w:sz w:val="24"/>
                <w:szCs w:val="24"/>
              </w:rPr>
              <w:t>初清筛、粉碎、配料和打包工段产</w:t>
            </w:r>
            <w:r>
              <w:rPr>
                <w:rFonts w:hint="eastAsia" w:cs="宋体"/>
                <w:kern w:val="0"/>
                <w:sz w:val="24"/>
                <w:szCs w:val="24"/>
              </w:rPr>
              <w:t>生的粉尘经各工段配置的除尘器进行处理后，通过同一根35m高的DA002排气筒高空排放。</w:t>
            </w:r>
          </w:p>
          <w:p>
            <w:pPr>
              <w:spacing w:line="360" w:lineRule="auto"/>
              <w:ind w:firstLine="480" w:firstLineChars="200"/>
              <w:rPr>
                <w:color w:val="auto"/>
                <w:sz w:val="24"/>
                <w:szCs w:val="24"/>
              </w:rPr>
            </w:pPr>
            <w:r>
              <w:rPr>
                <w:sz w:val="24"/>
                <w:szCs w:val="24"/>
              </w:rPr>
              <w:t>根据《排放源统计调查产排污核算方法和系数手册》（环境部公告2021年第24号）中的《132饲料加工行业系数手册》可知，配合饲料中</w:t>
            </w:r>
            <w:r>
              <w:rPr>
                <w:rFonts w:hint="eastAsia" w:ascii="宋体" w:hAnsi="宋体" w:cs="宋体"/>
                <w:sz w:val="24"/>
                <w:szCs w:val="24"/>
              </w:rPr>
              <w:t>“</w:t>
            </w:r>
            <w:r>
              <w:rPr>
                <w:sz w:val="24"/>
                <w:szCs w:val="24"/>
              </w:rPr>
              <w:t>规模等级</w:t>
            </w:r>
            <w:r>
              <w:rPr>
                <w:rFonts w:hint="eastAsia"/>
                <w:sz w:val="24"/>
                <w:szCs w:val="24"/>
                <w:lang w:eastAsia="zh-CN"/>
              </w:rPr>
              <w:t>＜</w:t>
            </w:r>
            <w:r>
              <w:rPr>
                <w:sz w:val="24"/>
                <w:szCs w:val="24"/>
              </w:rPr>
              <w:t>10万吨/年</w:t>
            </w:r>
            <w:r>
              <w:rPr>
                <w:rFonts w:hint="eastAsia"/>
                <w:sz w:val="24"/>
                <w:szCs w:val="24"/>
                <w:lang w:eastAsia="zh-CN"/>
              </w:rPr>
              <w:t>”</w:t>
            </w:r>
            <w:r>
              <w:rPr>
                <w:color w:val="auto"/>
                <w:sz w:val="24"/>
                <w:szCs w:val="24"/>
              </w:rPr>
              <w:t>、工艺为粉碎</w:t>
            </w:r>
            <w:r>
              <w:rPr>
                <w:rFonts w:hint="eastAsia"/>
                <w:color w:val="auto"/>
                <w:sz w:val="24"/>
                <w:szCs w:val="24"/>
                <w:lang w:eastAsia="zh-CN"/>
              </w:rPr>
              <w:t>、</w:t>
            </w:r>
            <w:r>
              <w:rPr>
                <w:color w:val="auto"/>
                <w:sz w:val="24"/>
                <w:szCs w:val="24"/>
              </w:rPr>
              <w:t>混合</w:t>
            </w:r>
            <w:r>
              <w:rPr>
                <w:rFonts w:hint="eastAsia"/>
                <w:color w:val="auto"/>
                <w:sz w:val="24"/>
                <w:szCs w:val="24"/>
                <w:lang w:eastAsia="zh-CN"/>
              </w:rPr>
              <w:t>、</w:t>
            </w:r>
            <w:r>
              <w:rPr>
                <w:color w:val="auto"/>
                <w:sz w:val="24"/>
                <w:szCs w:val="24"/>
              </w:rPr>
              <w:t>制粒</w:t>
            </w:r>
            <w:r>
              <w:rPr>
                <w:rFonts w:hint="eastAsia"/>
                <w:color w:val="auto"/>
                <w:sz w:val="24"/>
                <w:szCs w:val="24"/>
                <w:lang w:eastAsia="zh-CN"/>
              </w:rPr>
              <w:t>等工序</w:t>
            </w:r>
            <w:r>
              <w:rPr>
                <w:color w:val="auto"/>
                <w:sz w:val="24"/>
                <w:szCs w:val="24"/>
              </w:rPr>
              <w:t>的颗粒物产污系数为0.04</w:t>
            </w:r>
            <w:r>
              <w:rPr>
                <w:rFonts w:hint="eastAsia"/>
                <w:color w:val="auto"/>
                <w:sz w:val="24"/>
                <w:szCs w:val="24"/>
              </w:rPr>
              <w:t>3</w:t>
            </w:r>
            <w:r>
              <w:rPr>
                <w:color w:val="auto"/>
                <w:sz w:val="24"/>
                <w:szCs w:val="24"/>
              </w:rPr>
              <w:t>kg/t-产品。本项目</w:t>
            </w:r>
            <w:r>
              <w:rPr>
                <w:rFonts w:hint="eastAsia"/>
                <w:color w:val="auto"/>
                <w:sz w:val="24"/>
                <w:szCs w:val="24"/>
                <w:lang w:eastAsia="zh-CN"/>
              </w:rPr>
              <w:t>反刍饲料</w:t>
            </w:r>
            <w:r>
              <w:rPr>
                <w:color w:val="auto"/>
                <w:sz w:val="24"/>
                <w:szCs w:val="24"/>
              </w:rPr>
              <w:t>年产量为</w:t>
            </w:r>
            <w:r>
              <w:rPr>
                <w:rFonts w:hint="eastAsia"/>
                <w:color w:val="auto"/>
                <w:sz w:val="24"/>
                <w:szCs w:val="24"/>
                <w:lang w:val="en-US" w:eastAsia="zh-CN"/>
              </w:rPr>
              <w:t>6</w:t>
            </w:r>
            <w:r>
              <w:rPr>
                <w:color w:val="auto"/>
                <w:sz w:val="24"/>
                <w:szCs w:val="24"/>
              </w:rPr>
              <w:t>万吨，则</w:t>
            </w:r>
            <w:r>
              <w:rPr>
                <w:rFonts w:hint="eastAsia"/>
                <w:color w:val="auto"/>
                <w:sz w:val="24"/>
                <w:szCs w:val="24"/>
                <w:lang w:eastAsia="zh-CN"/>
              </w:rPr>
              <w:t>反刍饲料</w:t>
            </w:r>
            <w:r>
              <w:rPr>
                <w:color w:val="auto"/>
                <w:sz w:val="24"/>
                <w:szCs w:val="24"/>
              </w:rPr>
              <w:t>生产工艺粉尘产生量为</w:t>
            </w:r>
            <w:r>
              <w:rPr>
                <w:rFonts w:hint="eastAsia"/>
                <w:color w:val="auto"/>
                <w:sz w:val="24"/>
                <w:szCs w:val="24"/>
                <w:lang w:val="en-US" w:eastAsia="zh-CN"/>
              </w:rPr>
              <w:t>2.58</w:t>
            </w:r>
            <w:r>
              <w:rPr>
                <w:color w:val="auto"/>
                <w:sz w:val="24"/>
                <w:szCs w:val="24"/>
              </w:rPr>
              <w:t>t/a。</w:t>
            </w:r>
            <w:r>
              <w:rPr>
                <w:rFonts w:hint="eastAsia" w:cs="宋体"/>
                <w:bCs/>
                <w:color w:val="auto"/>
                <w:sz w:val="24"/>
              </w:rPr>
              <w:t>由于</w:t>
            </w:r>
            <w:r>
              <w:rPr>
                <w:rFonts w:hint="eastAsia" w:cs="宋体"/>
                <w:bCs/>
                <w:color w:val="auto"/>
                <w:sz w:val="24"/>
                <w:lang w:eastAsia="zh-CN"/>
              </w:rPr>
              <w:t>猪饲料</w:t>
            </w:r>
            <w:r>
              <w:rPr>
                <w:rFonts w:hint="eastAsia" w:cs="宋体"/>
                <w:bCs/>
                <w:color w:val="auto"/>
                <w:sz w:val="24"/>
              </w:rPr>
              <w:t>生产过程在密闭的设备内进行，所以</w:t>
            </w:r>
            <w:r>
              <w:rPr>
                <w:rFonts w:hint="eastAsia" w:cs="宋体"/>
                <w:color w:val="auto"/>
                <w:kern w:val="0"/>
                <w:sz w:val="24"/>
                <w:szCs w:val="24"/>
              </w:rPr>
              <w:t>初清筛、粉碎、配料和打包工段的</w:t>
            </w:r>
            <w:r>
              <w:rPr>
                <w:rFonts w:hint="eastAsia" w:cs="宋体"/>
                <w:bCs/>
                <w:color w:val="auto"/>
                <w:sz w:val="24"/>
              </w:rPr>
              <w:t>粉尘收集效率按100%计，除尘器处理效率按99%计，则</w:t>
            </w:r>
            <w:r>
              <w:rPr>
                <w:rFonts w:hint="eastAsia" w:cs="宋体"/>
                <w:bCs/>
                <w:color w:val="auto"/>
                <w:sz w:val="24"/>
                <w:lang w:eastAsia="zh-CN"/>
              </w:rPr>
              <w:t>猪饲料</w:t>
            </w:r>
            <w:r>
              <w:rPr>
                <w:rFonts w:hint="eastAsia" w:cs="宋体"/>
                <w:bCs/>
                <w:color w:val="auto"/>
                <w:sz w:val="24"/>
              </w:rPr>
              <w:t>生产工艺粉尘的有组织排放量为</w:t>
            </w:r>
            <w:r>
              <w:rPr>
                <w:rFonts w:hint="eastAsia" w:cs="宋体"/>
                <w:bCs/>
                <w:color w:val="auto"/>
                <w:sz w:val="24"/>
                <w:lang w:val="en-US" w:eastAsia="zh-CN"/>
              </w:rPr>
              <w:t>0.026</w:t>
            </w:r>
            <w:r>
              <w:rPr>
                <w:rFonts w:hint="eastAsia"/>
                <w:color w:val="auto"/>
                <w:kern w:val="0"/>
                <w:sz w:val="24"/>
              </w:rPr>
              <w:t>t/a</w:t>
            </w:r>
            <w:r>
              <w:rPr>
                <w:rFonts w:hint="eastAsia"/>
                <w:color w:val="auto"/>
                <w:sz w:val="24"/>
                <w:szCs w:val="24"/>
              </w:rPr>
              <w:t>。</w:t>
            </w:r>
          </w:p>
          <w:p>
            <w:pPr>
              <w:spacing w:line="360" w:lineRule="auto"/>
              <w:ind w:firstLine="480" w:firstLineChars="200"/>
              <w:rPr>
                <w:b/>
                <w:bCs/>
                <w:color w:val="auto"/>
                <w:sz w:val="24"/>
                <w:szCs w:val="24"/>
              </w:rPr>
            </w:pPr>
            <w:r>
              <w:rPr>
                <w:rFonts w:hint="eastAsia"/>
                <w:color w:val="auto"/>
                <w:sz w:val="24"/>
                <w:szCs w:val="24"/>
              </w:rPr>
              <w:t>本项目</w:t>
            </w:r>
            <w:r>
              <w:rPr>
                <w:rFonts w:hint="eastAsia"/>
                <w:color w:val="auto"/>
                <w:sz w:val="24"/>
                <w:szCs w:val="24"/>
                <w:lang w:eastAsia="zh-CN"/>
              </w:rPr>
              <w:t>反刍饲料</w:t>
            </w:r>
            <w:r>
              <w:rPr>
                <w:rFonts w:hint="eastAsia"/>
                <w:color w:val="auto"/>
                <w:sz w:val="24"/>
                <w:szCs w:val="24"/>
              </w:rPr>
              <w:t>生产过程中产生的投料粉尘和生产工艺粉尘</w:t>
            </w:r>
            <w:r>
              <w:rPr>
                <w:rFonts w:hint="eastAsia" w:cs="宋体"/>
                <w:color w:val="auto"/>
                <w:kern w:val="0"/>
                <w:sz w:val="24"/>
                <w:szCs w:val="24"/>
              </w:rPr>
              <w:t>经投料、初清筛、粉碎、配料和打包工段配置的除尘器进行处理后，通过同一根35m高的DA002排气筒高空排放。</w:t>
            </w:r>
            <w:r>
              <w:rPr>
                <w:rFonts w:hint="eastAsia" w:cs="宋体"/>
                <w:bCs/>
                <w:color w:val="auto"/>
                <w:sz w:val="24"/>
              </w:rPr>
              <w:t>风机总量为25</w:t>
            </w:r>
            <w:r>
              <w:rPr>
                <w:rFonts w:hint="eastAsia"/>
                <w:color w:val="auto"/>
                <w:sz w:val="24"/>
                <w:szCs w:val="24"/>
              </w:rPr>
              <w:t>000m</w:t>
            </w:r>
            <w:r>
              <w:rPr>
                <w:rFonts w:hint="eastAsia"/>
                <w:color w:val="auto"/>
                <w:sz w:val="24"/>
                <w:szCs w:val="24"/>
                <w:vertAlign w:val="superscript"/>
              </w:rPr>
              <w:t>3</w:t>
            </w:r>
            <w:r>
              <w:rPr>
                <w:rFonts w:hint="eastAsia"/>
                <w:color w:val="auto"/>
                <w:sz w:val="24"/>
                <w:szCs w:val="24"/>
              </w:rPr>
              <w:t>/h，</w:t>
            </w:r>
            <w:r>
              <w:rPr>
                <w:rFonts w:hint="eastAsia"/>
                <w:color w:val="auto"/>
                <w:sz w:val="24"/>
                <w:szCs w:val="24"/>
                <w:lang w:eastAsia="zh-CN"/>
              </w:rPr>
              <w:t>生产时间为</w:t>
            </w:r>
            <w:r>
              <w:rPr>
                <w:rFonts w:hint="eastAsia"/>
                <w:color w:val="auto"/>
                <w:sz w:val="24"/>
                <w:szCs w:val="24"/>
                <w:lang w:val="en-US" w:eastAsia="zh-CN"/>
              </w:rPr>
              <w:t>3000h，则</w:t>
            </w:r>
            <w:r>
              <w:rPr>
                <w:rFonts w:hint="eastAsia"/>
                <w:color w:val="auto"/>
                <w:sz w:val="24"/>
                <w:szCs w:val="24"/>
              </w:rPr>
              <w:t>投料粉尘和生产工艺粉尘有组织排放量为0.0</w:t>
            </w:r>
            <w:r>
              <w:rPr>
                <w:rFonts w:hint="eastAsia"/>
                <w:color w:val="auto"/>
                <w:sz w:val="24"/>
                <w:szCs w:val="24"/>
                <w:lang w:val="en-US" w:eastAsia="zh-CN"/>
              </w:rPr>
              <w:t>42</w:t>
            </w:r>
            <w:r>
              <w:rPr>
                <w:rFonts w:hint="eastAsia"/>
                <w:color w:val="auto"/>
                <w:kern w:val="0"/>
                <w:sz w:val="24"/>
              </w:rPr>
              <w:t>t/a</w:t>
            </w:r>
            <w:r>
              <w:rPr>
                <w:rFonts w:hint="eastAsia"/>
                <w:color w:val="auto"/>
                <w:sz w:val="24"/>
                <w:szCs w:val="24"/>
              </w:rPr>
              <w:t>，排放速率约为0.0</w:t>
            </w:r>
            <w:r>
              <w:rPr>
                <w:rFonts w:hint="eastAsia"/>
                <w:color w:val="auto"/>
                <w:sz w:val="24"/>
                <w:szCs w:val="24"/>
                <w:lang w:val="en-US" w:eastAsia="zh-CN"/>
              </w:rPr>
              <w:t>140</w:t>
            </w:r>
            <w:r>
              <w:rPr>
                <w:rFonts w:hint="eastAsia"/>
                <w:color w:val="auto"/>
                <w:sz w:val="24"/>
                <w:szCs w:val="24"/>
              </w:rPr>
              <w:t>kg/h，排放浓度约为0.</w:t>
            </w:r>
            <w:r>
              <w:rPr>
                <w:rFonts w:hint="eastAsia"/>
                <w:color w:val="auto"/>
                <w:sz w:val="24"/>
                <w:szCs w:val="24"/>
                <w:lang w:val="en-US" w:eastAsia="zh-CN"/>
              </w:rPr>
              <w:t>56</w:t>
            </w:r>
            <w:r>
              <w:rPr>
                <w:rFonts w:hint="eastAsia"/>
                <w:color w:val="auto"/>
                <w:sz w:val="24"/>
                <w:szCs w:val="24"/>
              </w:rPr>
              <w:t>mg/m</w:t>
            </w:r>
            <w:r>
              <w:rPr>
                <w:rFonts w:hint="eastAsia"/>
                <w:color w:val="auto"/>
                <w:sz w:val="24"/>
                <w:szCs w:val="24"/>
                <w:vertAlign w:val="superscript"/>
              </w:rPr>
              <w:t>3</w:t>
            </w:r>
            <w:r>
              <w:rPr>
                <w:rFonts w:hint="eastAsia"/>
                <w:color w:val="auto"/>
                <w:sz w:val="24"/>
                <w:szCs w:val="24"/>
              </w:rPr>
              <w:t>。</w:t>
            </w:r>
          </w:p>
          <w:p>
            <w:pPr>
              <w:spacing w:line="360" w:lineRule="auto"/>
              <w:ind w:firstLine="482" w:firstLineChars="200"/>
              <w:rPr>
                <w:b/>
                <w:bCs/>
                <w:sz w:val="24"/>
                <w:szCs w:val="24"/>
              </w:rPr>
            </w:pPr>
            <w:r>
              <w:rPr>
                <w:b/>
                <w:bCs/>
                <w:sz w:val="24"/>
                <w:szCs w:val="24"/>
              </w:rPr>
              <w:t>（</w:t>
            </w:r>
            <w:r>
              <w:rPr>
                <w:rFonts w:hint="eastAsia"/>
                <w:b/>
                <w:bCs/>
                <w:sz w:val="24"/>
                <w:szCs w:val="24"/>
                <w:lang w:val="en-US" w:eastAsia="zh-CN"/>
              </w:rPr>
              <w:t>3</w:t>
            </w:r>
            <w:r>
              <w:rPr>
                <w:b/>
                <w:bCs/>
                <w:sz w:val="24"/>
                <w:szCs w:val="24"/>
              </w:rPr>
              <w:t>）</w:t>
            </w:r>
            <w:r>
              <w:rPr>
                <w:rFonts w:hint="eastAsia"/>
                <w:b/>
                <w:bCs/>
                <w:sz w:val="24"/>
                <w:szCs w:val="24"/>
              </w:rPr>
              <w:t>锅炉烟气</w:t>
            </w:r>
          </w:p>
          <w:p>
            <w:pPr>
              <w:spacing w:line="360" w:lineRule="auto"/>
              <w:ind w:firstLine="480" w:firstLineChars="200"/>
              <w:rPr>
                <w:sz w:val="24"/>
                <w:szCs w:val="24"/>
              </w:rPr>
            </w:pPr>
            <w:r>
              <w:rPr>
                <w:sz w:val="24"/>
                <w:szCs w:val="24"/>
              </w:rPr>
              <w:t>本项目设置了1台2t/h的蒸汽锅炉，采用管道天然气作为能源。项目营运期蒸汽锅炉的每日使用时间约为7h，年运行天数为300天，则本项目天然气的使用量约为33.6万Nm</w:t>
            </w:r>
            <w:r>
              <w:rPr>
                <w:sz w:val="24"/>
                <w:szCs w:val="24"/>
                <w:vertAlign w:val="superscript"/>
              </w:rPr>
              <w:t>3</w:t>
            </w:r>
            <w:r>
              <w:rPr>
                <w:sz w:val="24"/>
                <w:szCs w:val="24"/>
              </w:rPr>
              <w:t>/a。天然气燃烧废气含有烟（粉）尘、二氧化硫及氮氧化物。二氧化硫和氮氧化物排放系数依据《排放源统计调查产排污核算方法和系数手册》中《4330工业锅炉(热力生产和供应行业)产污系数表燃气工业锅炉》，烟（粉）尘参照《环境影响评价工程师职业资格登记培训系列教材社会区域》中每1000m</w:t>
            </w:r>
            <w:r>
              <w:rPr>
                <w:rFonts w:hint="eastAsia"/>
                <w:sz w:val="24"/>
                <w:szCs w:val="24"/>
                <w:vertAlign w:val="superscript"/>
              </w:rPr>
              <w:t>3</w:t>
            </w:r>
            <w:r>
              <w:rPr>
                <w:sz w:val="24"/>
                <w:szCs w:val="24"/>
              </w:rPr>
              <w:t>天然气燃烧烟尘的产生量为0.14kg，产排污系数见下表。</w:t>
            </w:r>
          </w:p>
          <w:p>
            <w:pPr>
              <w:pStyle w:val="2"/>
              <w:spacing w:line="360" w:lineRule="auto"/>
              <w:ind w:left="0" w:leftChars="0"/>
              <w:jc w:val="center"/>
              <w:rPr>
                <w:rFonts w:cs="宋体"/>
                <w:b/>
                <w:bCs/>
              </w:rPr>
            </w:pPr>
            <w:r>
              <w:rPr>
                <w:rFonts w:hint="eastAsia" w:cs="宋体"/>
                <w:b/>
                <w:bCs/>
              </w:rPr>
              <w:t>表4-2</w:t>
            </w:r>
            <w:r>
              <w:rPr>
                <w:rFonts w:hint="eastAsia"/>
                <w:b/>
              </w:rPr>
              <w:t>天然气燃烧废气的产排污系数</w:t>
            </w:r>
          </w:p>
          <w:tbl>
            <w:tblPr>
              <w:tblStyle w:val="23"/>
              <w:tblW w:w="4994"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09"/>
              <w:gridCol w:w="1903"/>
              <w:gridCol w:w="1798"/>
              <w:gridCol w:w="1328"/>
              <w:gridCol w:w="16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4" w:hRule="atLeast"/>
              </w:trPr>
              <w:tc>
                <w:tcPr>
                  <w:tcW w:w="924" w:type="pct"/>
                  <w:vAlign w:val="center"/>
                </w:tcPr>
                <w:p>
                  <w:pPr>
                    <w:adjustRightInd w:val="0"/>
                    <w:snapToGrid w:val="0"/>
                    <w:jc w:val="center"/>
                    <w:rPr>
                      <w:rFonts w:eastAsiaTheme="minorEastAsia"/>
                      <w:kern w:val="0"/>
                    </w:rPr>
                  </w:pPr>
                  <w:r>
                    <w:rPr>
                      <w:rFonts w:hint="eastAsia" w:eastAsiaTheme="minorEastAsia"/>
                      <w:kern w:val="0"/>
                    </w:rPr>
                    <w:t>污染物指标</w:t>
                  </w:r>
                </w:p>
              </w:tc>
              <w:tc>
                <w:tcPr>
                  <w:tcW w:w="1165" w:type="pct"/>
                  <w:vAlign w:val="center"/>
                </w:tcPr>
                <w:p>
                  <w:pPr>
                    <w:adjustRightInd w:val="0"/>
                    <w:snapToGrid w:val="0"/>
                    <w:jc w:val="center"/>
                    <w:rPr>
                      <w:rFonts w:eastAsiaTheme="minorEastAsia"/>
                      <w:kern w:val="0"/>
                    </w:rPr>
                  </w:pPr>
                  <w:r>
                    <w:rPr>
                      <w:rFonts w:hint="eastAsia" w:eastAsiaTheme="minorEastAsia"/>
                      <w:kern w:val="0"/>
                    </w:rPr>
                    <w:t>单位</w:t>
                  </w:r>
                </w:p>
              </w:tc>
              <w:tc>
                <w:tcPr>
                  <w:tcW w:w="1101" w:type="pct"/>
                  <w:vAlign w:val="center"/>
                </w:tcPr>
                <w:p>
                  <w:pPr>
                    <w:adjustRightInd w:val="0"/>
                    <w:snapToGrid w:val="0"/>
                    <w:jc w:val="center"/>
                    <w:rPr>
                      <w:rFonts w:eastAsiaTheme="minorEastAsia"/>
                      <w:kern w:val="0"/>
                    </w:rPr>
                  </w:pPr>
                  <w:r>
                    <w:rPr>
                      <w:rFonts w:hint="eastAsia" w:eastAsiaTheme="minorEastAsia"/>
                      <w:kern w:val="0"/>
                    </w:rPr>
                    <w:t>产污系数</w:t>
                  </w:r>
                </w:p>
              </w:tc>
              <w:tc>
                <w:tcPr>
                  <w:tcW w:w="813" w:type="pct"/>
                  <w:vAlign w:val="center"/>
                </w:tcPr>
                <w:p>
                  <w:pPr>
                    <w:pStyle w:val="2"/>
                    <w:ind w:left="0" w:leftChars="0"/>
                    <w:jc w:val="center"/>
                    <w:rPr>
                      <w:sz w:val="21"/>
                      <w:szCs w:val="21"/>
                    </w:rPr>
                  </w:pPr>
                  <w:r>
                    <w:rPr>
                      <w:rFonts w:hint="eastAsia"/>
                      <w:sz w:val="21"/>
                      <w:szCs w:val="21"/>
                    </w:rPr>
                    <w:t>末端治理技术名称</w:t>
                  </w:r>
                </w:p>
              </w:tc>
              <w:tc>
                <w:tcPr>
                  <w:tcW w:w="995" w:type="pct"/>
                  <w:vAlign w:val="center"/>
                </w:tcPr>
                <w:p>
                  <w:pPr>
                    <w:pStyle w:val="2"/>
                    <w:ind w:left="0" w:leftChars="0"/>
                    <w:jc w:val="center"/>
                    <w:rPr>
                      <w:sz w:val="21"/>
                      <w:szCs w:val="21"/>
                    </w:rPr>
                  </w:pPr>
                  <w:r>
                    <w:rPr>
                      <w:rFonts w:hint="eastAsia"/>
                      <w:sz w:val="21"/>
                      <w:szCs w:val="21"/>
                    </w:rPr>
                    <w:t>排污系数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4" w:hRule="atLeast"/>
              </w:trPr>
              <w:tc>
                <w:tcPr>
                  <w:tcW w:w="924" w:type="pct"/>
                  <w:vAlign w:val="center"/>
                </w:tcPr>
                <w:p>
                  <w:pPr>
                    <w:adjustRightInd w:val="0"/>
                    <w:snapToGrid w:val="0"/>
                    <w:jc w:val="center"/>
                    <w:rPr>
                      <w:rFonts w:eastAsiaTheme="minorEastAsia"/>
                      <w:kern w:val="0"/>
                    </w:rPr>
                  </w:pPr>
                  <w:r>
                    <w:rPr>
                      <w:rFonts w:hint="eastAsia" w:eastAsiaTheme="minorEastAsia"/>
                      <w:kern w:val="0"/>
                    </w:rPr>
                    <w:t>烟（粉）尘</w:t>
                  </w:r>
                </w:p>
              </w:tc>
              <w:tc>
                <w:tcPr>
                  <w:tcW w:w="1165" w:type="pct"/>
                  <w:vAlign w:val="center"/>
                </w:tcPr>
                <w:p>
                  <w:pPr>
                    <w:adjustRightInd w:val="0"/>
                    <w:snapToGrid w:val="0"/>
                    <w:jc w:val="center"/>
                    <w:rPr>
                      <w:rFonts w:eastAsiaTheme="minorEastAsia"/>
                      <w:kern w:val="0"/>
                    </w:rPr>
                  </w:pPr>
                  <w:r>
                    <w:rPr>
                      <w:rFonts w:hint="eastAsia" w:eastAsiaTheme="minorEastAsia"/>
                      <w:kern w:val="0"/>
                    </w:rPr>
                    <w:t>千克/万立方米-原料</w:t>
                  </w:r>
                </w:p>
              </w:tc>
              <w:tc>
                <w:tcPr>
                  <w:tcW w:w="1101" w:type="pct"/>
                  <w:vAlign w:val="center"/>
                </w:tcPr>
                <w:p>
                  <w:pPr>
                    <w:adjustRightInd w:val="0"/>
                    <w:snapToGrid w:val="0"/>
                    <w:jc w:val="center"/>
                    <w:rPr>
                      <w:rFonts w:eastAsiaTheme="minorEastAsia"/>
                      <w:kern w:val="0"/>
                    </w:rPr>
                  </w:pPr>
                  <w:r>
                    <w:rPr>
                      <w:rFonts w:hint="eastAsia" w:eastAsiaTheme="minorEastAsia"/>
                      <w:kern w:val="0"/>
                    </w:rPr>
                    <w:t>1.4</w:t>
                  </w:r>
                </w:p>
              </w:tc>
              <w:tc>
                <w:tcPr>
                  <w:tcW w:w="813" w:type="pct"/>
                  <w:vMerge w:val="restart"/>
                  <w:vAlign w:val="center"/>
                </w:tcPr>
                <w:p>
                  <w:pPr>
                    <w:pStyle w:val="2"/>
                    <w:ind w:left="0" w:leftChars="0"/>
                    <w:jc w:val="center"/>
                    <w:rPr>
                      <w:rFonts w:eastAsiaTheme="minorEastAsia"/>
                      <w:sz w:val="21"/>
                      <w:szCs w:val="21"/>
                    </w:rPr>
                  </w:pPr>
                  <w:r>
                    <w:rPr>
                      <w:rFonts w:hint="eastAsia" w:eastAsiaTheme="minorEastAsia"/>
                      <w:sz w:val="21"/>
                      <w:szCs w:val="21"/>
                    </w:rPr>
                    <w:t>/</w:t>
                  </w:r>
                </w:p>
              </w:tc>
              <w:tc>
                <w:tcPr>
                  <w:tcW w:w="1696" w:type="dxa"/>
                  <w:vAlign w:val="center"/>
                </w:tcPr>
                <w:p>
                  <w:pPr>
                    <w:adjustRightInd w:val="0"/>
                    <w:snapToGrid w:val="0"/>
                    <w:jc w:val="center"/>
                    <w:rPr>
                      <w:kern w:val="0"/>
                    </w:rPr>
                  </w:pPr>
                  <w:r>
                    <w:rPr>
                      <w:rFonts w:hint="eastAsia" w:eastAsiaTheme="minorEastAsia"/>
                      <w:kern w:val="0"/>
                    </w:rPr>
                    <w:t>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4" w:hRule="atLeast"/>
              </w:trPr>
              <w:tc>
                <w:tcPr>
                  <w:tcW w:w="924" w:type="pct"/>
                  <w:vAlign w:val="center"/>
                </w:tcPr>
                <w:p>
                  <w:pPr>
                    <w:adjustRightInd w:val="0"/>
                    <w:snapToGrid w:val="0"/>
                    <w:jc w:val="center"/>
                    <w:rPr>
                      <w:rFonts w:eastAsiaTheme="minorEastAsia"/>
                      <w:kern w:val="0"/>
                    </w:rPr>
                  </w:pPr>
                  <w:r>
                    <w:rPr>
                      <w:rFonts w:hint="eastAsia" w:eastAsiaTheme="minorEastAsia"/>
                      <w:kern w:val="0"/>
                    </w:rPr>
                    <w:t>二氧化硫</w:t>
                  </w:r>
                </w:p>
              </w:tc>
              <w:tc>
                <w:tcPr>
                  <w:tcW w:w="1165" w:type="pct"/>
                  <w:vAlign w:val="center"/>
                </w:tcPr>
                <w:p>
                  <w:pPr>
                    <w:adjustRightInd w:val="0"/>
                    <w:snapToGrid w:val="0"/>
                    <w:jc w:val="center"/>
                    <w:rPr>
                      <w:rFonts w:eastAsiaTheme="minorEastAsia"/>
                      <w:kern w:val="0"/>
                    </w:rPr>
                  </w:pPr>
                  <w:r>
                    <w:rPr>
                      <w:rFonts w:hint="eastAsia" w:eastAsiaTheme="minorEastAsia"/>
                      <w:kern w:val="0"/>
                    </w:rPr>
                    <w:t>千克/万立方米-原料</w:t>
                  </w:r>
                </w:p>
              </w:tc>
              <w:tc>
                <w:tcPr>
                  <w:tcW w:w="1101" w:type="pct"/>
                  <w:vAlign w:val="center"/>
                </w:tcPr>
                <w:p>
                  <w:pPr>
                    <w:adjustRightInd w:val="0"/>
                    <w:snapToGrid w:val="0"/>
                    <w:jc w:val="center"/>
                    <w:rPr>
                      <w:rFonts w:eastAsiaTheme="minorEastAsia"/>
                      <w:kern w:val="0"/>
                    </w:rPr>
                  </w:pPr>
                  <w:r>
                    <w:rPr>
                      <w:rFonts w:hint="eastAsia" w:eastAsiaTheme="minorEastAsia"/>
                      <w:kern w:val="0"/>
                    </w:rPr>
                    <w:t>0.02S</w:t>
                  </w:r>
                </w:p>
              </w:tc>
              <w:tc>
                <w:tcPr>
                  <w:tcW w:w="813" w:type="pct"/>
                  <w:vMerge w:val="continue"/>
                  <w:vAlign w:val="center"/>
                </w:tcPr>
                <w:p>
                  <w:pPr>
                    <w:pStyle w:val="2"/>
                    <w:jc w:val="center"/>
                    <w:rPr>
                      <w:rFonts w:eastAsiaTheme="minorEastAsia"/>
                      <w:sz w:val="21"/>
                      <w:szCs w:val="21"/>
                    </w:rPr>
                  </w:pPr>
                </w:p>
              </w:tc>
              <w:tc>
                <w:tcPr>
                  <w:tcW w:w="1696" w:type="dxa"/>
                  <w:vAlign w:val="center"/>
                </w:tcPr>
                <w:p>
                  <w:pPr>
                    <w:adjustRightInd w:val="0"/>
                    <w:snapToGrid w:val="0"/>
                    <w:jc w:val="center"/>
                    <w:rPr>
                      <w:kern w:val="0"/>
                    </w:rPr>
                  </w:pPr>
                  <w:r>
                    <w:rPr>
                      <w:rFonts w:hint="eastAsia" w:eastAsiaTheme="minorEastAsia"/>
                      <w:kern w:val="0"/>
                    </w:rPr>
                    <w:t>0.02S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924" w:type="pct"/>
                  <w:vAlign w:val="center"/>
                </w:tcPr>
                <w:p>
                  <w:pPr>
                    <w:adjustRightInd w:val="0"/>
                    <w:snapToGrid w:val="0"/>
                    <w:jc w:val="center"/>
                    <w:rPr>
                      <w:rFonts w:eastAsiaTheme="minorEastAsia"/>
                      <w:kern w:val="0"/>
                    </w:rPr>
                  </w:pPr>
                  <w:r>
                    <w:rPr>
                      <w:rFonts w:hint="eastAsia" w:eastAsiaTheme="minorEastAsia"/>
                      <w:kern w:val="0"/>
                    </w:rPr>
                    <w:t>氮氧化物</w:t>
                  </w:r>
                </w:p>
              </w:tc>
              <w:tc>
                <w:tcPr>
                  <w:tcW w:w="1165" w:type="pct"/>
                  <w:vAlign w:val="center"/>
                </w:tcPr>
                <w:p>
                  <w:pPr>
                    <w:adjustRightInd w:val="0"/>
                    <w:snapToGrid w:val="0"/>
                    <w:jc w:val="center"/>
                    <w:rPr>
                      <w:rFonts w:eastAsiaTheme="minorEastAsia"/>
                      <w:kern w:val="0"/>
                    </w:rPr>
                  </w:pPr>
                  <w:r>
                    <w:rPr>
                      <w:rFonts w:hint="eastAsia" w:eastAsiaTheme="minorEastAsia"/>
                      <w:kern w:val="0"/>
                    </w:rPr>
                    <w:t>千克/万立方米-原料</w:t>
                  </w:r>
                </w:p>
              </w:tc>
              <w:tc>
                <w:tcPr>
                  <w:tcW w:w="1101" w:type="pct"/>
                  <w:vAlign w:val="center"/>
                </w:tcPr>
                <w:p>
                  <w:pPr>
                    <w:adjustRightInd w:val="0"/>
                    <w:snapToGrid w:val="0"/>
                    <w:jc w:val="center"/>
                    <w:rPr>
                      <w:rFonts w:eastAsiaTheme="minorEastAsia"/>
                      <w:kern w:val="0"/>
                    </w:rPr>
                  </w:pPr>
                  <w:r>
                    <w:rPr>
                      <w:rFonts w:hint="eastAsia" w:eastAsiaTheme="minorEastAsia"/>
                      <w:kern w:val="0"/>
                    </w:rPr>
                    <w:t>3.03（低氮燃烧-国际领先）</w:t>
                  </w:r>
                </w:p>
              </w:tc>
              <w:tc>
                <w:tcPr>
                  <w:tcW w:w="813" w:type="pct"/>
                  <w:vMerge w:val="continue"/>
                  <w:vAlign w:val="center"/>
                </w:tcPr>
                <w:p>
                  <w:pPr>
                    <w:pStyle w:val="2"/>
                    <w:jc w:val="center"/>
                    <w:rPr>
                      <w:rFonts w:eastAsiaTheme="minorEastAsia"/>
                      <w:sz w:val="21"/>
                      <w:szCs w:val="21"/>
                    </w:rPr>
                  </w:pPr>
                </w:p>
              </w:tc>
              <w:tc>
                <w:tcPr>
                  <w:tcW w:w="1696" w:type="dxa"/>
                  <w:vAlign w:val="center"/>
                </w:tcPr>
                <w:p>
                  <w:pPr>
                    <w:adjustRightInd w:val="0"/>
                    <w:snapToGrid w:val="0"/>
                    <w:jc w:val="center"/>
                    <w:rPr>
                      <w:kern w:val="0"/>
                    </w:rPr>
                  </w:pPr>
                  <w:r>
                    <w:rPr>
                      <w:rFonts w:hint="eastAsia" w:eastAsiaTheme="minorEastAsia"/>
                      <w:kern w:val="0"/>
                    </w:rPr>
                    <w:t>3.03（低氮燃烧-国际领先）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924" w:type="pct"/>
                  <w:vAlign w:val="center"/>
                </w:tcPr>
                <w:p>
                  <w:pPr>
                    <w:adjustRightInd w:val="0"/>
                    <w:snapToGrid w:val="0"/>
                    <w:jc w:val="center"/>
                    <w:rPr>
                      <w:rFonts w:eastAsiaTheme="minorEastAsia"/>
                      <w:kern w:val="0"/>
                    </w:rPr>
                  </w:pPr>
                  <w:r>
                    <w:rPr>
                      <w:rFonts w:hint="eastAsia" w:eastAsiaTheme="minorEastAsia"/>
                      <w:kern w:val="0"/>
                    </w:rPr>
                    <w:t>工业废气量</w:t>
                  </w:r>
                </w:p>
              </w:tc>
              <w:tc>
                <w:tcPr>
                  <w:tcW w:w="1165" w:type="pct"/>
                  <w:vAlign w:val="center"/>
                </w:tcPr>
                <w:p>
                  <w:pPr>
                    <w:adjustRightInd w:val="0"/>
                    <w:snapToGrid w:val="0"/>
                    <w:jc w:val="center"/>
                    <w:rPr>
                      <w:rFonts w:eastAsiaTheme="minorEastAsia"/>
                      <w:kern w:val="0"/>
                    </w:rPr>
                  </w:pPr>
                  <w:r>
                    <w:rPr>
                      <w:rFonts w:hint="eastAsia" w:eastAsiaTheme="minorEastAsia"/>
                      <w:kern w:val="0"/>
                    </w:rPr>
                    <w:t>标立方米/万立方米-原料</w:t>
                  </w:r>
                </w:p>
              </w:tc>
              <w:tc>
                <w:tcPr>
                  <w:tcW w:w="1101" w:type="pct"/>
                  <w:vAlign w:val="center"/>
                </w:tcPr>
                <w:p>
                  <w:pPr>
                    <w:adjustRightInd w:val="0"/>
                    <w:snapToGrid w:val="0"/>
                    <w:jc w:val="center"/>
                    <w:rPr>
                      <w:rFonts w:eastAsiaTheme="minorEastAsia"/>
                      <w:kern w:val="0"/>
                    </w:rPr>
                  </w:pPr>
                  <w:r>
                    <w:rPr>
                      <w:rFonts w:hint="eastAsia" w:eastAsiaTheme="minorEastAsia"/>
                      <w:kern w:val="0"/>
                    </w:rPr>
                    <w:t>107753</w:t>
                  </w:r>
                </w:p>
              </w:tc>
              <w:tc>
                <w:tcPr>
                  <w:tcW w:w="813" w:type="pct"/>
                  <w:vMerge w:val="continue"/>
                  <w:vAlign w:val="center"/>
                </w:tcPr>
                <w:p>
                  <w:pPr>
                    <w:pStyle w:val="2"/>
                    <w:jc w:val="center"/>
                    <w:rPr>
                      <w:rFonts w:eastAsiaTheme="minorEastAsia"/>
                      <w:sz w:val="21"/>
                      <w:szCs w:val="21"/>
                    </w:rPr>
                  </w:pPr>
                </w:p>
              </w:tc>
              <w:tc>
                <w:tcPr>
                  <w:tcW w:w="1696" w:type="dxa"/>
                  <w:vAlign w:val="center"/>
                </w:tcPr>
                <w:p>
                  <w:pPr>
                    <w:adjustRightInd w:val="0"/>
                    <w:snapToGrid w:val="0"/>
                    <w:jc w:val="center"/>
                    <w:rPr>
                      <w:kern w:val="0"/>
                    </w:rPr>
                  </w:pPr>
                  <w:r>
                    <w:rPr>
                      <w:rFonts w:hint="eastAsia" w:eastAsiaTheme="minorEastAsia"/>
                      <w:kern w:val="0"/>
                    </w:rPr>
                    <w:t>107753</w:t>
                  </w:r>
                </w:p>
              </w:tc>
            </w:tr>
          </w:tbl>
          <w:p>
            <w:pPr>
              <w:spacing w:line="360" w:lineRule="auto"/>
              <w:ind w:firstLine="480" w:firstLineChars="200"/>
              <w:rPr>
                <w:sz w:val="24"/>
                <w:szCs w:val="24"/>
              </w:rPr>
            </w:pPr>
            <w:r>
              <w:rPr>
                <w:color w:val="auto"/>
                <w:sz w:val="24"/>
                <w:szCs w:val="24"/>
              </w:rPr>
              <w:t>其中本项目使用的天然气的含硫量S约为</w:t>
            </w:r>
            <w:r>
              <w:rPr>
                <w:rFonts w:hint="eastAsia"/>
                <w:color w:val="auto"/>
                <w:sz w:val="24"/>
                <w:szCs w:val="24"/>
                <w:lang w:val="en-US" w:eastAsia="zh-CN"/>
              </w:rPr>
              <w:t>60</w:t>
            </w:r>
            <w:r>
              <w:rPr>
                <w:color w:val="auto"/>
                <w:sz w:val="24"/>
                <w:szCs w:val="24"/>
              </w:rPr>
              <w:t>mg/m</w:t>
            </w:r>
            <w:r>
              <w:rPr>
                <w:color w:val="auto"/>
                <w:sz w:val="24"/>
                <w:szCs w:val="24"/>
                <w:vertAlign w:val="superscript"/>
              </w:rPr>
              <w:t>3</w:t>
            </w:r>
            <w:r>
              <w:rPr>
                <w:color w:val="auto"/>
                <w:sz w:val="24"/>
                <w:szCs w:val="24"/>
              </w:rPr>
              <w:t>，则计算出本项目天然气燃烧时产生的烟气量约为362.05万m</w:t>
            </w:r>
            <w:r>
              <w:rPr>
                <w:color w:val="auto"/>
                <w:sz w:val="24"/>
                <w:szCs w:val="24"/>
                <w:vertAlign w:val="superscript"/>
              </w:rPr>
              <w:t>3</w:t>
            </w:r>
            <w:r>
              <w:rPr>
                <w:color w:val="auto"/>
                <w:sz w:val="24"/>
                <w:szCs w:val="24"/>
              </w:rPr>
              <w:t>/a、SO</w:t>
            </w:r>
            <w:r>
              <w:rPr>
                <w:color w:val="auto"/>
                <w:sz w:val="24"/>
                <w:szCs w:val="24"/>
                <w:vertAlign w:val="subscript"/>
              </w:rPr>
              <w:t>2</w:t>
            </w:r>
            <w:r>
              <w:rPr>
                <w:color w:val="auto"/>
                <w:sz w:val="24"/>
                <w:szCs w:val="24"/>
              </w:rPr>
              <w:t>排放量为0.0</w:t>
            </w:r>
            <w:r>
              <w:rPr>
                <w:rFonts w:hint="eastAsia"/>
                <w:color w:val="auto"/>
                <w:sz w:val="24"/>
                <w:szCs w:val="24"/>
                <w:lang w:val="en-US" w:eastAsia="zh-CN"/>
              </w:rPr>
              <w:t>403</w:t>
            </w:r>
            <w:r>
              <w:rPr>
                <w:color w:val="auto"/>
                <w:sz w:val="24"/>
                <w:szCs w:val="24"/>
              </w:rPr>
              <w:t>t/a、NOx排放量为0.1018t/a、烟（粉）尘排放量为0.0</w:t>
            </w:r>
            <w:r>
              <w:rPr>
                <w:rFonts w:hint="eastAsia"/>
                <w:color w:val="auto"/>
                <w:sz w:val="24"/>
                <w:szCs w:val="24"/>
                <w:lang w:val="en-US" w:eastAsia="zh-CN"/>
              </w:rPr>
              <w:t>47</w:t>
            </w:r>
            <w:r>
              <w:rPr>
                <w:color w:val="auto"/>
                <w:sz w:val="24"/>
                <w:szCs w:val="24"/>
              </w:rPr>
              <w:t>t/a</w:t>
            </w:r>
            <w:r>
              <w:rPr>
                <w:rFonts w:hint="eastAsia"/>
                <w:color w:val="auto"/>
                <w:sz w:val="24"/>
                <w:szCs w:val="24"/>
              </w:rPr>
              <w:t>。本项目</w:t>
            </w:r>
            <w:r>
              <w:rPr>
                <w:color w:val="auto"/>
                <w:sz w:val="24"/>
                <w:szCs w:val="24"/>
              </w:rPr>
              <w:t>处理后的锅炉</w:t>
            </w:r>
            <w:r>
              <w:rPr>
                <w:rFonts w:hint="eastAsia"/>
                <w:color w:val="auto"/>
                <w:sz w:val="24"/>
                <w:szCs w:val="24"/>
              </w:rPr>
              <w:t>烟</w:t>
            </w:r>
            <w:r>
              <w:rPr>
                <w:color w:val="auto"/>
                <w:sz w:val="24"/>
                <w:szCs w:val="24"/>
              </w:rPr>
              <w:t>气经一根</w:t>
            </w:r>
            <w:r>
              <w:rPr>
                <w:rFonts w:hint="eastAsia"/>
                <w:color w:val="auto"/>
                <w:sz w:val="24"/>
                <w:szCs w:val="24"/>
              </w:rPr>
              <w:t>8m</w:t>
            </w:r>
            <w:r>
              <w:rPr>
                <w:color w:val="auto"/>
                <w:sz w:val="24"/>
                <w:szCs w:val="24"/>
              </w:rPr>
              <w:t>高</w:t>
            </w:r>
            <w:r>
              <w:rPr>
                <w:rFonts w:hint="eastAsia"/>
                <w:color w:val="auto"/>
                <w:sz w:val="24"/>
                <w:szCs w:val="24"/>
              </w:rPr>
              <w:t>DA003</w:t>
            </w:r>
            <w:r>
              <w:rPr>
                <w:color w:val="auto"/>
                <w:sz w:val="24"/>
                <w:szCs w:val="24"/>
              </w:rPr>
              <w:t>排气筒</w:t>
            </w:r>
            <w:r>
              <w:rPr>
                <w:sz w:val="24"/>
                <w:szCs w:val="24"/>
              </w:rPr>
              <w:t>排放。</w:t>
            </w:r>
          </w:p>
          <w:p>
            <w:pPr>
              <w:spacing w:line="360" w:lineRule="auto"/>
              <w:ind w:firstLine="482" w:firstLineChars="200"/>
              <w:rPr>
                <w:b/>
                <w:bCs/>
                <w:sz w:val="24"/>
                <w:szCs w:val="24"/>
              </w:rPr>
            </w:pPr>
            <w:r>
              <w:rPr>
                <w:rFonts w:hint="eastAsia"/>
                <w:b/>
                <w:bCs/>
                <w:sz w:val="24"/>
                <w:szCs w:val="24"/>
              </w:rPr>
              <w:t>（</w:t>
            </w:r>
            <w:r>
              <w:rPr>
                <w:rFonts w:hint="eastAsia"/>
                <w:b/>
                <w:bCs/>
                <w:sz w:val="24"/>
                <w:szCs w:val="24"/>
                <w:lang w:val="en-US" w:eastAsia="zh-CN"/>
              </w:rPr>
              <w:t>4</w:t>
            </w:r>
            <w:r>
              <w:rPr>
                <w:rFonts w:hint="eastAsia"/>
                <w:b/>
                <w:bCs/>
                <w:sz w:val="24"/>
                <w:szCs w:val="24"/>
              </w:rPr>
              <w:t>）食堂废气</w:t>
            </w:r>
          </w:p>
          <w:p>
            <w:pPr>
              <w:spacing w:line="360" w:lineRule="auto"/>
              <w:ind w:firstLine="482"/>
              <w:rPr>
                <w:sz w:val="24"/>
                <w:szCs w:val="24"/>
              </w:rPr>
            </w:pPr>
            <w:r>
              <w:rPr>
                <w:sz w:val="24"/>
              </w:rPr>
              <w:t>本项目建成后共有员</w:t>
            </w:r>
            <w:r>
              <w:rPr>
                <w:rFonts w:hint="eastAsia"/>
                <w:sz w:val="24"/>
              </w:rPr>
              <w:t>工40</w:t>
            </w:r>
            <w:r>
              <w:rPr>
                <w:sz w:val="24"/>
              </w:rPr>
              <w:t>人，食堂设</w:t>
            </w:r>
            <w:r>
              <w:rPr>
                <w:rFonts w:hint="eastAsia"/>
                <w:sz w:val="24"/>
              </w:rPr>
              <w:t>2</w:t>
            </w:r>
            <w:r>
              <w:rPr>
                <w:sz w:val="24"/>
              </w:rPr>
              <w:t>个灶头，人均食用油用量以30g/d计算，则食用油用量为</w:t>
            </w:r>
            <w:r>
              <w:rPr>
                <w:rFonts w:hint="eastAsia"/>
                <w:sz w:val="24"/>
              </w:rPr>
              <w:t>0.36</w:t>
            </w:r>
            <w:r>
              <w:rPr>
                <w:sz w:val="24"/>
              </w:rPr>
              <w:t>t/a，油烟产生量按用量的3%计，则油烟产生量为</w:t>
            </w:r>
            <w:r>
              <w:rPr>
                <w:rFonts w:hint="eastAsia"/>
                <w:sz w:val="24"/>
              </w:rPr>
              <w:t>0.0108</w:t>
            </w:r>
            <w:r>
              <w:rPr>
                <w:sz w:val="24"/>
              </w:rPr>
              <w:t>t/a，设有油烟净化装置（油烟净化效率</w:t>
            </w:r>
            <w:r>
              <w:rPr>
                <w:rFonts w:hint="eastAsia"/>
                <w:sz w:val="24"/>
              </w:rPr>
              <w:t>60</w:t>
            </w:r>
            <w:r>
              <w:rPr>
                <w:sz w:val="24"/>
              </w:rPr>
              <w:t>%），食堂操作按4h/d计，</w:t>
            </w:r>
            <w:r>
              <w:rPr>
                <w:rFonts w:hint="eastAsia"/>
                <w:sz w:val="24"/>
              </w:rPr>
              <w:t>每个灶头的风机</w:t>
            </w:r>
            <w:r>
              <w:rPr>
                <w:sz w:val="24"/>
              </w:rPr>
              <w:t>风量</w:t>
            </w:r>
            <w:r>
              <w:rPr>
                <w:rFonts w:hint="eastAsia"/>
                <w:sz w:val="24"/>
              </w:rPr>
              <w:t>为</w:t>
            </w:r>
            <w:r>
              <w:rPr>
                <w:sz w:val="24"/>
              </w:rPr>
              <w:t>2000m</w:t>
            </w:r>
            <w:r>
              <w:rPr>
                <w:sz w:val="24"/>
                <w:vertAlign w:val="superscript"/>
              </w:rPr>
              <w:t>3</w:t>
            </w:r>
            <w:r>
              <w:rPr>
                <w:sz w:val="24"/>
              </w:rPr>
              <w:t>/h，则项目食堂油烟排放量为</w:t>
            </w:r>
            <w:r>
              <w:rPr>
                <w:rFonts w:hint="eastAsia"/>
                <w:sz w:val="24"/>
              </w:rPr>
              <w:t>0.0043t</w:t>
            </w:r>
            <w:r>
              <w:rPr>
                <w:sz w:val="24"/>
              </w:rPr>
              <w:t>/a，排放浓度为</w:t>
            </w:r>
            <w:r>
              <w:rPr>
                <w:rFonts w:hint="eastAsia"/>
                <w:sz w:val="24"/>
              </w:rPr>
              <w:t>0.90</w:t>
            </w:r>
            <w:r>
              <w:rPr>
                <w:sz w:val="24"/>
              </w:rPr>
              <w:t>mg/m</w:t>
            </w:r>
            <w:r>
              <w:rPr>
                <w:sz w:val="24"/>
                <w:vertAlign w:val="superscript"/>
              </w:rPr>
              <w:t>3</w:t>
            </w:r>
            <w:r>
              <w:rPr>
                <w:sz w:val="24"/>
              </w:rPr>
              <w:t>，能够达到《饮食业油烟排放标准</w:t>
            </w:r>
            <w:r>
              <w:rPr>
                <w:rStyle w:val="28"/>
                <w:rFonts w:hint="eastAsia"/>
                <w:kern w:val="0"/>
                <w:sz w:val="24"/>
              </w:rPr>
              <w:t>（试行）</w:t>
            </w:r>
            <w:r>
              <w:rPr>
                <w:sz w:val="24"/>
              </w:rPr>
              <w:t>》（GB18483-2001）中</w:t>
            </w:r>
            <w:r>
              <w:rPr>
                <w:rFonts w:hint="eastAsia"/>
                <w:sz w:val="24"/>
              </w:rPr>
              <w:t>小</w:t>
            </w:r>
            <w:r>
              <w:rPr>
                <w:sz w:val="24"/>
              </w:rPr>
              <w:t>型规模排放标准（2.0mg/m</w:t>
            </w:r>
            <w:r>
              <w:rPr>
                <w:sz w:val="24"/>
                <w:vertAlign w:val="superscript"/>
              </w:rPr>
              <w:t>3</w:t>
            </w:r>
            <w:r>
              <w:rPr>
                <w:sz w:val="24"/>
              </w:rPr>
              <w:t>），通过专用油烟管道</w:t>
            </w:r>
            <w:r>
              <w:rPr>
                <w:rFonts w:hint="eastAsia"/>
                <w:sz w:val="24"/>
              </w:rPr>
              <w:t>引至屋顶</w:t>
            </w:r>
            <w:r>
              <w:rPr>
                <w:sz w:val="24"/>
              </w:rPr>
              <w:t>排放，对周围大气环境影响</w:t>
            </w:r>
            <w:r>
              <w:rPr>
                <w:rFonts w:hint="eastAsia"/>
                <w:sz w:val="24"/>
              </w:rPr>
              <w:t>较小</w:t>
            </w:r>
            <w:r>
              <w:rPr>
                <w:sz w:val="24"/>
              </w:rPr>
              <w:t>。</w:t>
            </w:r>
          </w:p>
          <w:p>
            <w:pPr>
              <w:spacing w:line="360" w:lineRule="auto"/>
              <w:ind w:firstLine="480" w:firstLineChars="200"/>
              <w:rPr>
                <w:sz w:val="32"/>
                <w:szCs w:val="32"/>
              </w:rPr>
            </w:pPr>
            <w:r>
              <w:rPr>
                <w:sz w:val="24"/>
                <w:szCs w:val="24"/>
              </w:rPr>
              <w:t>综上</w:t>
            </w:r>
            <w:r>
              <w:rPr>
                <w:rFonts w:hint="eastAsia"/>
                <w:sz w:val="24"/>
                <w:szCs w:val="24"/>
              </w:rPr>
              <w:t>所述</w:t>
            </w:r>
            <w:r>
              <w:rPr>
                <w:sz w:val="24"/>
                <w:szCs w:val="24"/>
              </w:rPr>
              <w:t>，本项目有组织大气污染物排放情况</w:t>
            </w:r>
            <w:r>
              <w:rPr>
                <w:rFonts w:hint="eastAsia"/>
                <w:sz w:val="24"/>
                <w:szCs w:val="24"/>
              </w:rPr>
              <w:t>见下表</w:t>
            </w:r>
            <w:r>
              <w:rPr>
                <w:sz w:val="24"/>
                <w:szCs w:val="24"/>
              </w:rPr>
              <w:t>。</w:t>
            </w:r>
          </w:p>
        </w:tc>
      </w:tr>
    </w:tbl>
    <w:p>
      <w:pPr>
        <w:adjustRightInd w:val="0"/>
        <w:snapToGrid w:val="0"/>
        <w:sectPr>
          <w:pgSz w:w="11907" w:h="16840"/>
          <w:pgMar w:top="1701" w:right="1531" w:bottom="2127" w:left="1531" w:header="851" w:footer="851" w:gutter="0"/>
          <w:cols w:space="720" w:num="1"/>
          <w:docGrid w:linePitch="312" w:charSpace="0"/>
        </w:sectPr>
      </w:pPr>
    </w:p>
    <w:p>
      <w:pPr>
        <w:spacing w:line="360" w:lineRule="auto"/>
        <w:jc w:val="center"/>
        <w:rPr>
          <w:b/>
          <w:bCs/>
          <w:color w:val="FF0000"/>
          <w:sz w:val="24"/>
          <w:szCs w:val="24"/>
        </w:rPr>
      </w:pPr>
      <w:r>
        <w:rPr>
          <w:b/>
          <w:bCs/>
          <w:sz w:val="24"/>
          <w:szCs w:val="24"/>
        </w:rPr>
        <w:t>表4-</w:t>
      </w:r>
      <w:r>
        <w:rPr>
          <w:rFonts w:hint="eastAsia"/>
          <w:b/>
          <w:bCs/>
          <w:sz w:val="24"/>
          <w:szCs w:val="24"/>
        </w:rPr>
        <w:t>3</w:t>
      </w:r>
      <w:r>
        <w:rPr>
          <w:b/>
          <w:bCs/>
          <w:sz w:val="24"/>
          <w:szCs w:val="24"/>
        </w:rPr>
        <w:t xml:space="preserve">  本项目有组织大气污染物排放情况一览表</w:t>
      </w:r>
    </w:p>
    <w:tbl>
      <w:tblPr>
        <w:tblStyle w:val="23"/>
        <w:tblW w:w="13356"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5"/>
        <w:gridCol w:w="607"/>
        <w:gridCol w:w="480"/>
        <w:gridCol w:w="714"/>
        <w:gridCol w:w="675"/>
        <w:gridCol w:w="795"/>
        <w:gridCol w:w="825"/>
        <w:gridCol w:w="960"/>
        <w:gridCol w:w="1281"/>
        <w:gridCol w:w="555"/>
        <w:gridCol w:w="510"/>
        <w:gridCol w:w="840"/>
        <w:gridCol w:w="795"/>
        <w:gridCol w:w="855"/>
        <w:gridCol w:w="854"/>
        <w:gridCol w:w="555"/>
        <w:gridCol w:w="570"/>
        <w:gridCol w:w="570"/>
        <w:gridCol w:w="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 w:hRule="atLeast"/>
        </w:trPr>
        <w:tc>
          <w:tcPr>
            <w:tcW w:w="565" w:type="dxa"/>
            <w:vMerge w:val="restart"/>
            <w:vAlign w:val="center"/>
          </w:tcPr>
          <w:p>
            <w:pPr>
              <w:jc w:val="center"/>
            </w:pPr>
            <w:r>
              <w:t>排气筒编号</w:t>
            </w:r>
          </w:p>
        </w:tc>
        <w:tc>
          <w:tcPr>
            <w:tcW w:w="607" w:type="dxa"/>
            <w:vMerge w:val="restart"/>
            <w:vAlign w:val="center"/>
          </w:tcPr>
          <w:p>
            <w:pPr>
              <w:jc w:val="center"/>
            </w:pPr>
            <w:r>
              <w:t>排气总量</w:t>
            </w:r>
          </w:p>
          <w:p>
            <w:pPr>
              <w:jc w:val="center"/>
            </w:pPr>
            <w:r>
              <w:t>(m</w:t>
            </w:r>
            <w:r>
              <w:rPr>
                <w:vertAlign w:val="superscript"/>
              </w:rPr>
              <w:t>3</w:t>
            </w:r>
            <w:r>
              <w:t>/h)</w:t>
            </w:r>
          </w:p>
        </w:tc>
        <w:tc>
          <w:tcPr>
            <w:tcW w:w="480" w:type="dxa"/>
            <w:vMerge w:val="restart"/>
            <w:vAlign w:val="center"/>
          </w:tcPr>
          <w:p>
            <w:pPr>
              <w:jc w:val="center"/>
            </w:pPr>
            <w:r>
              <w:rPr>
                <w:rFonts w:hint="eastAsia"/>
              </w:rPr>
              <w:t>污染源</w:t>
            </w:r>
          </w:p>
        </w:tc>
        <w:tc>
          <w:tcPr>
            <w:tcW w:w="714" w:type="dxa"/>
            <w:vMerge w:val="restart"/>
            <w:vAlign w:val="center"/>
          </w:tcPr>
          <w:p>
            <w:pPr>
              <w:jc w:val="center"/>
            </w:pPr>
            <w:r>
              <w:t>产污环节</w:t>
            </w:r>
          </w:p>
        </w:tc>
        <w:tc>
          <w:tcPr>
            <w:tcW w:w="675" w:type="dxa"/>
            <w:vMerge w:val="restart"/>
            <w:vAlign w:val="center"/>
          </w:tcPr>
          <w:p>
            <w:pPr>
              <w:jc w:val="center"/>
            </w:pPr>
            <w:r>
              <w:t>污染物种类</w:t>
            </w:r>
          </w:p>
        </w:tc>
        <w:tc>
          <w:tcPr>
            <w:tcW w:w="2580" w:type="dxa"/>
            <w:gridSpan w:val="3"/>
            <w:vAlign w:val="center"/>
          </w:tcPr>
          <w:p>
            <w:pPr>
              <w:jc w:val="center"/>
            </w:pPr>
            <w:r>
              <w:t>有组织产生情况</w:t>
            </w:r>
          </w:p>
        </w:tc>
        <w:tc>
          <w:tcPr>
            <w:tcW w:w="2346" w:type="dxa"/>
            <w:gridSpan w:val="3"/>
            <w:vAlign w:val="center"/>
          </w:tcPr>
          <w:p>
            <w:pPr>
              <w:jc w:val="center"/>
            </w:pPr>
            <w:r>
              <w:t>治理措施</w:t>
            </w:r>
          </w:p>
        </w:tc>
        <w:tc>
          <w:tcPr>
            <w:tcW w:w="2490" w:type="dxa"/>
            <w:gridSpan w:val="3"/>
            <w:vAlign w:val="center"/>
          </w:tcPr>
          <w:p>
            <w:pPr>
              <w:jc w:val="center"/>
            </w:pPr>
            <w:r>
              <w:t>排放情况</w:t>
            </w:r>
          </w:p>
        </w:tc>
        <w:tc>
          <w:tcPr>
            <w:tcW w:w="854" w:type="dxa"/>
            <w:vAlign w:val="center"/>
          </w:tcPr>
          <w:p>
            <w:pPr>
              <w:jc w:val="center"/>
            </w:pPr>
            <w:r>
              <w:t>排放标准</w:t>
            </w:r>
          </w:p>
        </w:tc>
        <w:tc>
          <w:tcPr>
            <w:tcW w:w="1695" w:type="dxa"/>
            <w:gridSpan w:val="3"/>
            <w:vAlign w:val="center"/>
          </w:tcPr>
          <w:p>
            <w:pPr>
              <w:adjustRightInd w:val="0"/>
              <w:snapToGrid w:val="0"/>
              <w:jc w:val="center"/>
            </w:pPr>
            <w:r>
              <w:t>排放源参数</w:t>
            </w:r>
          </w:p>
        </w:tc>
        <w:tc>
          <w:tcPr>
            <w:tcW w:w="350" w:type="dxa"/>
            <w:vMerge w:val="restart"/>
            <w:vAlign w:val="center"/>
          </w:tcPr>
          <w:p>
            <w:pPr>
              <w:jc w:val="center"/>
            </w:pPr>
            <w:r>
              <w:t>是否达标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 w:hRule="atLeast"/>
        </w:trPr>
        <w:tc>
          <w:tcPr>
            <w:tcW w:w="565" w:type="dxa"/>
            <w:vMerge w:val="continue"/>
            <w:vAlign w:val="center"/>
          </w:tcPr>
          <w:p>
            <w:pPr>
              <w:jc w:val="center"/>
            </w:pPr>
          </w:p>
        </w:tc>
        <w:tc>
          <w:tcPr>
            <w:tcW w:w="607" w:type="dxa"/>
            <w:vMerge w:val="continue"/>
            <w:vAlign w:val="center"/>
          </w:tcPr>
          <w:p>
            <w:pPr>
              <w:jc w:val="center"/>
            </w:pPr>
          </w:p>
        </w:tc>
        <w:tc>
          <w:tcPr>
            <w:tcW w:w="480" w:type="dxa"/>
            <w:vMerge w:val="continue"/>
            <w:vAlign w:val="center"/>
          </w:tcPr>
          <w:p>
            <w:pPr>
              <w:jc w:val="center"/>
            </w:pPr>
          </w:p>
        </w:tc>
        <w:tc>
          <w:tcPr>
            <w:tcW w:w="714" w:type="dxa"/>
            <w:vMerge w:val="continue"/>
            <w:vAlign w:val="center"/>
          </w:tcPr>
          <w:p>
            <w:pPr>
              <w:jc w:val="center"/>
            </w:pPr>
          </w:p>
        </w:tc>
        <w:tc>
          <w:tcPr>
            <w:tcW w:w="675" w:type="dxa"/>
            <w:vMerge w:val="continue"/>
            <w:vAlign w:val="center"/>
          </w:tcPr>
          <w:p>
            <w:pPr>
              <w:jc w:val="center"/>
            </w:pPr>
          </w:p>
        </w:tc>
        <w:tc>
          <w:tcPr>
            <w:tcW w:w="795" w:type="dxa"/>
            <w:vAlign w:val="center"/>
          </w:tcPr>
          <w:p>
            <w:pPr>
              <w:widowControl/>
              <w:jc w:val="center"/>
              <w:textAlignment w:val="center"/>
            </w:pPr>
            <w:r>
              <w:t>产生量</w:t>
            </w:r>
          </w:p>
          <w:p>
            <w:pPr>
              <w:widowControl/>
              <w:jc w:val="center"/>
              <w:textAlignment w:val="center"/>
            </w:pPr>
            <w:r>
              <w:t>(t/a)</w:t>
            </w:r>
          </w:p>
        </w:tc>
        <w:tc>
          <w:tcPr>
            <w:tcW w:w="825" w:type="dxa"/>
            <w:vAlign w:val="center"/>
          </w:tcPr>
          <w:p>
            <w:pPr>
              <w:widowControl/>
              <w:jc w:val="center"/>
              <w:textAlignment w:val="center"/>
            </w:pPr>
            <w:r>
              <w:t>速率</w:t>
            </w:r>
          </w:p>
          <w:p>
            <w:pPr>
              <w:widowControl/>
              <w:jc w:val="center"/>
              <w:textAlignment w:val="center"/>
            </w:pPr>
            <w:r>
              <w:t>(kg/h)</w:t>
            </w:r>
          </w:p>
        </w:tc>
        <w:tc>
          <w:tcPr>
            <w:tcW w:w="960" w:type="dxa"/>
            <w:vAlign w:val="center"/>
          </w:tcPr>
          <w:p>
            <w:pPr>
              <w:widowControl/>
              <w:jc w:val="center"/>
              <w:textAlignment w:val="center"/>
            </w:pPr>
            <w:r>
              <w:t>浓度</w:t>
            </w:r>
          </w:p>
          <w:p>
            <w:pPr>
              <w:widowControl/>
              <w:jc w:val="center"/>
              <w:textAlignment w:val="center"/>
            </w:pPr>
            <w:r>
              <w:t>(mg/m</w:t>
            </w:r>
            <w:r>
              <w:rPr>
                <w:vertAlign w:val="superscript"/>
              </w:rPr>
              <w:t>3</w:t>
            </w:r>
            <w:r>
              <w:t>)</w:t>
            </w:r>
          </w:p>
        </w:tc>
        <w:tc>
          <w:tcPr>
            <w:tcW w:w="1281" w:type="dxa"/>
            <w:vAlign w:val="center"/>
          </w:tcPr>
          <w:p>
            <w:pPr>
              <w:jc w:val="center"/>
            </w:pPr>
            <w:r>
              <w:t>处理措施</w:t>
            </w:r>
          </w:p>
        </w:tc>
        <w:tc>
          <w:tcPr>
            <w:tcW w:w="555" w:type="dxa"/>
            <w:vAlign w:val="center"/>
          </w:tcPr>
          <w:p>
            <w:pPr>
              <w:jc w:val="center"/>
              <w:rPr>
                <w:color w:val="auto"/>
              </w:rPr>
            </w:pPr>
            <w:r>
              <w:rPr>
                <w:rFonts w:hint="eastAsia"/>
                <w:color w:val="auto"/>
              </w:rPr>
              <w:t>收集效率%</w:t>
            </w:r>
          </w:p>
        </w:tc>
        <w:tc>
          <w:tcPr>
            <w:tcW w:w="510" w:type="dxa"/>
            <w:vAlign w:val="center"/>
          </w:tcPr>
          <w:p>
            <w:pPr>
              <w:jc w:val="center"/>
            </w:pPr>
            <w:r>
              <w:t>去除效率％</w:t>
            </w:r>
          </w:p>
        </w:tc>
        <w:tc>
          <w:tcPr>
            <w:tcW w:w="840" w:type="dxa"/>
            <w:vAlign w:val="center"/>
          </w:tcPr>
          <w:p>
            <w:pPr>
              <w:jc w:val="center"/>
            </w:pPr>
            <w:r>
              <w:t>排放量</w:t>
            </w:r>
          </w:p>
          <w:p>
            <w:pPr>
              <w:jc w:val="center"/>
            </w:pPr>
            <w:r>
              <w:t>(t/a)</w:t>
            </w:r>
          </w:p>
        </w:tc>
        <w:tc>
          <w:tcPr>
            <w:tcW w:w="795" w:type="dxa"/>
            <w:vAlign w:val="center"/>
          </w:tcPr>
          <w:p>
            <w:pPr>
              <w:jc w:val="center"/>
            </w:pPr>
            <w:r>
              <w:t>速率</w:t>
            </w:r>
          </w:p>
          <w:p>
            <w:pPr>
              <w:jc w:val="center"/>
            </w:pPr>
            <w:r>
              <w:t>(kg/h)</w:t>
            </w:r>
          </w:p>
        </w:tc>
        <w:tc>
          <w:tcPr>
            <w:tcW w:w="855" w:type="dxa"/>
            <w:vAlign w:val="center"/>
          </w:tcPr>
          <w:p>
            <w:pPr>
              <w:jc w:val="center"/>
            </w:pPr>
            <w:r>
              <w:t>浓度</w:t>
            </w:r>
          </w:p>
          <w:p>
            <w:pPr>
              <w:jc w:val="center"/>
            </w:pPr>
            <w:r>
              <w:t>(mg/m</w:t>
            </w:r>
            <w:r>
              <w:rPr>
                <w:vertAlign w:val="superscript"/>
              </w:rPr>
              <w:t>3</w:t>
            </w:r>
            <w:r>
              <w:t>)</w:t>
            </w:r>
          </w:p>
        </w:tc>
        <w:tc>
          <w:tcPr>
            <w:tcW w:w="854" w:type="dxa"/>
            <w:vAlign w:val="center"/>
          </w:tcPr>
          <w:p>
            <w:pPr>
              <w:jc w:val="center"/>
            </w:pPr>
            <w:r>
              <w:t>浓度</w:t>
            </w:r>
          </w:p>
          <w:p>
            <w:pPr>
              <w:jc w:val="center"/>
            </w:pPr>
            <w:r>
              <w:t>(mg/m</w:t>
            </w:r>
            <w:r>
              <w:rPr>
                <w:vertAlign w:val="superscript"/>
              </w:rPr>
              <w:t>3</w:t>
            </w:r>
            <w:r>
              <w:t>)</w:t>
            </w:r>
          </w:p>
        </w:tc>
        <w:tc>
          <w:tcPr>
            <w:tcW w:w="555" w:type="dxa"/>
            <w:vAlign w:val="center"/>
          </w:tcPr>
          <w:p>
            <w:pPr>
              <w:adjustRightInd w:val="0"/>
              <w:snapToGrid w:val="0"/>
              <w:jc w:val="center"/>
            </w:pPr>
            <w:r>
              <w:t>高度</w:t>
            </w:r>
          </w:p>
          <w:p>
            <w:pPr>
              <w:adjustRightInd w:val="0"/>
              <w:snapToGrid w:val="0"/>
              <w:jc w:val="center"/>
            </w:pPr>
            <w:r>
              <w:t>(m)</w:t>
            </w:r>
          </w:p>
        </w:tc>
        <w:tc>
          <w:tcPr>
            <w:tcW w:w="570" w:type="dxa"/>
            <w:vAlign w:val="center"/>
          </w:tcPr>
          <w:p>
            <w:pPr>
              <w:adjustRightInd w:val="0"/>
              <w:snapToGrid w:val="0"/>
              <w:jc w:val="center"/>
            </w:pPr>
            <w:r>
              <w:t>内径</w:t>
            </w:r>
          </w:p>
          <w:p>
            <w:pPr>
              <w:adjustRightInd w:val="0"/>
              <w:snapToGrid w:val="0"/>
              <w:jc w:val="center"/>
              <w:rPr>
                <w:color w:val="FF0000"/>
              </w:rPr>
            </w:pPr>
            <w:r>
              <w:t>(m)</w:t>
            </w:r>
          </w:p>
        </w:tc>
        <w:tc>
          <w:tcPr>
            <w:tcW w:w="570" w:type="dxa"/>
            <w:vAlign w:val="center"/>
          </w:tcPr>
          <w:p>
            <w:pPr>
              <w:adjustRightInd w:val="0"/>
              <w:snapToGrid w:val="0"/>
              <w:jc w:val="center"/>
            </w:pPr>
            <w:r>
              <w:t>温度</w:t>
            </w:r>
          </w:p>
          <w:p>
            <w:pPr>
              <w:adjustRightInd w:val="0"/>
              <w:snapToGrid w:val="0"/>
              <w:jc w:val="center"/>
            </w:pPr>
            <w:r>
              <w:t>(℃)</w:t>
            </w:r>
          </w:p>
        </w:tc>
        <w:tc>
          <w:tcPr>
            <w:tcW w:w="350"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565" w:type="dxa"/>
            <w:vMerge w:val="restart"/>
            <w:vAlign w:val="center"/>
          </w:tcPr>
          <w:p>
            <w:pPr>
              <w:jc w:val="center"/>
            </w:pPr>
            <w:r>
              <w:t>DA001</w:t>
            </w:r>
          </w:p>
        </w:tc>
        <w:tc>
          <w:tcPr>
            <w:tcW w:w="607" w:type="dxa"/>
            <w:vMerge w:val="restart"/>
            <w:vAlign w:val="center"/>
          </w:tcPr>
          <w:p>
            <w:pPr>
              <w:jc w:val="center"/>
            </w:pPr>
            <w:r>
              <w:rPr>
                <w:rFonts w:hint="eastAsia"/>
              </w:rPr>
              <w:t>25000</w:t>
            </w:r>
          </w:p>
        </w:tc>
        <w:tc>
          <w:tcPr>
            <w:tcW w:w="480" w:type="dxa"/>
            <w:vMerge w:val="restart"/>
            <w:vAlign w:val="center"/>
          </w:tcPr>
          <w:p>
            <w:pPr>
              <w:jc w:val="center"/>
            </w:pPr>
            <w:r>
              <w:rPr>
                <w:rFonts w:hint="eastAsia"/>
                <w:lang w:eastAsia="zh-CN"/>
              </w:rPr>
              <w:t>猪饲料</w:t>
            </w:r>
            <w:r>
              <w:rPr>
                <w:rFonts w:hint="eastAsia"/>
              </w:rPr>
              <w:t>生产线</w:t>
            </w:r>
          </w:p>
        </w:tc>
        <w:tc>
          <w:tcPr>
            <w:tcW w:w="714" w:type="dxa"/>
            <w:vAlign w:val="center"/>
          </w:tcPr>
          <w:p>
            <w:pPr>
              <w:jc w:val="center"/>
            </w:pPr>
            <w:r>
              <w:rPr>
                <w:rFonts w:hint="eastAsia"/>
              </w:rPr>
              <w:t>投料</w:t>
            </w:r>
          </w:p>
        </w:tc>
        <w:tc>
          <w:tcPr>
            <w:tcW w:w="675" w:type="dxa"/>
            <w:vAlign w:val="center"/>
          </w:tcPr>
          <w:p>
            <w:pPr>
              <w:jc w:val="center"/>
            </w:pPr>
            <w:r>
              <w:rPr>
                <w:rFonts w:hint="eastAsia"/>
              </w:rPr>
              <w:t>颗粒物</w:t>
            </w:r>
          </w:p>
        </w:tc>
        <w:tc>
          <w:tcPr>
            <w:tcW w:w="795" w:type="dxa"/>
            <w:vAlign w:val="center"/>
          </w:tcPr>
          <w:p>
            <w:pPr>
              <w:jc w:val="center"/>
              <w:rPr>
                <w:rFonts w:hint="default" w:eastAsia="宋体"/>
                <w:color w:val="auto"/>
                <w:lang w:val="en-US" w:eastAsia="zh-CN"/>
              </w:rPr>
            </w:pPr>
            <w:r>
              <w:rPr>
                <w:rFonts w:hint="eastAsia"/>
                <w:color w:val="auto"/>
              </w:rPr>
              <w:t>3.</w:t>
            </w:r>
            <w:r>
              <w:rPr>
                <w:rFonts w:hint="eastAsia"/>
                <w:color w:val="auto"/>
                <w:lang w:val="en-US" w:eastAsia="zh-CN"/>
              </w:rPr>
              <w:t>18</w:t>
            </w:r>
          </w:p>
        </w:tc>
        <w:tc>
          <w:tcPr>
            <w:tcW w:w="825" w:type="dxa"/>
            <w:vMerge w:val="restart"/>
            <w:vAlign w:val="center"/>
          </w:tcPr>
          <w:p>
            <w:pPr>
              <w:jc w:val="center"/>
              <w:rPr>
                <w:rFonts w:hint="default" w:eastAsia="宋体"/>
                <w:color w:val="auto"/>
                <w:lang w:val="en-US" w:eastAsia="zh-CN"/>
              </w:rPr>
            </w:pPr>
            <w:r>
              <w:rPr>
                <w:rFonts w:hint="eastAsia"/>
                <w:color w:val="auto"/>
                <w:lang w:val="en-US" w:eastAsia="zh-CN"/>
              </w:rPr>
              <w:t>1.6875</w:t>
            </w:r>
          </w:p>
        </w:tc>
        <w:tc>
          <w:tcPr>
            <w:tcW w:w="960" w:type="dxa"/>
            <w:vMerge w:val="restart"/>
            <w:vAlign w:val="center"/>
          </w:tcPr>
          <w:p>
            <w:pPr>
              <w:jc w:val="center"/>
              <w:rPr>
                <w:rFonts w:hint="default" w:eastAsia="宋体"/>
                <w:color w:val="auto"/>
                <w:lang w:val="en-US" w:eastAsia="zh-CN"/>
              </w:rPr>
            </w:pPr>
            <w:r>
              <w:rPr>
                <w:rFonts w:hint="eastAsia"/>
                <w:color w:val="auto"/>
                <w:lang w:val="en-US" w:eastAsia="zh-CN"/>
              </w:rPr>
              <w:t>67.5</w:t>
            </w:r>
          </w:p>
        </w:tc>
        <w:tc>
          <w:tcPr>
            <w:tcW w:w="1281" w:type="dxa"/>
            <w:vAlign w:val="center"/>
          </w:tcPr>
          <w:p>
            <w:pPr>
              <w:jc w:val="center"/>
              <w:rPr>
                <w:color w:val="auto"/>
              </w:rPr>
            </w:pPr>
            <w:r>
              <w:rPr>
                <w:rFonts w:hint="eastAsia" w:ascii="宋体" w:hAnsi="宋体" w:cs="宋体"/>
                <w:color w:val="auto"/>
              </w:rPr>
              <w:t>负压收集+</w:t>
            </w:r>
            <w:r>
              <w:rPr>
                <w:rFonts w:ascii="宋体" w:hAnsi="宋体" w:cs="宋体"/>
                <w:color w:val="auto"/>
              </w:rPr>
              <w:t>脉冲布筒除尘器</w:t>
            </w:r>
          </w:p>
        </w:tc>
        <w:tc>
          <w:tcPr>
            <w:tcW w:w="555" w:type="dxa"/>
            <w:vAlign w:val="center"/>
          </w:tcPr>
          <w:p>
            <w:pPr>
              <w:jc w:val="center"/>
              <w:rPr>
                <w:color w:val="auto"/>
              </w:rPr>
            </w:pPr>
            <w:r>
              <w:rPr>
                <w:color w:val="auto"/>
              </w:rPr>
              <w:t>9</w:t>
            </w:r>
            <w:r>
              <w:rPr>
                <w:rFonts w:hint="eastAsia"/>
                <w:color w:val="auto"/>
              </w:rPr>
              <w:t>0</w:t>
            </w:r>
          </w:p>
        </w:tc>
        <w:tc>
          <w:tcPr>
            <w:tcW w:w="510" w:type="dxa"/>
            <w:vAlign w:val="center"/>
          </w:tcPr>
          <w:p>
            <w:pPr>
              <w:jc w:val="center"/>
              <w:rPr>
                <w:color w:val="auto"/>
              </w:rPr>
            </w:pPr>
            <w:r>
              <w:rPr>
                <w:rFonts w:hint="eastAsia"/>
                <w:color w:val="auto"/>
              </w:rPr>
              <w:t>99</w:t>
            </w:r>
          </w:p>
        </w:tc>
        <w:tc>
          <w:tcPr>
            <w:tcW w:w="840" w:type="dxa"/>
            <w:vMerge w:val="restart"/>
            <w:vAlign w:val="center"/>
          </w:tcPr>
          <w:p>
            <w:pPr>
              <w:jc w:val="center"/>
              <w:rPr>
                <w:rFonts w:hint="default" w:eastAsia="宋体"/>
                <w:color w:val="auto"/>
                <w:lang w:val="en-US" w:eastAsia="zh-CN"/>
              </w:rPr>
            </w:pPr>
            <w:r>
              <w:rPr>
                <w:rFonts w:hint="eastAsia"/>
                <w:color w:val="auto"/>
              </w:rPr>
              <w:t>0.</w:t>
            </w:r>
            <w:r>
              <w:rPr>
                <w:rFonts w:hint="eastAsia"/>
                <w:color w:val="auto"/>
                <w:lang w:val="en-US" w:eastAsia="zh-CN"/>
              </w:rPr>
              <w:t>081</w:t>
            </w:r>
          </w:p>
        </w:tc>
        <w:tc>
          <w:tcPr>
            <w:tcW w:w="795" w:type="dxa"/>
            <w:vMerge w:val="restart"/>
            <w:vAlign w:val="center"/>
          </w:tcPr>
          <w:p>
            <w:pPr>
              <w:jc w:val="center"/>
              <w:rPr>
                <w:rFonts w:hint="default" w:eastAsia="宋体"/>
                <w:color w:val="auto"/>
                <w:lang w:val="en-US" w:eastAsia="zh-CN"/>
              </w:rPr>
            </w:pPr>
            <w:r>
              <w:rPr>
                <w:rFonts w:hint="eastAsia"/>
                <w:color w:val="auto"/>
              </w:rPr>
              <w:t>0.</w:t>
            </w:r>
            <w:r>
              <w:rPr>
                <w:rFonts w:hint="eastAsia"/>
                <w:color w:val="auto"/>
                <w:lang w:val="en-US" w:eastAsia="zh-CN"/>
              </w:rPr>
              <w:t>0169</w:t>
            </w:r>
          </w:p>
        </w:tc>
        <w:tc>
          <w:tcPr>
            <w:tcW w:w="855" w:type="dxa"/>
            <w:vMerge w:val="restart"/>
            <w:vAlign w:val="center"/>
          </w:tcPr>
          <w:p>
            <w:pPr>
              <w:jc w:val="center"/>
              <w:rPr>
                <w:rFonts w:hint="default" w:eastAsia="宋体"/>
                <w:color w:val="auto"/>
                <w:lang w:val="en-US" w:eastAsia="zh-CN"/>
              </w:rPr>
            </w:pPr>
            <w:r>
              <w:rPr>
                <w:rFonts w:hint="eastAsia"/>
                <w:color w:val="auto"/>
                <w:lang w:val="en-US" w:eastAsia="zh-CN"/>
              </w:rPr>
              <w:t>0.68</w:t>
            </w:r>
          </w:p>
        </w:tc>
        <w:tc>
          <w:tcPr>
            <w:tcW w:w="854" w:type="dxa"/>
            <w:vMerge w:val="restart"/>
            <w:vAlign w:val="center"/>
          </w:tcPr>
          <w:p>
            <w:pPr>
              <w:jc w:val="center"/>
            </w:pPr>
            <w:r>
              <w:rPr>
                <w:rFonts w:hint="eastAsia"/>
              </w:rPr>
              <w:t>30</w:t>
            </w:r>
          </w:p>
        </w:tc>
        <w:tc>
          <w:tcPr>
            <w:tcW w:w="555" w:type="dxa"/>
            <w:vMerge w:val="restart"/>
            <w:vAlign w:val="center"/>
          </w:tcPr>
          <w:p>
            <w:pPr>
              <w:jc w:val="center"/>
            </w:pPr>
            <w:r>
              <w:rPr>
                <w:rFonts w:hint="eastAsia"/>
              </w:rPr>
              <w:t>35</w:t>
            </w:r>
          </w:p>
        </w:tc>
        <w:tc>
          <w:tcPr>
            <w:tcW w:w="570" w:type="dxa"/>
            <w:vMerge w:val="restart"/>
            <w:vAlign w:val="center"/>
          </w:tcPr>
          <w:p>
            <w:pPr>
              <w:jc w:val="center"/>
              <w:rPr>
                <w:color w:val="auto"/>
              </w:rPr>
            </w:pPr>
            <w:r>
              <w:rPr>
                <w:rFonts w:hint="eastAsia"/>
                <w:color w:val="auto"/>
              </w:rPr>
              <w:t>0.8</w:t>
            </w:r>
          </w:p>
        </w:tc>
        <w:tc>
          <w:tcPr>
            <w:tcW w:w="570" w:type="dxa"/>
            <w:vMerge w:val="restart"/>
            <w:vAlign w:val="center"/>
          </w:tcPr>
          <w:p>
            <w:pPr>
              <w:jc w:val="center"/>
            </w:pPr>
            <w:r>
              <w:rPr>
                <w:rFonts w:hint="eastAsia"/>
              </w:rPr>
              <w:t>25</w:t>
            </w:r>
          </w:p>
        </w:tc>
        <w:tc>
          <w:tcPr>
            <w:tcW w:w="350" w:type="dxa"/>
            <w:vMerge w:val="restart"/>
            <w:vAlign w:val="center"/>
          </w:tcPr>
          <w:p>
            <w: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trPr>
        <w:tc>
          <w:tcPr>
            <w:tcW w:w="565" w:type="dxa"/>
            <w:vMerge w:val="continue"/>
            <w:vAlign w:val="center"/>
          </w:tcPr>
          <w:p>
            <w:pPr>
              <w:jc w:val="center"/>
            </w:pPr>
          </w:p>
        </w:tc>
        <w:tc>
          <w:tcPr>
            <w:tcW w:w="607" w:type="dxa"/>
            <w:vMerge w:val="continue"/>
            <w:vAlign w:val="center"/>
          </w:tcPr>
          <w:p>
            <w:pPr>
              <w:jc w:val="center"/>
            </w:pPr>
          </w:p>
        </w:tc>
        <w:tc>
          <w:tcPr>
            <w:tcW w:w="480" w:type="dxa"/>
            <w:vMerge w:val="continue"/>
            <w:vAlign w:val="center"/>
          </w:tcPr>
          <w:p>
            <w:pPr>
              <w:jc w:val="center"/>
            </w:pPr>
          </w:p>
        </w:tc>
        <w:tc>
          <w:tcPr>
            <w:tcW w:w="714" w:type="dxa"/>
            <w:vAlign w:val="center"/>
          </w:tcPr>
          <w:p>
            <w:pPr>
              <w:jc w:val="center"/>
            </w:pPr>
            <w:r>
              <w:rPr>
                <w:rFonts w:hint="eastAsia"/>
              </w:rPr>
              <w:t>生产工艺粉尘</w:t>
            </w:r>
          </w:p>
        </w:tc>
        <w:tc>
          <w:tcPr>
            <w:tcW w:w="675" w:type="dxa"/>
            <w:vAlign w:val="center"/>
          </w:tcPr>
          <w:p>
            <w:pPr>
              <w:jc w:val="center"/>
            </w:pPr>
            <w:r>
              <w:rPr>
                <w:rFonts w:hint="eastAsia"/>
              </w:rPr>
              <w:t>颗粒物</w:t>
            </w:r>
          </w:p>
        </w:tc>
        <w:tc>
          <w:tcPr>
            <w:tcW w:w="795" w:type="dxa"/>
            <w:vAlign w:val="center"/>
          </w:tcPr>
          <w:p>
            <w:pPr>
              <w:jc w:val="center"/>
              <w:rPr>
                <w:rFonts w:hint="default" w:eastAsia="宋体"/>
                <w:color w:val="auto"/>
                <w:lang w:val="en-US" w:eastAsia="zh-CN"/>
              </w:rPr>
            </w:pPr>
            <w:r>
              <w:rPr>
                <w:rFonts w:hint="eastAsia"/>
                <w:color w:val="auto"/>
                <w:lang w:val="en-US" w:eastAsia="zh-CN"/>
              </w:rPr>
              <w:t>4.92</w:t>
            </w:r>
          </w:p>
        </w:tc>
        <w:tc>
          <w:tcPr>
            <w:tcW w:w="825" w:type="dxa"/>
            <w:vMerge w:val="continue"/>
            <w:vAlign w:val="center"/>
          </w:tcPr>
          <w:p>
            <w:pPr>
              <w:jc w:val="center"/>
              <w:rPr>
                <w:color w:val="auto"/>
              </w:rPr>
            </w:pPr>
          </w:p>
        </w:tc>
        <w:tc>
          <w:tcPr>
            <w:tcW w:w="960" w:type="dxa"/>
            <w:vMerge w:val="continue"/>
            <w:vAlign w:val="center"/>
          </w:tcPr>
          <w:p>
            <w:pPr>
              <w:jc w:val="center"/>
              <w:rPr>
                <w:color w:val="auto"/>
              </w:rPr>
            </w:pPr>
          </w:p>
        </w:tc>
        <w:tc>
          <w:tcPr>
            <w:tcW w:w="1281" w:type="dxa"/>
            <w:vAlign w:val="center"/>
          </w:tcPr>
          <w:p>
            <w:pPr>
              <w:jc w:val="center"/>
              <w:rPr>
                <w:color w:val="auto"/>
              </w:rPr>
            </w:pPr>
            <w:r>
              <w:rPr>
                <w:rFonts w:hint="eastAsia" w:ascii="宋体" w:hAnsi="宋体" w:cs="宋体"/>
                <w:color w:val="auto"/>
              </w:rPr>
              <w:t>密闭收集+</w:t>
            </w:r>
            <w:r>
              <w:rPr>
                <w:rFonts w:ascii="宋体" w:hAnsi="宋体" w:cs="宋体"/>
                <w:color w:val="auto"/>
              </w:rPr>
              <w:t>脉冲布筒除尘器</w:t>
            </w:r>
            <w:r>
              <w:rPr>
                <w:rFonts w:hint="eastAsia" w:ascii="宋体" w:hAnsi="宋体" w:cs="宋体"/>
                <w:color w:val="auto"/>
              </w:rPr>
              <w:t>或</w:t>
            </w:r>
            <w:r>
              <w:rPr>
                <w:rFonts w:ascii="宋体" w:hAnsi="宋体" w:cs="宋体"/>
                <w:color w:val="auto"/>
              </w:rPr>
              <w:t>单筒无动力除尘器</w:t>
            </w:r>
          </w:p>
        </w:tc>
        <w:tc>
          <w:tcPr>
            <w:tcW w:w="555" w:type="dxa"/>
            <w:vAlign w:val="center"/>
          </w:tcPr>
          <w:p>
            <w:pPr>
              <w:jc w:val="center"/>
              <w:rPr>
                <w:color w:val="auto"/>
              </w:rPr>
            </w:pPr>
            <w:r>
              <w:rPr>
                <w:color w:val="auto"/>
              </w:rPr>
              <w:t>100</w:t>
            </w:r>
          </w:p>
        </w:tc>
        <w:tc>
          <w:tcPr>
            <w:tcW w:w="510" w:type="dxa"/>
            <w:vAlign w:val="center"/>
          </w:tcPr>
          <w:p>
            <w:pPr>
              <w:jc w:val="center"/>
              <w:rPr>
                <w:color w:val="auto"/>
              </w:rPr>
            </w:pPr>
            <w:r>
              <w:rPr>
                <w:rFonts w:hint="eastAsia"/>
                <w:color w:val="auto"/>
              </w:rPr>
              <w:t>99</w:t>
            </w:r>
          </w:p>
        </w:tc>
        <w:tc>
          <w:tcPr>
            <w:tcW w:w="840" w:type="dxa"/>
            <w:vMerge w:val="continue"/>
            <w:vAlign w:val="center"/>
          </w:tcPr>
          <w:p>
            <w:pPr>
              <w:jc w:val="center"/>
              <w:rPr>
                <w:color w:val="auto"/>
              </w:rPr>
            </w:pPr>
          </w:p>
        </w:tc>
        <w:tc>
          <w:tcPr>
            <w:tcW w:w="795" w:type="dxa"/>
            <w:vMerge w:val="continue"/>
            <w:vAlign w:val="center"/>
          </w:tcPr>
          <w:p>
            <w:pPr>
              <w:jc w:val="center"/>
              <w:rPr>
                <w:color w:val="auto"/>
              </w:rPr>
            </w:pPr>
          </w:p>
        </w:tc>
        <w:tc>
          <w:tcPr>
            <w:tcW w:w="855" w:type="dxa"/>
            <w:vMerge w:val="continue"/>
            <w:vAlign w:val="center"/>
          </w:tcPr>
          <w:p>
            <w:pPr>
              <w:jc w:val="center"/>
              <w:rPr>
                <w:color w:val="auto"/>
              </w:rPr>
            </w:pPr>
          </w:p>
        </w:tc>
        <w:tc>
          <w:tcPr>
            <w:tcW w:w="854" w:type="dxa"/>
            <w:vMerge w:val="continue"/>
            <w:vAlign w:val="center"/>
          </w:tcPr>
          <w:p>
            <w:pPr>
              <w:jc w:val="center"/>
            </w:pPr>
          </w:p>
        </w:tc>
        <w:tc>
          <w:tcPr>
            <w:tcW w:w="555" w:type="dxa"/>
            <w:vMerge w:val="continue"/>
            <w:vAlign w:val="center"/>
          </w:tcPr>
          <w:p>
            <w:pPr>
              <w:jc w:val="center"/>
            </w:pPr>
          </w:p>
        </w:tc>
        <w:tc>
          <w:tcPr>
            <w:tcW w:w="570" w:type="dxa"/>
            <w:vMerge w:val="continue"/>
            <w:vAlign w:val="center"/>
          </w:tcPr>
          <w:p>
            <w:pPr>
              <w:jc w:val="center"/>
              <w:rPr>
                <w:color w:val="auto"/>
              </w:rPr>
            </w:pPr>
          </w:p>
        </w:tc>
        <w:tc>
          <w:tcPr>
            <w:tcW w:w="570" w:type="dxa"/>
            <w:vMerge w:val="continue"/>
            <w:vAlign w:val="center"/>
          </w:tcPr>
          <w:p>
            <w:pPr>
              <w:jc w:val="center"/>
            </w:pPr>
          </w:p>
        </w:tc>
        <w:tc>
          <w:tcPr>
            <w:tcW w:w="350"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565" w:type="dxa"/>
            <w:vMerge w:val="restart"/>
            <w:vAlign w:val="center"/>
          </w:tcPr>
          <w:p>
            <w:pPr>
              <w:jc w:val="center"/>
            </w:pPr>
            <w:r>
              <w:t>DA002</w:t>
            </w:r>
          </w:p>
        </w:tc>
        <w:tc>
          <w:tcPr>
            <w:tcW w:w="607" w:type="dxa"/>
            <w:vMerge w:val="restart"/>
            <w:vAlign w:val="center"/>
          </w:tcPr>
          <w:p>
            <w:pPr>
              <w:jc w:val="center"/>
            </w:pPr>
            <w:r>
              <w:rPr>
                <w:rFonts w:hint="eastAsia"/>
              </w:rPr>
              <w:t>25000</w:t>
            </w:r>
          </w:p>
        </w:tc>
        <w:tc>
          <w:tcPr>
            <w:tcW w:w="480" w:type="dxa"/>
            <w:vMerge w:val="restart"/>
            <w:vAlign w:val="center"/>
          </w:tcPr>
          <w:p>
            <w:pPr>
              <w:jc w:val="center"/>
            </w:pPr>
            <w:r>
              <w:rPr>
                <w:rFonts w:hint="eastAsia"/>
                <w:lang w:eastAsia="zh-CN"/>
              </w:rPr>
              <w:t>反刍饲料</w:t>
            </w:r>
            <w:r>
              <w:rPr>
                <w:rFonts w:hint="eastAsia"/>
              </w:rPr>
              <w:t>生产线</w:t>
            </w:r>
          </w:p>
        </w:tc>
        <w:tc>
          <w:tcPr>
            <w:tcW w:w="714" w:type="dxa"/>
            <w:vAlign w:val="center"/>
          </w:tcPr>
          <w:p>
            <w:pPr>
              <w:jc w:val="center"/>
            </w:pPr>
            <w:r>
              <w:rPr>
                <w:rFonts w:hint="eastAsia"/>
              </w:rPr>
              <w:t>投料</w:t>
            </w:r>
          </w:p>
        </w:tc>
        <w:tc>
          <w:tcPr>
            <w:tcW w:w="675" w:type="dxa"/>
            <w:vAlign w:val="center"/>
          </w:tcPr>
          <w:p>
            <w:pPr>
              <w:jc w:val="center"/>
            </w:pPr>
            <w:r>
              <w:rPr>
                <w:rFonts w:hint="eastAsia"/>
              </w:rPr>
              <w:t>颗粒物</w:t>
            </w:r>
          </w:p>
        </w:tc>
        <w:tc>
          <w:tcPr>
            <w:tcW w:w="795" w:type="dxa"/>
            <w:vAlign w:val="center"/>
          </w:tcPr>
          <w:p>
            <w:pPr>
              <w:jc w:val="center"/>
              <w:rPr>
                <w:rFonts w:hint="default" w:eastAsia="宋体"/>
                <w:color w:val="auto"/>
                <w:lang w:val="en-US" w:eastAsia="zh-CN"/>
              </w:rPr>
            </w:pPr>
            <w:r>
              <w:rPr>
                <w:rFonts w:hint="eastAsia"/>
                <w:color w:val="auto"/>
                <w:lang w:val="en-US" w:eastAsia="zh-CN"/>
              </w:rPr>
              <w:t>1.59</w:t>
            </w:r>
          </w:p>
        </w:tc>
        <w:tc>
          <w:tcPr>
            <w:tcW w:w="825" w:type="dxa"/>
            <w:vMerge w:val="restart"/>
            <w:vAlign w:val="center"/>
          </w:tcPr>
          <w:p>
            <w:pPr>
              <w:jc w:val="center"/>
              <w:rPr>
                <w:rFonts w:hint="default" w:eastAsia="宋体"/>
                <w:color w:val="auto"/>
                <w:lang w:val="en-US" w:eastAsia="zh-CN"/>
              </w:rPr>
            </w:pPr>
            <w:r>
              <w:rPr>
                <w:rFonts w:hint="eastAsia"/>
                <w:color w:val="auto"/>
                <w:lang w:val="en-US" w:eastAsia="zh-CN"/>
              </w:rPr>
              <w:t>1.3900</w:t>
            </w:r>
          </w:p>
        </w:tc>
        <w:tc>
          <w:tcPr>
            <w:tcW w:w="960" w:type="dxa"/>
            <w:vMerge w:val="restart"/>
            <w:vAlign w:val="center"/>
          </w:tcPr>
          <w:p>
            <w:pPr>
              <w:jc w:val="center"/>
              <w:rPr>
                <w:rFonts w:hint="default" w:eastAsia="宋体"/>
                <w:color w:val="auto"/>
                <w:lang w:val="en-US" w:eastAsia="zh-CN"/>
              </w:rPr>
            </w:pPr>
            <w:r>
              <w:rPr>
                <w:rFonts w:hint="eastAsia"/>
                <w:color w:val="auto"/>
                <w:lang w:val="en-US" w:eastAsia="zh-CN"/>
              </w:rPr>
              <w:t>55.60</w:t>
            </w:r>
          </w:p>
        </w:tc>
        <w:tc>
          <w:tcPr>
            <w:tcW w:w="1281" w:type="dxa"/>
            <w:vAlign w:val="center"/>
          </w:tcPr>
          <w:p>
            <w:pPr>
              <w:jc w:val="center"/>
              <w:rPr>
                <w:color w:val="auto"/>
              </w:rPr>
            </w:pPr>
            <w:r>
              <w:rPr>
                <w:rFonts w:hint="eastAsia" w:ascii="宋体" w:hAnsi="宋体" w:cs="宋体"/>
                <w:color w:val="auto"/>
              </w:rPr>
              <w:t>负压收集+</w:t>
            </w:r>
            <w:r>
              <w:rPr>
                <w:rFonts w:ascii="宋体" w:hAnsi="宋体" w:cs="宋体"/>
                <w:color w:val="auto"/>
              </w:rPr>
              <w:t>脉冲布筒除尘器</w:t>
            </w:r>
          </w:p>
        </w:tc>
        <w:tc>
          <w:tcPr>
            <w:tcW w:w="555" w:type="dxa"/>
            <w:vAlign w:val="center"/>
          </w:tcPr>
          <w:p>
            <w:pPr>
              <w:jc w:val="center"/>
              <w:rPr>
                <w:color w:val="auto"/>
              </w:rPr>
            </w:pPr>
            <w:r>
              <w:rPr>
                <w:color w:val="auto"/>
              </w:rPr>
              <w:t>9</w:t>
            </w:r>
            <w:r>
              <w:rPr>
                <w:rFonts w:hint="eastAsia"/>
                <w:color w:val="auto"/>
              </w:rPr>
              <w:t>0</w:t>
            </w:r>
          </w:p>
        </w:tc>
        <w:tc>
          <w:tcPr>
            <w:tcW w:w="510" w:type="dxa"/>
            <w:vAlign w:val="center"/>
          </w:tcPr>
          <w:p>
            <w:pPr>
              <w:jc w:val="center"/>
              <w:rPr>
                <w:color w:val="auto"/>
              </w:rPr>
            </w:pPr>
            <w:r>
              <w:rPr>
                <w:rFonts w:hint="eastAsia"/>
                <w:color w:val="auto"/>
              </w:rPr>
              <w:t>99</w:t>
            </w:r>
          </w:p>
        </w:tc>
        <w:tc>
          <w:tcPr>
            <w:tcW w:w="840" w:type="dxa"/>
            <w:vMerge w:val="restart"/>
            <w:vAlign w:val="center"/>
          </w:tcPr>
          <w:p>
            <w:pPr>
              <w:jc w:val="center"/>
              <w:rPr>
                <w:rFonts w:hint="default" w:eastAsia="宋体"/>
                <w:color w:val="auto"/>
                <w:lang w:val="en-US" w:eastAsia="zh-CN"/>
              </w:rPr>
            </w:pPr>
            <w:r>
              <w:rPr>
                <w:rFonts w:hint="eastAsia"/>
                <w:color w:val="auto"/>
              </w:rPr>
              <w:t>0.0</w:t>
            </w:r>
            <w:r>
              <w:rPr>
                <w:rFonts w:hint="eastAsia"/>
                <w:color w:val="auto"/>
                <w:lang w:val="en-US" w:eastAsia="zh-CN"/>
              </w:rPr>
              <w:t>42</w:t>
            </w:r>
          </w:p>
        </w:tc>
        <w:tc>
          <w:tcPr>
            <w:tcW w:w="795" w:type="dxa"/>
            <w:vMerge w:val="restart"/>
            <w:vAlign w:val="center"/>
          </w:tcPr>
          <w:p>
            <w:pPr>
              <w:jc w:val="center"/>
              <w:rPr>
                <w:rFonts w:hint="default" w:eastAsia="宋体"/>
                <w:color w:val="auto"/>
                <w:lang w:val="en-US" w:eastAsia="zh-CN"/>
              </w:rPr>
            </w:pPr>
            <w:r>
              <w:rPr>
                <w:rFonts w:hint="eastAsia"/>
                <w:color w:val="auto"/>
                <w:lang w:val="en-US" w:eastAsia="zh-CN"/>
              </w:rPr>
              <w:t>0.0140</w:t>
            </w:r>
          </w:p>
        </w:tc>
        <w:tc>
          <w:tcPr>
            <w:tcW w:w="855" w:type="dxa"/>
            <w:vMerge w:val="restart"/>
            <w:vAlign w:val="center"/>
          </w:tcPr>
          <w:p>
            <w:pPr>
              <w:jc w:val="center"/>
              <w:rPr>
                <w:rFonts w:hint="default" w:eastAsia="宋体"/>
                <w:color w:val="auto"/>
                <w:lang w:val="en-US" w:eastAsia="zh-CN"/>
              </w:rPr>
            </w:pPr>
            <w:r>
              <w:rPr>
                <w:rFonts w:hint="eastAsia"/>
                <w:color w:val="auto"/>
                <w:lang w:val="en-US" w:eastAsia="zh-CN"/>
              </w:rPr>
              <w:t>0.56</w:t>
            </w:r>
          </w:p>
        </w:tc>
        <w:tc>
          <w:tcPr>
            <w:tcW w:w="854" w:type="dxa"/>
            <w:vMerge w:val="restart"/>
            <w:vAlign w:val="center"/>
          </w:tcPr>
          <w:p>
            <w:pPr>
              <w:jc w:val="center"/>
            </w:pPr>
            <w:r>
              <w:rPr>
                <w:rFonts w:hint="eastAsia"/>
              </w:rPr>
              <w:t>30</w:t>
            </w:r>
          </w:p>
        </w:tc>
        <w:tc>
          <w:tcPr>
            <w:tcW w:w="555" w:type="dxa"/>
            <w:vMerge w:val="restart"/>
            <w:vAlign w:val="center"/>
          </w:tcPr>
          <w:p>
            <w:pPr>
              <w:jc w:val="center"/>
            </w:pPr>
            <w:r>
              <w:rPr>
                <w:rFonts w:hint="eastAsia"/>
              </w:rPr>
              <w:t>35</w:t>
            </w:r>
          </w:p>
        </w:tc>
        <w:tc>
          <w:tcPr>
            <w:tcW w:w="570" w:type="dxa"/>
            <w:vMerge w:val="restart"/>
            <w:vAlign w:val="center"/>
          </w:tcPr>
          <w:p>
            <w:pPr>
              <w:jc w:val="center"/>
              <w:rPr>
                <w:color w:val="auto"/>
              </w:rPr>
            </w:pPr>
            <w:r>
              <w:rPr>
                <w:rFonts w:hint="eastAsia"/>
                <w:color w:val="auto"/>
              </w:rPr>
              <w:t>0.8</w:t>
            </w:r>
          </w:p>
        </w:tc>
        <w:tc>
          <w:tcPr>
            <w:tcW w:w="570" w:type="dxa"/>
            <w:vMerge w:val="restart"/>
            <w:vAlign w:val="center"/>
          </w:tcPr>
          <w:p>
            <w:pPr>
              <w:jc w:val="center"/>
            </w:pPr>
            <w:r>
              <w:rPr>
                <w:rFonts w:hint="eastAsia"/>
              </w:rPr>
              <w:t>25</w:t>
            </w:r>
          </w:p>
        </w:tc>
        <w:tc>
          <w:tcPr>
            <w:tcW w:w="350" w:type="dxa"/>
            <w:vMerge w:val="restart"/>
            <w:vAlign w:val="center"/>
          </w:tcPr>
          <w:p>
            <w: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trPr>
        <w:tc>
          <w:tcPr>
            <w:tcW w:w="565" w:type="dxa"/>
            <w:vMerge w:val="continue"/>
            <w:vAlign w:val="center"/>
          </w:tcPr>
          <w:p>
            <w:pPr>
              <w:jc w:val="center"/>
            </w:pPr>
          </w:p>
        </w:tc>
        <w:tc>
          <w:tcPr>
            <w:tcW w:w="607" w:type="dxa"/>
            <w:vMerge w:val="continue"/>
            <w:vAlign w:val="center"/>
          </w:tcPr>
          <w:p>
            <w:pPr>
              <w:jc w:val="center"/>
            </w:pPr>
          </w:p>
        </w:tc>
        <w:tc>
          <w:tcPr>
            <w:tcW w:w="480" w:type="dxa"/>
            <w:vMerge w:val="continue"/>
            <w:vAlign w:val="center"/>
          </w:tcPr>
          <w:p>
            <w:pPr>
              <w:jc w:val="center"/>
            </w:pPr>
          </w:p>
        </w:tc>
        <w:tc>
          <w:tcPr>
            <w:tcW w:w="714" w:type="dxa"/>
            <w:vAlign w:val="center"/>
          </w:tcPr>
          <w:p>
            <w:pPr>
              <w:jc w:val="center"/>
            </w:pPr>
            <w:r>
              <w:rPr>
                <w:rFonts w:hint="eastAsia"/>
              </w:rPr>
              <w:t>生产工艺粉尘</w:t>
            </w:r>
          </w:p>
        </w:tc>
        <w:tc>
          <w:tcPr>
            <w:tcW w:w="675" w:type="dxa"/>
            <w:vAlign w:val="center"/>
          </w:tcPr>
          <w:p>
            <w:pPr>
              <w:jc w:val="center"/>
            </w:pPr>
            <w:r>
              <w:rPr>
                <w:rFonts w:hint="eastAsia"/>
              </w:rPr>
              <w:t>颗粒物</w:t>
            </w:r>
          </w:p>
        </w:tc>
        <w:tc>
          <w:tcPr>
            <w:tcW w:w="795" w:type="dxa"/>
            <w:vAlign w:val="center"/>
          </w:tcPr>
          <w:p>
            <w:pPr>
              <w:jc w:val="center"/>
              <w:rPr>
                <w:rFonts w:hint="default" w:eastAsia="宋体"/>
                <w:color w:val="auto"/>
                <w:lang w:val="en-US" w:eastAsia="zh-CN"/>
              </w:rPr>
            </w:pPr>
            <w:r>
              <w:rPr>
                <w:rFonts w:hint="eastAsia"/>
                <w:color w:val="auto"/>
                <w:lang w:val="en-US" w:eastAsia="zh-CN"/>
              </w:rPr>
              <w:t>2.58</w:t>
            </w:r>
          </w:p>
        </w:tc>
        <w:tc>
          <w:tcPr>
            <w:tcW w:w="825" w:type="dxa"/>
            <w:vMerge w:val="continue"/>
            <w:vAlign w:val="center"/>
          </w:tcPr>
          <w:p>
            <w:pPr>
              <w:jc w:val="center"/>
              <w:rPr>
                <w:color w:val="auto"/>
              </w:rPr>
            </w:pPr>
          </w:p>
        </w:tc>
        <w:tc>
          <w:tcPr>
            <w:tcW w:w="960" w:type="dxa"/>
            <w:vMerge w:val="continue"/>
            <w:vAlign w:val="center"/>
          </w:tcPr>
          <w:p>
            <w:pPr>
              <w:jc w:val="center"/>
              <w:rPr>
                <w:color w:val="auto"/>
              </w:rPr>
            </w:pPr>
          </w:p>
        </w:tc>
        <w:tc>
          <w:tcPr>
            <w:tcW w:w="1281" w:type="dxa"/>
            <w:vAlign w:val="center"/>
          </w:tcPr>
          <w:p>
            <w:pPr>
              <w:jc w:val="center"/>
              <w:rPr>
                <w:color w:val="auto"/>
              </w:rPr>
            </w:pPr>
            <w:r>
              <w:rPr>
                <w:rFonts w:hint="eastAsia" w:ascii="宋体" w:hAnsi="宋体" w:cs="宋体"/>
                <w:color w:val="auto"/>
              </w:rPr>
              <w:t>密闭收集+</w:t>
            </w:r>
            <w:r>
              <w:rPr>
                <w:rFonts w:ascii="宋体" w:hAnsi="宋体" w:cs="宋体"/>
                <w:color w:val="auto"/>
              </w:rPr>
              <w:t>脉冲布筒除尘器</w:t>
            </w:r>
            <w:r>
              <w:rPr>
                <w:rFonts w:hint="eastAsia" w:ascii="宋体" w:hAnsi="宋体" w:cs="宋体"/>
                <w:color w:val="auto"/>
              </w:rPr>
              <w:t>或</w:t>
            </w:r>
            <w:r>
              <w:rPr>
                <w:rFonts w:ascii="宋体" w:hAnsi="宋体" w:cs="宋体"/>
                <w:color w:val="auto"/>
              </w:rPr>
              <w:t>单筒无动力除尘器</w:t>
            </w:r>
          </w:p>
        </w:tc>
        <w:tc>
          <w:tcPr>
            <w:tcW w:w="555" w:type="dxa"/>
            <w:vAlign w:val="center"/>
          </w:tcPr>
          <w:p>
            <w:pPr>
              <w:jc w:val="center"/>
              <w:rPr>
                <w:color w:val="auto"/>
              </w:rPr>
            </w:pPr>
            <w:r>
              <w:rPr>
                <w:color w:val="auto"/>
              </w:rPr>
              <w:t>100</w:t>
            </w:r>
          </w:p>
        </w:tc>
        <w:tc>
          <w:tcPr>
            <w:tcW w:w="510" w:type="dxa"/>
            <w:vAlign w:val="center"/>
          </w:tcPr>
          <w:p>
            <w:pPr>
              <w:jc w:val="center"/>
              <w:rPr>
                <w:color w:val="auto"/>
              </w:rPr>
            </w:pPr>
            <w:r>
              <w:rPr>
                <w:rFonts w:hint="eastAsia"/>
                <w:color w:val="auto"/>
              </w:rPr>
              <w:t>99</w:t>
            </w:r>
          </w:p>
        </w:tc>
        <w:tc>
          <w:tcPr>
            <w:tcW w:w="840" w:type="dxa"/>
            <w:vMerge w:val="continue"/>
            <w:vAlign w:val="center"/>
          </w:tcPr>
          <w:p>
            <w:pPr>
              <w:jc w:val="center"/>
              <w:rPr>
                <w:color w:val="auto"/>
              </w:rPr>
            </w:pPr>
          </w:p>
        </w:tc>
        <w:tc>
          <w:tcPr>
            <w:tcW w:w="795" w:type="dxa"/>
            <w:vMerge w:val="continue"/>
            <w:vAlign w:val="center"/>
          </w:tcPr>
          <w:p>
            <w:pPr>
              <w:jc w:val="center"/>
              <w:rPr>
                <w:color w:val="auto"/>
              </w:rPr>
            </w:pPr>
          </w:p>
        </w:tc>
        <w:tc>
          <w:tcPr>
            <w:tcW w:w="855" w:type="dxa"/>
            <w:vMerge w:val="continue"/>
            <w:vAlign w:val="center"/>
          </w:tcPr>
          <w:p>
            <w:pPr>
              <w:jc w:val="center"/>
              <w:rPr>
                <w:color w:val="auto"/>
              </w:rPr>
            </w:pPr>
          </w:p>
        </w:tc>
        <w:tc>
          <w:tcPr>
            <w:tcW w:w="854" w:type="dxa"/>
            <w:vMerge w:val="continue"/>
            <w:vAlign w:val="center"/>
          </w:tcPr>
          <w:p>
            <w:pPr>
              <w:jc w:val="center"/>
            </w:pPr>
          </w:p>
        </w:tc>
        <w:tc>
          <w:tcPr>
            <w:tcW w:w="555" w:type="dxa"/>
            <w:vMerge w:val="continue"/>
            <w:vAlign w:val="center"/>
          </w:tcPr>
          <w:p>
            <w:pPr>
              <w:jc w:val="center"/>
            </w:pPr>
          </w:p>
        </w:tc>
        <w:tc>
          <w:tcPr>
            <w:tcW w:w="570" w:type="dxa"/>
            <w:vMerge w:val="continue"/>
            <w:vAlign w:val="center"/>
          </w:tcPr>
          <w:p>
            <w:pPr>
              <w:jc w:val="center"/>
            </w:pPr>
          </w:p>
        </w:tc>
        <w:tc>
          <w:tcPr>
            <w:tcW w:w="570" w:type="dxa"/>
            <w:vMerge w:val="continue"/>
            <w:vAlign w:val="center"/>
          </w:tcPr>
          <w:p>
            <w:pPr>
              <w:jc w:val="center"/>
            </w:pPr>
          </w:p>
        </w:tc>
        <w:tc>
          <w:tcPr>
            <w:tcW w:w="350"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565" w:type="dxa"/>
            <w:vMerge w:val="restart"/>
            <w:vAlign w:val="center"/>
          </w:tcPr>
          <w:p>
            <w:pPr>
              <w:jc w:val="center"/>
            </w:pPr>
            <w:r>
              <w:t>DA00</w:t>
            </w:r>
            <w:r>
              <w:rPr>
                <w:rFonts w:hint="eastAsia"/>
              </w:rPr>
              <w:t>3</w:t>
            </w:r>
          </w:p>
        </w:tc>
        <w:tc>
          <w:tcPr>
            <w:tcW w:w="607" w:type="dxa"/>
            <w:vMerge w:val="restart"/>
            <w:vAlign w:val="center"/>
          </w:tcPr>
          <w:p>
            <w:pPr>
              <w:jc w:val="center"/>
            </w:pPr>
            <w:r>
              <w:rPr>
                <w:rFonts w:hint="eastAsia"/>
              </w:rPr>
              <w:t>1724</w:t>
            </w:r>
          </w:p>
        </w:tc>
        <w:tc>
          <w:tcPr>
            <w:tcW w:w="480" w:type="dxa"/>
            <w:vMerge w:val="restart"/>
            <w:vAlign w:val="center"/>
          </w:tcPr>
          <w:p>
            <w:pPr>
              <w:jc w:val="center"/>
            </w:pPr>
            <w:r>
              <w:rPr>
                <w:rFonts w:hint="eastAsia"/>
              </w:rPr>
              <w:t>燃气锅炉</w:t>
            </w:r>
          </w:p>
        </w:tc>
        <w:tc>
          <w:tcPr>
            <w:tcW w:w="714" w:type="dxa"/>
            <w:vMerge w:val="restart"/>
            <w:vAlign w:val="center"/>
          </w:tcPr>
          <w:p>
            <w:pPr>
              <w:jc w:val="center"/>
            </w:pPr>
            <w:r>
              <w:rPr>
                <w:rFonts w:hint="eastAsia"/>
              </w:rPr>
              <w:t>天然气燃烧</w:t>
            </w:r>
          </w:p>
        </w:tc>
        <w:tc>
          <w:tcPr>
            <w:tcW w:w="675" w:type="dxa"/>
            <w:vAlign w:val="center"/>
          </w:tcPr>
          <w:p>
            <w:pPr>
              <w:jc w:val="center"/>
              <w:rPr>
                <w:color w:val="auto"/>
              </w:rPr>
            </w:pPr>
            <w:r>
              <w:rPr>
                <w:rFonts w:hint="eastAsia"/>
                <w:color w:val="auto"/>
              </w:rPr>
              <w:t>颗粒物</w:t>
            </w:r>
          </w:p>
        </w:tc>
        <w:tc>
          <w:tcPr>
            <w:tcW w:w="795" w:type="dxa"/>
            <w:vAlign w:val="center"/>
          </w:tcPr>
          <w:p>
            <w:pPr>
              <w:jc w:val="center"/>
              <w:rPr>
                <w:rFonts w:hint="default" w:eastAsia="宋体"/>
                <w:color w:val="auto"/>
                <w:lang w:val="en-US" w:eastAsia="zh-CN"/>
              </w:rPr>
            </w:pPr>
            <w:r>
              <w:rPr>
                <w:rFonts w:hint="eastAsia"/>
                <w:color w:val="auto"/>
              </w:rPr>
              <w:t>0.0</w:t>
            </w:r>
            <w:r>
              <w:rPr>
                <w:rFonts w:hint="eastAsia"/>
                <w:color w:val="auto"/>
                <w:lang w:val="en-US" w:eastAsia="zh-CN"/>
              </w:rPr>
              <w:t>47</w:t>
            </w:r>
          </w:p>
        </w:tc>
        <w:tc>
          <w:tcPr>
            <w:tcW w:w="825" w:type="dxa"/>
            <w:vAlign w:val="center"/>
          </w:tcPr>
          <w:p>
            <w:pPr>
              <w:jc w:val="center"/>
              <w:rPr>
                <w:rFonts w:hint="default" w:eastAsia="宋体"/>
                <w:color w:val="auto"/>
                <w:lang w:val="en-US" w:eastAsia="zh-CN"/>
              </w:rPr>
            </w:pPr>
            <w:r>
              <w:rPr>
                <w:rFonts w:hint="eastAsia"/>
                <w:color w:val="auto"/>
                <w:lang w:val="en-US" w:eastAsia="zh-CN"/>
              </w:rPr>
              <w:t>0.0224</w:t>
            </w:r>
          </w:p>
        </w:tc>
        <w:tc>
          <w:tcPr>
            <w:tcW w:w="960" w:type="dxa"/>
            <w:vAlign w:val="center"/>
          </w:tcPr>
          <w:p>
            <w:pPr>
              <w:jc w:val="center"/>
              <w:rPr>
                <w:rFonts w:hint="eastAsia" w:eastAsia="宋体"/>
                <w:color w:val="auto"/>
                <w:lang w:eastAsia="zh-CN"/>
              </w:rPr>
            </w:pPr>
            <w:r>
              <w:rPr>
                <w:rFonts w:hint="eastAsia"/>
                <w:color w:val="auto"/>
                <w:lang w:eastAsia="zh-CN"/>
              </w:rPr>
              <w:t>12.99</w:t>
            </w:r>
          </w:p>
        </w:tc>
        <w:tc>
          <w:tcPr>
            <w:tcW w:w="1281" w:type="dxa"/>
            <w:vMerge w:val="restart"/>
            <w:vAlign w:val="center"/>
          </w:tcPr>
          <w:p>
            <w:pPr>
              <w:jc w:val="center"/>
              <w:rPr>
                <w:color w:val="auto"/>
              </w:rPr>
            </w:pPr>
            <w:r>
              <w:rPr>
                <w:rFonts w:hint="eastAsia"/>
                <w:color w:val="auto"/>
              </w:rPr>
              <w:t>低氮燃烧器+8m高排气筒</w:t>
            </w:r>
          </w:p>
        </w:tc>
        <w:tc>
          <w:tcPr>
            <w:tcW w:w="555" w:type="dxa"/>
            <w:vMerge w:val="restart"/>
            <w:vAlign w:val="center"/>
          </w:tcPr>
          <w:p>
            <w:pPr>
              <w:jc w:val="center"/>
              <w:rPr>
                <w:color w:val="auto"/>
              </w:rPr>
            </w:pPr>
            <w:r>
              <w:rPr>
                <w:rFonts w:hint="eastAsia"/>
                <w:color w:val="auto"/>
              </w:rPr>
              <w:t>/</w:t>
            </w:r>
          </w:p>
        </w:tc>
        <w:tc>
          <w:tcPr>
            <w:tcW w:w="510" w:type="dxa"/>
            <w:vMerge w:val="restart"/>
            <w:vAlign w:val="center"/>
          </w:tcPr>
          <w:p>
            <w:pPr>
              <w:jc w:val="center"/>
              <w:rPr>
                <w:color w:val="auto"/>
              </w:rPr>
            </w:pPr>
            <w:r>
              <w:rPr>
                <w:rFonts w:hint="eastAsia"/>
                <w:color w:val="auto"/>
              </w:rPr>
              <w:t>/</w:t>
            </w:r>
          </w:p>
        </w:tc>
        <w:tc>
          <w:tcPr>
            <w:tcW w:w="840" w:type="dxa"/>
            <w:vAlign w:val="center"/>
          </w:tcPr>
          <w:p>
            <w:pPr>
              <w:jc w:val="center"/>
              <w:rPr>
                <w:rFonts w:hint="default" w:eastAsia="宋体"/>
                <w:color w:val="auto"/>
                <w:lang w:val="en-US" w:eastAsia="zh-CN"/>
              </w:rPr>
            </w:pPr>
            <w:r>
              <w:rPr>
                <w:rFonts w:hint="eastAsia"/>
                <w:color w:val="auto"/>
              </w:rPr>
              <w:t>0.0</w:t>
            </w:r>
            <w:r>
              <w:rPr>
                <w:rFonts w:hint="eastAsia"/>
                <w:color w:val="auto"/>
                <w:lang w:val="en-US" w:eastAsia="zh-CN"/>
              </w:rPr>
              <w:t>47</w:t>
            </w:r>
          </w:p>
        </w:tc>
        <w:tc>
          <w:tcPr>
            <w:tcW w:w="795" w:type="dxa"/>
            <w:vAlign w:val="center"/>
          </w:tcPr>
          <w:p>
            <w:pPr>
              <w:jc w:val="center"/>
              <w:rPr>
                <w:rFonts w:hint="eastAsia" w:eastAsia="宋体"/>
                <w:color w:val="auto"/>
                <w:lang w:eastAsia="zh-CN"/>
              </w:rPr>
            </w:pPr>
            <w:r>
              <w:rPr>
                <w:rFonts w:hint="eastAsia"/>
                <w:color w:val="auto"/>
                <w:lang w:eastAsia="zh-CN"/>
              </w:rPr>
              <w:t>0.0224</w:t>
            </w:r>
          </w:p>
        </w:tc>
        <w:tc>
          <w:tcPr>
            <w:tcW w:w="855" w:type="dxa"/>
            <w:vAlign w:val="center"/>
          </w:tcPr>
          <w:p>
            <w:pPr>
              <w:jc w:val="center"/>
              <w:rPr>
                <w:rFonts w:hint="eastAsia" w:eastAsia="宋体"/>
                <w:color w:val="auto"/>
                <w:lang w:eastAsia="zh-CN"/>
              </w:rPr>
            </w:pPr>
            <w:r>
              <w:rPr>
                <w:rFonts w:hint="eastAsia"/>
                <w:color w:val="auto"/>
                <w:lang w:eastAsia="zh-CN"/>
              </w:rPr>
              <w:t>12.99</w:t>
            </w:r>
          </w:p>
        </w:tc>
        <w:tc>
          <w:tcPr>
            <w:tcW w:w="854" w:type="dxa"/>
            <w:vAlign w:val="center"/>
          </w:tcPr>
          <w:p>
            <w:pPr>
              <w:pStyle w:val="2"/>
              <w:spacing w:line="276" w:lineRule="auto"/>
              <w:ind w:left="0" w:leftChars="0"/>
              <w:jc w:val="center"/>
              <w:rPr>
                <w:sz w:val="21"/>
                <w:szCs w:val="21"/>
              </w:rPr>
            </w:pPr>
            <w:r>
              <w:rPr>
                <w:rFonts w:hint="eastAsia"/>
                <w:sz w:val="21"/>
                <w:szCs w:val="21"/>
              </w:rPr>
              <w:t>20</w:t>
            </w:r>
          </w:p>
        </w:tc>
        <w:tc>
          <w:tcPr>
            <w:tcW w:w="555" w:type="dxa"/>
            <w:vMerge w:val="restart"/>
            <w:vAlign w:val="center"/>
          </w:tcPr>
          <w:p>
            <w:pPr>
              <w:jc w:val="center"/>
            </w:pPr>
            <w:r>
              <w:rPr>
                <w:rFonts w:hint="eastAsia"/>
              </w:rPr>
              <w:t>8</w:t>
            </w:r>
          </w:p>
        </w:tc>
        <w:tc>
          <w:tcPr>
            <w:tcW w:w="570" w:type="dxa"/>
            <w:vMerge w:val="restart"/>
            <w:vAlign w:val="center"/>
          </w:tcPr>
          <w:p>
            <w:pPr>
              <w:jc w:val="center"/>
            </w:pPr>
            <w:r>
              <w:rPr>
                <w:rFonts w:hint="eastAsia"/>
                <w:color w:val="auto"/>
              </w:rPr>
              <w:t>0.2</w:t>
            </w:r>
          </w:p>
        </w:tc>
        <w:tc>
          <w:tcPr>
            <w:tcW w:w="570" w:type="dxa"/>
            <w:vMerge w:val="restart"/>
            <w:vAlign w:val="center"/>
          </w:tcPr>
          <w:p>
            <w:pPr>
              <w:jc w:val="center"/>
            </w:pPr>
            <w:r>
              <w:rPr>
                <w:rFonts w:hint="eastAsia"/>
              </w:rPr>
              <w:t>25</w:t>
            </w:r>
          </w:p>
        </w:tc>
        <w:tc>
          <w:tcPr>
            <w:tcW w:w="350" w:type="dxa"/>
            <w:vMerge w:val="restart"/>
            <w:vAlign w:val="center"/>
          </w:tcPr>
          <w:p>
            <w:pPr>
              <w:jc w:val="center"/>
            </w:pPr>
            <w:r>
              <w:rPr>
                <w:rFonts w:hint="eastAsia"/>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565" w:type="dxa"/>
            <w:vMerge w:val="continue"/>
            <w:vAlign w:val="center"/>
          </w:tcPr>
          <w:p>
            <w:pPr>
              <w:jc w:val="center"/>
            </w:pPr>
          </w:p>
        </w:tc>
        <w:tc>
          <w:tcPr>
            <w:tcW w:w="607" w:type="dxa"/>
            <w:vMerge w:val="continue"/>
            <w:vAlign w:val="center"/>
          </w:tcPr>
          <w:p>
            <w:pPr>
              <w:jc w:val="center"/>
            </w:pPr>
          </w:p>
        </w:tc>
        <w:tc>
          <w:tcPr>
            <w:tcW w:w="480" w:type="dxa"/>
            <w:vMerge w:val="continue"/>
            <w:vAlign w:val="center"/>
          </w:tcPr>
          <w:p>
            <w:pPr>
              <w:jc w:val="center"/>
            </w:pPr>
          </w:p>
        </w:tc>
        <w:tc>
          <w:tcPr>
            <w:tcW w:w="714" w:type="dxa"/>
            <w:vMerge w:val="continue"/>
            <w:vAlign w:val="center"/>
          </w:tcPr>
          <w:p>
            <w:pPr>
              <w:jc w:val="center"/>
            </w:pPr>
          </w:p>
        </w:tc>
        <w:tc>
          <w:tcPr>
            <w:tcW w:w="675" w:type="dxa"/>
            <w:vAlign w:val="center"/>
          </w:tcPr>
          <w:p>
            <w:pPr>
              <w:jc w:val="center"/>
              <w:rPr>
                <w:color w:val="auto"/>
              </w:rPr>
            </w:pPr>
            <w:r>
              <w:rPr>
                <w:rFonts w:hint="eastAsia"/>
                <w:color w:val="auto"/>
              </w:rPr>
              <w:t>SO</w:t>
            </w:r>
            <w:r>
              <w:rPr>
                <w:rFonts w:hint="eastAsia"/>
                <w:color w:val="auto"/>
                <w:vertAlign w:val="subscript"/>
              </w:rPr>
              <w:t>2</w:t>
            </w:r>
          </w:p>
        </w:tc>
        <w:tc>
          <w:tcPr>
            <w:tcW w:w="795" w:type="dxa"/>
            <w:vAlign w:val="center"/>
          </w:tcPr>
          <w:p>
            <w:pPr>
              <w:jc w:val="center"/>
              <w:rPr>
                <w:rFonts w:hint="default" w:eastAsia="宋体"/>
                <w:color w:val="auto"/>
                <w:lang w:val="en-US" w:eastAsia="zh-CN"/>
              </w:rPr>
            </w:pPr>
            <w:r>
              <w:rPr>
                <w:rFonts w:hint="eastAsia"/>
                <w:color w:val="auto"/>
              </w:rPr>
              <w:t>0.0</w:t>
            </w:r>
            <w:r>
              <w:rPr>
                <w:rFonts w:hint="eastAsia"/>
                <w:color w:val="auto"/>
                <w:lang w:val="en-US" w:eastAsia="zh-CN"/>
              </w:rPr>
              <w:t>403</w:t>
            </w:r>
          </w:p>
        </w:tc>
        <w:tc>
          <w:tcPr>
            <w:tcW w:w="825" w:type="dxa"/>
            <w:vAlign w:val="center"/>
          </w:tcPr>
          <w:p>
            <w:pPr>
              <w:jc w:val="center"/>
              <w:rPr>
                <w:rFonts w:hint="eastAsia" w:eastAsia="宋体"/>
                <w:color w:val="auto"/>
                <w:lang w:eastAsia="zh-CN"/>
              </w:rPr>
            </w:pPr>
            <w:r>
              <w:rPr>
                <w:rFonts w:hint="eastAsia"/>
                <w:color w:val="auto"/>
                <w:lang w:eastAsia="zh-CN"/>
              </w:rPr>
              <w:t>0.0192</w:t>
            </w:r>
          </w:p>
        </w:tc>
        <w:tc>
          <w:tcPr>
            <w:tcW w:w="960" w:type="dxa"/>
            <w:vAlign w:val="center"/>
          </w:tcPr>
          <w:p>
            <w:pPr>
              <w:jc w:val="center"/>
              <w:rPr>
                <w:rFonts w:hint="eastAsia" w:eastAsia="宋体"/>
                <w:color w:val="auto"/>
                <w:lang w:eastAsia="zh-CN"/>
              </w:rPr>
            </w:pPr>
            <w:r>
              <w:rPr>
                <w:rFonts w:hint="eastAsia"/>
                <w:color w:val="auto"/>
                <w:lang w:eastAsia="zh-CN"/>
              </w:rPr>
              <w:t>11.14</w:t>
            </w:r>
          </w:p>
        </w:tc>
        <w:tc>
          <w:tcPr>
            <w:tcW w:w="1281" w:type="dxa"/>
            <w:vMerge w:val="continue"/>
            <w:vAlign w:val="center"/>
          </w:tcPr>
          <w:p>
            <w:pPr>
              <w:jc w:val="center"/>
            </w:pPr>
          </w:p>
        </w:tc>
        <w:tc>
          <w:tcPr>
            <w:tcW w:w="555" w:type="dxa"/>
            <w:vMerge w:val="continue"/>
            <w:vAlign w:val="center"/>
          </w:tcPr>
          <w:p>
            <w:pPr>
              <w:jc w:val="center"/>
            </w:pPr>
          </w:p>
        </w:tc>
        <w:tc>
          <w:tcPr>
            <w:tcW w:w="510" w:type="dxa"/>
            <w:vMerge w:val="continue"/>
            <w:vAlign w:val="center"/>
          </w:tcPr>
          <w:p>
            <w:pPr>
              <w:jc w:val="center"/>
            </w:pPr>
          </w:p>
        </w:tc>
        <w:tc>
          <w:tcPr>
            <w:tcW w:w="840" w:type="dxa"/>
            <w:vAlign w:val="center"/>
          </w:tcPr>
          <w:p>
            <w:pPr>
              <w:jc w:val="center"/>
              <w:rPr>
                <w:rFonts w:hint="default" w:eastAsia="宋体"/>
                <w:color w:val="auto"/>
                <w:lang w:val="en-US" w:eastAsia="zh-CN"/>
              </w:rPr>
            </w:pPr>
            <w:r>
              <w:rPr>
                <w:rFonts w:hint="eastAsia"/>
                <w:color w:val="auto"/>
              </w:rPr>
              <w:t>0.0</w:t>
            </w:r>
            <w:r>
              <w:rPr>
                <w:rFonts w:hint="eastAsia"/>
                <w:color w:val="auto"/>
                <w:lang w:val="en-US" w:eastAsia="zh-CN"/>
              </w:rPr>
              <w:t>403</w:t>
            </w:r>
          </w:p>
        </w:tc>
        <w:tc>
          <w:tcPr>
            <w:tcW w:w="795" w:type="dxa"/>
            <w:vAlign w:val="center"/>
          </w:tcPr>
          <w:p>
            <w:pPr>
              <w:jc w:val="center"/>
              <w:rPr>
                <w:rFonts w:hint="eastAsia" w:eastAsia="宋体"/>
                <w:color w:val="auto"/>
                <w:lang w:eastAsia="zh-CN"/>
              </w:rPr>
            </w:pPr>
            <w:r>
              <w:rPr>
                <w:rFonts w:hint="eastAsia"/>
                <w:color w:val="auto"/>
                <w:lang w:eastAsia="zh-CN"/>
              </w:rPr>
              <w:t>0.0192</w:t>
            </w:r>
          </w:p>
        </w:tc>
        <w:tc>
          <w:tcPr>
            <w:tcW w:w="855" w:type="dxa"/>
            <w:vAlign w:val="center"/>
          </w:tcPr>
          <w:p>
            <w:pPr>
              <w:jc w:val="center"/>
              <w:rPr>
                <w:rFonts w:hint="eastAsia" w:eastAsia="宋体"/>
                <w:color w:val="auto"/>
                <w:lang w:eastAsia="zh-CN"/>
              </w:rPr>
            </w:pPr>
            <w:r>
              <w:rPr>
                <w:rFonts w:hint="eastAsia"/>
                <w:color w:val="auto"/>
                <w:lang w:eastAsia="zh-CN"/>
              </w:rPr>
              <w:t>11.14</w:t>
            </w:r>
          </w:p>
        </w:tc>
        <w:tc>
          <w:tcPr>
            <w:tcW w:w="854" w:type="dxa"/>
            <w:vAlign w:val="center"/>
          </w:tcPr>
          <w:p>
            <w:pPr>
              <w:pStyle w:val="2"/>
              <w:spacing w:line="276" w:lineRule="auto"/>
              <w:ind w:left="0" w:leftChars="0"/>
              <w:jc w:val="center"/>
              <w:rPr>
                <w:sz w:val="21"/>
                <w:szCs w:val="21"/>
              </w:rPr>
            </w:pPr>
            <w:r>
              <w:rPr>
                <w:rFonts w:hint="eastAsia"/>
                <w:sz w:val="21"/>
                <w:szCs w:val="21"/>
              </w:rPr>
              <w:t>50</w:t>
            </w:r>
          </w:p>
        </w:tc>
        <w:tc>
          <w:tcPr>
            <w:tcW w:w="555" w:type="dxa"/>
            <w:vMerge w:val="continue"/>
            <w:vAlign w:val="center"/>
          </w:tcPr>
          <w:p>
            <w:pPr>
              <w:jc w:val="center"/>
            </w:pPr>
          </w:p>
        </w:tc>
        <w:tc>
          <w:tcPr>
            <w:tcW w:w="570" w:type="dxa"/>
            <w:vMerge w:val="continue"/>
            <w:vAlign w:val="center"/>
          </w:tcPr>
          <w:p>
            <w:pPr>
              <w:jc w:val="center"/>
            </w:pPr>
          </w:p>
        </w:tc>
        <w:tc>
          <w:tcPr>
            <w:tcW w:w="570" w:type="dxa"/>
            <w:vMerge w:val="continue"/>
            <w:vAlign w:val="center"/>
          </w:tcPr>
          <w:p>
            <w:pPr>
              <w:jc w:val="center"/>
            </w:pPr>
          </w:p>
        </w:tc>
        <w:tc>
          <w:tcPr>
            <w:tcW w:w="350"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565" w:type="dxa"/>
            <w:vMerge w:val="continue"/>
            <w:vAlign w:val="center"/>
          </w:tcPr>
          <w:p>
            <w:pPr>
              <w:jc w:val="center"/>
            </w:pPr>
          </w:p>
        </w:tc>
        <w:tc>
          <w:tcPr>
            <w:tcW w:w="607" w:type="dxa"/>
            <w:vMerge w:val="continue"/>
            <w:vAlign w:val="center"/>
          </w:tcPr>
          <w:p>
            <w:pPr>
              <w:jc w:val="center"/>
            </w:pPr>
          </w:p>
        </w:tc>
        <w:tc>
          <w:tcPr>
            <w:tcW w:w="480" w:type="dxa"/>
            <w:vMerge w:val="continue"/>
            <w:vAlign w:val="center"/>
          </w:tcPr>
          <w:p>
            <w:pPr>
              <w:jc w:val="center"/>
            </w:pPr>
          </w:p>
        </w:tc>
        <w:tc>
          <w:tcPr>
            <w:tcW w:w="714" w:type="dxa"/>
            <w:vMerge w:val="continue"/>
            <w:vAlign w:val="center"/>
          </w:tcPr>
          <w:p>
            <w:pPr>
              <w:jc w:val="center"/>
            </w:pPr>
          </w:p>
        </w:tc>
        <w:tc>
          <w:tcPr>
            <w:tcW w:w="675" w:type="dxa"/>
            <w:vAlign w:val="center"/>
          </w:tcPr>
          <w:p>
            <w:pPr>
              <w:jc w:val="center"/>
            </w:pPr>
            <w:r>
              <w:rPr>
                <w:rFonts w:hint="eastAsia"/>
              </w:rPr>
              <w:t>NO</w:t>
            </w:r>
            <w:r>
              <w:rPr>
                <w:rFonts w:hint="eastAsia"/>
                <w:vertAlign w:val="subscript"/>
              </w:rPr>
              <w:t>X</w:t>
            </w:r>
          </w:p>
        </w:tc>
        <w:tc>
          <w:tcPr>
            <w:tcW w:w="795" w:type="dxa"/>
            <w:vAlign w:val="center"/>
          </w:tcPr>
          <w:p>
            <w:pPr>
              <w:jc w:val="center"/>
            </w:pPr>
            <w:r>
              <w:rPr>
                <w:rFonts w:hint="eastAsia"/>
              </w:rPr>
              <w:t>0.1018</w:t>
            </w:r>
          </w:p>
        </w:tc>
        <w:tc>
          <w:tcPr>
            <w:tcW w:w="825" w:type="dxa"/>
            <w:vAlign w:val="center"/>
          </w:tcPr>
          <w:p>
            <w:pPr>
              <w:jc w:val="center"/>
            </w:pPr>
            <w:r>
              <w:rPr>
                <w:rFonts w:hint="eastAsia"/>
              </w:rPr>
              <w:t>0.0485</w:t>
            </w:r>
          </w:p>
        </w:tc>
        <w:tc>
          <w:tcPr>
            <w:tcW w:w="960" w:type="dxa"/>
            <w:vAlign w:val="center"/>
          </w:tcPr>
          <w:p>
            <w:pPr>
              <w:jc w:val="center"/>
            </w:pPr>
            <w:r>
              <w:rPr>
                <w:rFonts w:hint="eastAsia"/>
              </w:rPr>
              <w:t>28.13</w:t>
            </w:r>
          </w:p>
        </w:tc>
        <w:tc>
          <w:tcPr>
            <w:tcW w:w="1281" w:type="dxa"/>
            <w:vMerge w:val="continue"/>
            <w:vAlign w:val="center"/>
          </w:tcPr>
          <w:p>
            <w:pPr>
              <w:jc w:val="center"/>
            </w:pPr>
          </w:p>
        </w:tc>
        <w:tc>
          <w:tcPr>
            <w:tcW w:w="555" w:type="dxa"/>
            <w:vMerge w:val="continue"/>
            <w:vAlign w:val="center"/>
          </w:tcPr>
          <w:p>
            <w:pPr>
              <w:jc w:val="center"/>
            </w:pPr>
          </w:p>
        </w:tc>
        <w:tc>
          <w:tcPr>
            <w:tcW w:w="510" w:type="dxa"/>
            <w:vMerge w:val="continue"/>
            <w:vAlign w:val="center"/>
          </w:tcPr>
          <w:p>
            <w:pPr>
              <w:jc w:val="center"/>
            </w:pPr>
          </w:p>
        </w:tc>
        <w:tc>
          <w:tcPr>
            <w:tcW w:w="840" w:type="dxa"/>
            <w:vAlign w:val="center"/>
          </w:tcPr>
          <w:p>
            <w:pPr>
              <w:jc w:val="center"/>
            </w:pPr>
            <w:r>
              <w:rPr>
                <w:rFonts w:hint="eastAsia"/>
              </w:rPr>
              <w:t>0.1018</w:t>
            </w:r>
          </w:p>
        </w:tc>
        <w:tc>
          <w:tcPr>
            <w:tcW w:w="795" w:type="dxa"/>
            <w:vAlign w:val="center"/>
          </w:tcPr>
          <w:p>
            <w:pPr>
              <w:jc w:val="center"/>
            </w:pPr>
            <w:r>
              <w:rPr>
                <w:rFonts w:hint="eastAsia"/>
              </w:rPr>
              <w:t>0.0485</w:t>
            </w:r>
          </w:p>
        </w:tc>
        <w:tc>
          <w:tcPr>
            <w:tcW w:w="855" w:type="dxa"/>
            <w:vAlign w:val="center"/>
          </w:tcPr>
          <w:p>
            <w:pPr>
              <w:jc w:val="center"/>
            </w:pPr>
            <w:r>
              <w:rPr>
                <w:rFonts w:hint="eastAsia"/>
              </w:rPr>
              <w:t>28.13</w:t>
            </w:r>
          </w:p>
        </w:tc>
        <w:tc>
          <w:tcPr>
            <w:tcW w:w="854" w:type="dxa"/>
            <w:vAlign w:val="center"/>
          </w:tcPr>
          <w:p>
            <w:pPr>
              <w:pStyle w:val="2"/>
              <w:spacing w:line="276" w:lineRule="auto"/>
              <w:ind w:left="0" w:leftChars="0"/>
              <w:jc w:val="center"/>
              <w:rPr>
                <w:sz w:val="21"/>
                <w:szCs w:val="21"/>
              </w:rPr>
            </w:pPr>
            <w:r>
              <w:rPr>
                <w:rFonts w:hint="eastAsia"/>
                <w:sz w:val="21"/>
                <w:szCs w:val="21"/>
              </w:rPr>
              <w:t>50</w:t>
            </w:r>
          </w:p>
        </w:tc>
        <w:tc>
          <w:tcPr>
            <w:tcW w:w="555" w:type="dxa"/>
            <w:vMerge w:val="continue"/>
            <w:vAlign w:val="center"/>
          </w:tcPr>
          <w:p>
            <w:pPr>
              <w:jc w:val="center"/>
            </w:pPr>
          </w:p>
        </w:tc>
        <w:tc>
          <w:tcPr>
            <w:tcW w:w="570" w:type="dxa"/>
            <w:vMerge w:val="continue"/>
            <w:vAlign w:val="center"/>
          </w:tcPr>
          <w:p>
            <w:pPr>
              <w:jc w:val="center"/>
            </w:pPr>
          </w:p>
        </w:tc>
        <w:tc>
          <w:tcPr>
            <w:tcW w:w="570" w:type="dxa"/>
            <w:vMerge w:val="continue"/>
            <w:vAlign w:val="center"/>
          </w:tcPr>
          <w:p>
            <w:pPr>
              <w:jc w:val="center"/>
            </w:pPr>
          </w:p>
        </w:tc>
        <w:tc>
          <w:tcPr>
            <w:tcW w:w="350" w:type="dxa"/>
            <w:vMerge w:val="continue"/>
            <w:vAlign w:val="center"/>
          </w:tcPr>
          <w:p>
            <w:pPr>
              <w:jc w:val="center"/>
            </w:pPr>
          </w:p>
        </w:tc>
      </w:tr>
    </w:tbl>
    <w:p>
      <w:pPr>
        <w:widowControl/>
        <w:tabs>
          <w:tab w:val="left" w:pos="420"/>
        </w:tabs>
        <w:spacing w:line="360" w:lineRule="auto"/>
        <w:jc w:val="center"/>
        <w:rPr>
          <w:rStyle w:val="79"/>
          <w:color w:val="auto"/>
          <w:sz w:val="24"/>
          <w:szCs w:val="24"/>
        </w:rPr>
      </w:pPr>
      <w:r>
        <w:rPr>
          <w:rStyle w:val="79"/>
          <w:color w:val="auto"/>
          <w:sz w:val="24"/>
          <w:szCs w:val="24"/>
        </w:rPr>
        <w:t>表4-</w:t>
      </w:r>
      <w:r>
        <w:rPr>
          <w:rStyle w:val="79"/>
          <w:rFonts w:hint="eastAsia"/>
          <w:color w:val="auto"/>
          <w:sz w:val="24"/>
          <w:szCs w:val="24"/>
        </w:rPr>
        <w:t>4</w:t>
      </w:r>
      <w:r>
        <w:rPr>
          <w:b/>
          <w:bCs/>
          <w:sz w:val="24"/>
          <w:szCs w:val="24"/>
        </w:rPr>
        <w:t>本项目无组织大气污染物汇总表</w:t>
      </w:r>
    </w:p>
    <w:tbl>
      <w:tblPr>
        <w:tblStyle w:val="23"/>
        <w:tblW w:w="526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20"/>
        <w:gridCol w:w="1102"/>
        <w:gridCol w:w="1374"/>
        <w:gridCol w:w="1251"/>
        <w:gridCol w:w="3323"/>
        <w:gridCol w:w="1197"/>
        <w:gridCol w:w="1029"/>
        <w:gridCol w:w="1072"/>
        <w:gridCol w:w="1158"/>
        <w:gridCol w:w="875"/>
        <w:gridCol w:w="8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2" w:hRule="atLeast"/>
          <w:tblHeader/>
          <w:jc w:val="center"/>
        </w:trPr>
        <w:tc>
          <w:tcPr>
            <w:tcW w:w="189" w:type="pct"/>
            <w:vMerge w:val="restart"/>
            <w:vAlign w:val="center"/>
          </w:tcPr>
          <w:p>
            <w:pPr>
              <w:pStyle w:val="53"/>
              <w:spacing w:before="24" w:after="24" w:line="240" w:lineRule="auto"/>
              <w:rPr>
                <w:rFonts w:ascii="Times New Roman"/>
              </w:rPr>
            </w:pPr>
            <w:r>
              <w:rPr>
                <w:rFonts w:ascii="Times New Roman"/>
              </w:rPr>
              <w:t>序号</w:t>
            </w:r>
          </w:p>
        </w:tc>
        <w:tc>
          <w:tcPr>
            <w:tcW w:w="401" w:type="pct"/>
            <w:vMerge w:val="restart"/>
            <w:vAlign w:val="center"/>
          </w:tcPr>
          <w:p>
            <w:pPr>
              <w:pStyle w:val="53"/>
              <w:spacing w:before="24" w:after="24" w:line="240" w:lineRule="auto"/>
              <w:rPr>
                <w:rFonts w:ascii="Times New Roman"/>
              </w:rPr>
            </w:pPr>
            <w:r>
              <w:rPr>
                <w:rFonts w:ascii="Times New Roman"/>
              </w:rPr>
              <w:t>污染源名称</w:t>
            </w:r>
          </w:p>
        </w:tc>
        <w:tc>
          <w:tcPr>
            <w:tcW w:w="501" w:type="pct"/>
            <w:vMerge w:val="restart"/>
            <w:vAlign w:val="center"/>
          </w:tcPr>
          <w:p>
            <w:pPr>
              <w:pStyle w:val="53"/>
              <w:spacing w:before="24" w:after="24" w:line="240" w:lineRule="auto"/>
              <w:rPr>
                <w:rFonts w:ascii="Times New Roman"/>
              </w:rPr>
            </w:pPr>
            <w:r>
              <w:rPr>
                <w:rFonts w:ascii="Times New Roman"/>
              </w:rPr>
              <w:t>产污环节</w:t>
            </w:r>
          </w:p>
        </w:tc>
        <w:tc>
          <w:tcPr>
            <w:tcW w:w="456" w:type="pct"/>
            <w:vMerge w:val="restart"/>
            <w:vAlign w:val="center"/>
          </w:tcPr>
          <w:p>
            <w:pPr>
              <w:pStyle w:val="53"/>
              <w:spacing w:before="24" w:after="24" w:line="240" w:lineRule="auto"/>
              <w:rPr>
                <w:rFonts w:ascii="Times New Roman"/>
              </w:rPr>
            </w:pPr>
            <w:r>
              <w:rPr>
                <w:rFonts w:ascii="Times New Roman"/>
              </w:rPr>
              <w:t>污染物种类</w:t>
            </w:r>
          </w:p>
        </w:tc>
        <w:tc>
          <w:tcPr>
            <w:tcW w:w="1212" w:type="pct"/>
            <w:vMerge w:val="restart"/>
            <w:vAlign w:val="center"/>
          </w:tcPr>
          <w:p>
            <w:pPr>
              <w:pStyle w:val="53"/>
              <w:spacing w:before="24" w:after="24" w:line="240" w:lineRule="auto"/>
              <w:rPr>
                <w:rFonts w:ascii="Times New Roman"/>
              </w:rPr>
            </w:pPr>
            <w:r>
              <w:rPr>
                <w:rFonts w:ascii="Times New Roman"/>
              </w:rPr>
              <w:t>主要污染防治措施</w:t>
            </w:r>
          </w:p>
        </w:tc>
        <w:tc>
          <w:tcPr>
            <w:tcW w:w="436" w:type="pct"/>
            <w:vMerge w:val="restart"/>
            <w:vAlign w:val="center"/>
          </w:tcPr>
          <w:p>
            <w:pPr>
              <w:adjustRightInd w:val="0"/>
              <w:snapToGrid w:val="0"/>
              <w:jc w:val="center"/>
            </w:pPr>
            <w:r>
              <w:t>排放速率</w:t>
            </w:r>
          </w:p>
          <w:p>
            <w:pPr>
              <w:adjustRightInd w:val="0"/>
              <w:snapToGrid w:val="0"/>
              <w:jc w:val="center"/>
            </w:pPr>
            <w:r>
              <w:t>（kg/h）</w:t>
            </w:r>
          </w:p>
        </w:tc>
        <w:tc>
          <w:tcPr>
            <w:tcW w:w="375" w:type="pct"/>
            <w:vMerge w:val="restart"/>
            <w:vAlign w:val="center"/>
          </w:tcPr>
          <w:p>
            <w:pPr>
              <w:adjustRightInd w:val="0"/>
              <w:snapToGrid w:val="0"/>
              <w:jc w:val="center"/>
            </w:pPr>
            <w:r>
              <w:t>排放量</w:t>
            </w:r>
          </w:p>
          <w:p>
            <w:pPr>
              <w:adjustRightInd w:val="0"/>
              <w:snapToGrid w:val="0"/>
              <w:jc w:val="center"/>
            </w:pPr>
            <w:r>
              <w:t>（t/a）</w:t>
            </w:r>
          </w:p>
        </w:tc>
        <w:tc>
          <w:tcPr>
            <w:tcW w:w="390" w:type="pct"/>
            <w:vMerge w:val="restart"/>
            <w:vAlign w:val="center"/>
          </w:tcPr>
          <w:p>
            <w:pPr>
              <w:jc w:val="center"/>
            </w:pPr>
            <w:r>
              <w:rPr>
                <w:rFonts w:hint="eastAsia"/>
              </w:rPr>
              <w:t>排放标准</w:t>
            </w:r>
            <w:r>
              <w:t>浓度限值</w:t>
            </w:r>
          </w:p>
          <w:p>
            <w:pPr>
              <w:adjustRightInd w:val="0"/>
              <w:snapToGrid w:val="0"/>
              <w:jc w:val="center"/>
            </w:pPr>
            <w:r>
              <w:t>(mg/m</w:t>
            </w:r>
            <w:r>
              <w:rPr>
                <w:vertAlign w:val="superscript"/>
              </w:rPr>
              <w:t>3</w:t>
            </w:r>
            <w:r>
              <w:t>)</w:t>
            </w:r>
          </w:p>
        </w:tc>
        <w:tc>
          <w:tcPr>
            <w:tcW w:w="422" w:type="pct"/>
            <w:vMerge w:val="restart"/>
            <w:vAlign w:val="center"/>
          </w:tcPr>
          <w:p>
            <w:pPr>
              <w:adjustRightInd w:val="0"/>
              <w:snapToGrid w:val="0"/>
              <w:jc w:val="center"/>
            </w:pPr>
            <w:r>
              <w:rPr>
                <w:rFonts w:hint="eastAsia"/>
              </w:rPr>
              <w:t>是否达标</w:t>
            </w:r>
          </w:p>
        </w:tc>
        <w:tc>
          <w:tcPr>
            <w:tcW w:w="612" w:type="pct"/>
            <w:gridSpan w:val="2"/>
            <w:vAlign w:val="center"/>
          </w:tcPr>
          <w:p>
            <w:pPr>
              <w:adjustRightInd w:val="0"/>
              <w:snapToGrid w:val="0"/>
              <w:jc w:val="center"/>
            </w:pPr>
            <w:r>
              <w:t>面源尺寸（m）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2" w:hRule="atLeast"/>
          <w:tblHeader/>
          <w:jc w:val="center"/>
        </w:trPr>
        <w:tc>
          <w:tcPr>
            <w:tcW w:w="189" w:type="pct"/>
            <w:vMerge w:val="continue"/>
            <w:vAlign w:val="center"/>
          </w:tcPr>
          <w:p>
            <w:pPr>
              <w:adjustRightInd w:val="0"/>
              <w:snapToGrid w:val="0"/>
              <w:jc w:val="center"/>
            </w:pPr>
          </w:p>
        </w:tc>
        <w:tc>
          <w:tcPr>
            <w:tcW w:w="401" w:type="pct"/>
            <w:vMerge w:val="continue"/>
            <w:vAlign w:val="center"/>
          </w:tcPr>
          <w:p>
            <w:pPr>
              <w:adjustRightInd w:val="0"/>
              <w:snapToGrid w:val="0"/>
              <w:jc w:val="center"/>
            </w:pPr>
          </w:p>
        </w:tc>
        <w:tc>
          <w:tcPr>
            <w:tcW w:w="501" w:type="pct"/>
            <w:vMerge w:val="continue"/>
            <w:vAlign w:val="center"/>
          </w:tcPr>
          <w:p>
            <w:pPr>
              <w:adjustRightInd w:val="0"/>
              <w:snapToGrid w:val="0"/>
              <w:jc w:val="center"/>
            </w:pPr>
          </w:p>
        </w:tc>
        <w:tc>
          <w:tcPr>
            <w:tcW w:w="456" w:type="pct"/>
            <w:vMerge w:val="continue"/>
            <w:vAlign w:val="center"/>
          </w:tcPr>
          <w:p>
            <w:pPr>
              <w:adjustRightInd w:val="0"/>
              <w:snapToGrid w:val="0"/>
              <w:jc w:val="center"/>
            </w:pPr>
          </w:p>
        </w:tc>
        <w:tc>
          <w:tcPr>
            <w:tcW w:w="1212" w:type="pct"/>
            <w:vMerge w:val="continue"/>
            <w:vAlign w:val="center"/>
          </w:tcPr>
          <w:p>
            <w:pPr>
              <w:adjustRightInd w:val="0"/>
              <w:snapToGrid w:val="0"/>
              <w:jc w:val="center"/>
            </w:pPr>
          </w:p>
        </w:tc>
        <w:tc>
          <w:tcPr>
            <w:tcW w:w="436" w:type="pct"/>
            <w:vMerge w:val="continue"/>
            <w:vAlign w:val="center"/>
          </w:tcPr>
          <w:p>
            <w:pPr>
              <w:adjustRightInd w:val="0"/>
              <w:snapToGrid w:val="0"/>
              <w:jc w:val="center"/>
            </w:pPr>
          </w:p>
        </w:tc>
        <w:tc>
          <w:tcPr>
            <w:tcW w:w="375" w:type="pct"/>
            <w:vMerge w:val="continue"/>
            <w:vAlign w:val="center"/>
          </w:tcPr>
          <w:p>
            <w:pPr>
              <w:adjustRightInd w:val="0"/>
              <w:snapToGrid w:val="0"/>
              <w:jc w:val="center"/>
            </w:pPr>
          </w:p>
        </w:tc>
        <w:tc>
          <w:tcPr>
            <w:tcW w:w="390" w:type="pct"/>
            <w:vMerge w:val="continue"/>
            <w:vAlign w:val="center"/>
          </w:tcPr>
          <w:p>
            <w:pPr>
              <w:adjustRightInd w:val="0"/>
              <w:snapToGrid w:val="0"/>
              <w:jc w:val="center"/>
            </w:pPr>
          </w:p>
        </w:tc>
        <w:tc>
          <w:tcPr>
            <w:tcW w:w="422" w:type="pct"/>
            <w:vMerge w:val="continue"/>
            <w:vAlign w:val="center"/>
          </w:tcPr>
          <w:p>
            <w:pPr>
              <w:adjustRightInd w:val="0"/>
              <w:snapToGrid w:val="0"/>
              <w:jc w:val="center"/>
            </w:pPr>
          </w:p>
        </w:tc>
        <w:tc>
          <w:tcPr>
            <w:tcW w:w="319" w:type="pct"/>
            <w:vAlign w:val="center"/>
          </w:tcPr>
          <w:p>
            <w:pPr>
              <w:adjustRightInd w:val="0"/>
              <w:snapToGrid w:val="0"/>
              <w:jc w:val="center"/>
            </w:pPr>
            <w:r>
              <w:t>长</w:t>
            </w:r>
          </w:p>
        </w:tc>
        <w:tc>
          <w:tcPr>
            <w:tcW w:w="293" w:type="pct"/>
            <w:vAlign w:val="center"/>
          </w:tcPr>
          <w:p>
            <w:pPr>
              <w:adjustRightInd w:val="0"/>
              <w:snapToGrid w:val="0"/>
              <w:jc w:val="center"/>
            </w:pPr>
            <w:r>
              <w:t>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02" w:hRule="atLeast"/>
          <w:tblHeader/>
          <w:jc w:val="center"/>
        </w:trPr>
        <w:tc>
          <w:tcPr>
            <w:tcW w:w="189" w:type="pct"/>
            <w:vAlign w:val="center"/>
          </w:tcPr>
          <w:p>
            <w:pPr>
              <w:adjustRightInd w:val="0"/>
              <w:snapToGrid w:val="0"/>
              <w:jc w:val="center"/>
              <w:rPr>
                <w:rFonts w:hint="eastAsia" w:eastAsia="宋体"/>
                <w:lang w:val="en-US" w:eastAsia="zh-CN"/>
              </w:rPr>
            </w:pPr>
            <w:r>
              <w:rPr>
                <w:rFonts w:hint="eastAsia"/>
                <w:lang w:val="en-US" w:eastAsia="zh-CN"/>
              </w:rPr>
              <w:t>1</w:t>
            </w:r>
          </w:p>
        </w:tc>
        <w:tc>
          <w:tcPr>
            <w:tcW w:w="401" w:type="pct"/>
            <w:vAlign w:val="center"/>
          </w:tcPr>
          <w:p>
            <w:pPr>
              <w:jc w:val="center"/>
            </w:pPr>
            <w:r>
              <w:rPr>
                <w:rFonts w:hint="eastAsia"/>
                <w:lang w:eastAsia="zh-CN"/>
              </w:rPr>
              <w:t>猪饲料</w:t>
            </w:r>
            <w:r>
              <w:rPr>
                <w:rFonts w:hint="eastAsia"/>
              </w:rPr>
              <w:t>生产线</w:t>
            </w:r>
          </w:p>
        </w:tc>
        <w:tc>
          <w:tcPr>
            <w:tcW w:w="501" w:type="pct"/>
            <w:vAlign w:val="center"/>
          </w:tcPr>
          <w:p>
            <w:pPr>
              <w:jc w:val="center"/>
            </w:pPr>
            <w:r>
              <w:rPr>
                <w:rFonts w:hint="eastAsia"/>
              </w:rPr>
              <w:t>投料</w:t>
            </w:r>
          </w:p>
        </w:tc>
        <w:tc>
          <w:tcPr>
            <w:tcW w:w="456" w:type="pct"/>
            <w:vAlign w:val="center"/>
          </w:tcPr>
          <w:p>
            <w:pPr>
              <w:adjustRightInd w:val="0"/>
              <w:snapToGrid w:val="0"/>
              <w:jc w:val="center"/>
            </w:pPr>
            <w:r>
              <w:rPr>
                <w:rFonts w:hint="eastAsia"/>
              </w:rPr>
              <w:t>颗粒物</w:t>
            </w:r>
          </w:p>
        </w:tc>
        <w:tc>
          <w:tcPr>
            <w:tcW w:w="1212" w:type="pct"/>
            <w:vMerge w:val="restart"/>
            <w:vAlign w:val="center"/>
          </w:tcPr>
          <w:p>
            <w:pPr>
              <w:adjustRightInd w:val="0"/>
              <w:snapToGrid w:val="0"/>
              <w:jc w:val="center"/>
            </w:pPr>
            <w:r>
              <w:rPr>
                <w:rFonts w:hint="eastAsia" w:ascii="宋体" w:hAnsi="宋体" w:cs="宋体"/>
                <w:color w:val="auto"/>
              </w:rPr>
              <w:t>生产工艺粉尘经负压收集或密闭收集后，经除尘器进行处理，同时加强</w:t>
            </w:r>
            <w:r>
              <w:rPr>
                <w:rFonts w:ascii="宋体" w:hAnsi="宋体" w:cs="宋体"/>
                <w:color w:val="auto"/>
              </w:rPr>
              <w:t>车间</w:t>
            </w:r>
            <w:r>
              <w:rPr>
                <w:rFonts w:hint="eastAsia" w:ascii="宋体" w:hAnsi="宋体" w:cs="宋体"/>
                <w:color w:val="auto"/>
              </w:rPr>
              <w:t>机械通排风和自然</w:t>
            </w:r>
            <w:r>
              <w:rPr>
                <w:rFonts w:ascii="宋体" w:hAnsi="宋体" w:cs="宋体"/>
                <w:color w:val="auto"/>
              </w:rPr>
              <w:t>通风、定期清扫沉降粉尘等措施</w:t>
            </w:r>
          </w:p>
        </w:tc>
        <w:tc>
          <w:tcPr>
            <w:tcW w:w="436" w:type="pct"/>
            <w:vMerge w:val="restart"/>
            <w:vAlign w:val="center"/>
          </w:tcPr>
          <w:p>
            <w:pPr>
              <w:adjustRightInd w:val="0"/>
              <w:snapToGrid w:val="0"/>
              <w:jc w:val="center"/>
              <w:rPr>
                <w:rFonts w:hint="eastAsia" w:eastAsia="宋体"/>
                <w:color w:val="auto"/>
                <w:lang w:val="en-US" w:eastAsia="zh-CN"/>
              </w:rPr>
            </w:pPr>
            <w:r>
              <w:rPr>
                <w:rFonts w:hint="eastAsia"/>
                <w:color w:val="auto"/>
              </w:rPr>
              <w:t>0.110</w:t>
            </w:r>
            <w:r>
              <w:rPr>
                <w:rFonts w:hint="eastAsia"/>
                <w:color w:val="auto"/>
                <w:lang w:val="en-US" w:eastAsia="zh-CN"/>
              </w:rPr>
              <w:t>4</w:t>
            </w:r>
          </w:p>
        </w:tc>
        <w:tc>
          <w:tcPr>
            <w:tcW w:w="375" w:type="pct"/>
            <w:vMerge w:val="restart"/>
            <w:vAlign w:val="center"/>
          </w:tcPr>
          <w:p>
            <w:pPr>
              <w:adjustRightInd w:val="0"/>
              <w:snapToGrid w:val="0"/>
              <w:jc w:val="center"/>
              <w:rPr>
                <w:rFonts w:hint="default" w:eastAsia="宋体"/>
                <w:color w:val="auto"/>
                <w:lang w:val="en-US" w:eastAsia="zh-CN"/>
              </w:rPr>
            </w:pPr>
            <w:r>
              <w:rPr>
                <w:rFonts w:hint="eastAsia"/>
                <w:color w:val="auto"/>
              </w:rPr>
              <w:t>0.5</w:t>
            </w:r>
            <w:r>
              <w:rPr>
                <w:rFonts w:hint="eastAsia"/>
                <w:color w:val="auto"/>
                <w:lang w:val="en-US" w:eastAsia="zh-CN"/>
              </w:rPr>
              <w:t>30</w:t>
            </w:r>
          </w:p>
        </w:tc>
        <w:tc>
          <w:tcPr>
            <w:tcW w:w="390" w:type="pct"/>
            <w:vMerge w:val="restart"/>
            <w:vAlign w:val="center"/>
          </w:tcPr>
          <w:p>
            <w:pPr>
              <w:adjustRightInd w:val="0"/>
              <w:snapToGrid w:val="0"/>
              <w:jc w:val="center"/>
            </w:pPr>
            <w:r>
              <w:rPr>
                <w:rFonts w:hint="eastAsia"/>
              </w:rPr>
              <w:t>0.5</w:t>
            </w:r>
          </w:p>
        </w:tc>
        <w:tc>
          <w:tcPr>
            <w:tcW w:w="422" w:type="pct"/>
            <w:vMerge w:val="restart"/>
            <w:vAlign w:val="center"/>
          </w:tcPr>
          <w:p>
            <w:pPr>
              <w:adjustRightInd w:val="0"/>
              <w:snapToGrid w:val="0"/>
              <w:jc w:val="center"/>
            </w:pPr>
            <w:r>
              <w:rPr>
                <w:rFonts w:hint="eastAsia"/>
              </w:rPr>
              <w:t>达标</w:t>
            </w:r>
          </w:p>
        </w:tc>
        <w:tc>
          <w:tcPr>
            <w:tcW w:w="319" w:type="pct"/>
            <w:vMerge w:val="restart"/>
            <w:vAlign w:val="center"/>
          </w:tcPr>
          <w:p>
            <w:pPr>
              <w:adjustRightInd w:val="0"/>
              <w:snapToGrid w:val="0"/>
              <w:jc w:val="center"/>
            </w:pPr>
            <w:r>
              <w:rPr>
                <w:rFonts w:hint="eastAsia"/>
              </w:rPr>
              <w:t>32</w:t>
            </w:r>
          </w:p>
        </w:tc>
        <w:tc>
          <w:tcPr>
            <w:tcW w:w="293" w:type="pct"/>
            <w:vMerge w:val="restart"/>
            <w:vAlign w:val="center"/>
          </w:tcPr>
          <w:p>
            <w:pPr>
              <w:adjustRightInd w:val="0"/>
              <w:snapToGrid w:val="0"/>
              <w:jc w:val="center"/>
            </w:pPr>
            <w:r>
              <w:rPr>
                <w:rFonts w:hint="eastAsia"/>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27" w:hRule="atLeast"/>
          <w:tblHeader/>
          <w:jc w:val="center"/>
        </w:trPr>
        <w:tc>
          <w:tcPr>
            <w:tcW w:w="189" w:type="pct"/>
            <w:vAlign w:val="center"/>
          </w:tcPr>
          <w:p>
            <w:pPr>
              <w:adjustRightInd w:val="0"/>
              <w:snapToGrid w:val="0"/>
              <w:jc w:val="center"/>
              <w:rPr>
                <w:rFonts w:hint="eastAsia" w:eastAsia="宋体"/>
                <w:lang w:val="en-US" w:eastAsia="zh-CN"/>
              </w:rPr>
            </w:pPr>
            <w:r>
              <w:rPr>
                <w:rFonts w:hint="eastAsia"/>
                <w:lang w:val="en-US" w:eastAsia="zh-CN"/>
              </w:rPr>
              <w:t>2</w:t>
            </w:r>
          </w:p>
        </w:tc>
        <w:tc>
          <w:tcPr>
            <w:tcW w:w="401" w:type="pct"/>
            <w:vAlign w:val="center"/>
          </w:tcPr>
          <w:p>
            <w:pPr>
              <w:adjustRightInd w:val="0"/>
              <w:snapToGrid w:val="0"/>
              <w:jc w:val="center"/>
            </w:pPr>
            <w:r>
              <w:rPr>
                <w:rFonts w:hint="eastAsia"/>
                <w:lang w:eastAsia="zh-CN"/>
              </w:rPr>
              <w:t>反刍饲料</w:t>
            </w:r>
            <w:r>
              <w:rPr>
                <w:rFonts w:hint="eastAsia"/>
              </w:rPr>
              <w:t>生产线</w:t>
            </w:r>
          </w:p>
        </w:tc>
        <w:tc>
          <w:tcPr>
            <w:tcW w:w="501" w:type="pct"/>
            <w:vAlign w:val="center"/>
          </w:tcPr>
          <w:p>
            <w:pPr>
              <w:jc w:val="center"/>
            </w:pPr>
            <w:r>
              <w:rPr>
                <w:rFonts w:hint="eastAsia"/>
              </w:rPr>
              <w:t>投料</w:t>
            </w:r>
          </w:p>
        </w:tc>
        <w:tc>
          <w:tcPr>
            <w:tcW w:w="456" w:type="pct"/>
            <w:vAlign w:val="center"/>
          </w:tcPr>
          <w:p>
            <w:pPr>
              <w:adjustRightInd w:val="0"/>
              <w:snapToGrid w:val="0"/>
              <w:jc w:val="center"/>
            </w:pPr>
            <w:r>
              <w:rPr>
                <w:rFonts w:hint="eastAsia"/>
              </w:rPr>
              <w:t>颗粒物</w:t>
            </w:r>
          </w:p>
        </w:tc>
        <w:tc>
          <w:tcPr>
            <w:tcW w:w="1212" w:type="pct"/>
            <w:vMerge w:val="continue"/>
            <w:vAlign w:val="center"/>
          </w:tcPr>
          <w:p>
            <w:pPr>
              <w:adjustRightInd w:val="0"/>
              <w:snapToGrid w:val="0"/>
              <w:jc w:val="center"/>
            </w:pPr>
          </w:p>
        </w:tc>
        <w:tc>
          <w:tcPr>
            <w:tcW w:w="436" w:type="pct"/>
            <w:vMerge w:val="continue"/>
            <w:vAlign w:val="center"/>
          </w:tcPr>
          <w:p>
            <w:pPr>
              <w:ind w:left="-84" w:leftChars="-40" w:right="-84" w:rightChars="-40"/>
              <w:jc w:val="center"/>
            </w:pPr>
          </w:p>
        </w:tc>
        <w:tc>
          <w:tcPr>
            <w:tcW w:w="375" w:type="pct"/>
            <w:vMerge w:val="continue"/>
            <w:vAlign w:val="center"/>
          </w:tcPr>
          <w:p>
            <w:pPr>
              <w:ind w:left="-84" w:leftChars="-40" w:right="-84" w:rightChars="-40"/>
              <w:jc w:val="center"/>
            </w:pPr>
          </w:p>
        </w:tc>
        <w:tc>
          <w:tcPr>
            <w:tcW w:w="390" w:type="pct"/>
            <w:vMerge w:val="continue"/>
            <w:vAlign w:val="center"/>
          </w:tcPr>
          <w:p>
            <w:pPr>
              <w:ind w:left="-84" w:leftChars="-40" w:right="-84" w:rightChars="-40"/>
              <w:jc w:val="center"/>
            </w:pPr>
          </w:p>
        </w:tc>
        <w:tc>
          <w:tcPr>
            <w:tcW w:w="422" w:type="pct"/>
            <w:vMerge w:val="continue"/>
            <w:vAlign w:val="center"/>
          </w:tcPr>
          <w:p>
            <w:pPr>
              <w:ind w:left="-84" w:leftChars="-40" w:right="-84" w:rightChars="-40"/>
              <w:jc w:val="center"/>
            </w:pPr>
          </w:p>
        </w:tc>
        <w:tc>
          <w:tcPr>
            <w:tcW w:w="319" w:type="pct"/>
            <w:vMerge w:val="continue"/>
            <w:vAlign w:val="center"/>
          </w:tcPr>
          <w:p>
            <w:pPr>
              <w:adjustRightInd w:val="0"/>
              <w:snapToGrid w:val="0"/>
              <w:jc w:val="center"/>
            </w:pPr>
          </w:p>
        </w:tc>
        <w:tc>
          <w:tcPr>
            <w:tcW w:w="293" w:type="pct"/>
            <w:vMerge w:val="continue"/>
            <w:vAlign w:val="center"/>
          </w:tcPr>
          <w:p>
            <w:pPr>
              <w:adjustRightInd w:val="0"/>
              <w:snapToGrid w:val="0"/>
              <w:jc w:val="center"/>
            </w:pPr>
          </w:p>
        </w:tc>
      </w:tr>
    </w:tbl>
    <w:p>
      <w:pPr>
        <w:pStyle w:val="2"/>
        <w:ind w:left="0" w:leftChars="0"/>
      </w:pPr>
    </w:p>
    <w:p>
      <w:pPr>
        <w:pStyle w:val="2"/>
        <w:ind w:left="0" w:leftChars="0"/>
        <w:sectPr>
          <w:pgSz w:w="16840" w:h="11907" w:orient="landscape"/>
          <w:pgMar w:top="1531" w:right="1701" w:bottom="1531" w:left="2127" w:header="851" w:footer="851" w:gutter="0"/>
          <w:cols w:space="720" w:num="1"/>
          <w:docGrid w:linePitch="312" w:charSpace="0"/>
        </w:sectPr>
      </w:pPr>
    </w:p>
    <w:tbl>
      <w:tblPr>
        <w:tblStyle w:val="23"/>
        <w:tblW w:w="8908"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510"/>
        <w:gridCol w:w="839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773" w:hRule="atLeast"/>
          <w:jc w:val="center"/>
        </w:trPr>
        <w:tc>
          <w:tcPr>
            <w:tcW w:w="510" w:type="dxa"/>
            <w:tcBorders>
              <w:top w:val="single" w:color="auto" w:sz="8" w:space="0"/>
              <w:bottom w:val="single" w:color="auto" w:sz="8" w:space="0"/>
            </w:tcBorders>
            <w:tcMar>
              <w:left w:w="28" w:type="dxa"/>
              <w:right w:w="28" w:type="dxa"/>
            </w:tcMar>
            <w:vAlign w:val="center"/>
          </w:tcPr>
          <w:p>
            <w:pPr>
              <w:pStyle w:val="2"/>
            </w:pPr>
          </w:p>
        </w:tc>
        <w:tc>
          <w:tcPr>
            <w:tcW w:w="8398" w:type="dxa"/>
            <w:tcBorders>
              <w:top w:val="single" w:color="auto" w:sz="8" w:space="0"/>
              <w:bottom w:val="single" w:color="auto" w:sz="8" w:space="0"/>
            </w:tcBorders>
            <w:vAlign w:val="center"/>
          </w:tcPr>
          <w:p>
            <w:pPr>
              <w:spacing w:line="360" w:lineRule="auto"/>
              <w:ind w:firstLine="482" w:firstLineChars="200"/>
              <w:rPr>
                <w:b/>
                <w:bCs/>
                <w:color w:val="auto"/>
                <w:sz w:val="24"/>
                <w:szCs w:val="24"/>
              </w:rPr>
            </w:pPr>
            <w:r>
              <w:rPr>
                <w:b/>
                <w:bCs/>
                <w:color w:val="auto"/>
                <w:sz w:val="24"/>
                <w:szCs w:val="24"/>
              </w:rPr>
              <w:t>1.2本项目污染物排放量核算结果</w:t>
            </w:r>
          </w:p>
          <w:p>
            <w:pPr>
              <w:spacing w:line="360" w:lineRule="auto"/>
              <w:jc w:val="center"/>
              <w:rPr>
                <w:b/>
                <w:bCs/>
                <w:color w:val="auto"/>
                <w:sz w:val="24"/>
                <w:szCs w:val="24"/>
              </w:rPr>
            </w:pPr>
            <w:r>
              <w:rPr>
                <w:b/>
                <w:bCs/>
                <w:color w:val="auto"/>
                <w:sz w:val="24"/>
                <w:szCs w:val="24"/>
              </w:rPr>
              <w:t>表4-</w:t>
            </w:r>
            <w:r>
              <w:rPr>
                <w:rFonts w:hint="eastAsia"/>
                <w:b/>
                <w:bCs/>
                <w:color w:val="auto"/>
                <w:sz w:val="24"/>
                <w:szCs w:val="24"/>
              </w:rPr>
              <w:t>5</w:t>
            </w:r>
            <w:r>
              <w:rPr>
                <w:b/>
                <w:bCs/>
                <w:color w:val="auto"/>
                <w:sz w:val="24"/>
                <w:szCs w:val="24"/>
              </w:rPr>
              <w:t xml:space="preserve">  本项目大气污染物有组织排放量核算表</w:t>
            </w:r>
          </w:p>
          <w:tbl>
            <w:tblPr>
              <w:tblStyle w:val="23"/>
              <w:tblW w:w="8177" w:type="dxa"/>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6"/>
              <w:gridCol w:w="1527"/>
              <w:gridCol w:w="1423"/>
              <w:gridCol w:w="1467"/>
              <w:gridCol w:w="1512"/>
              <w:gridCol w:w="1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726"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color w:val="auto"/>
                    </w:rPr>
                    <w:t>序号</w:t>
                  </w:r>
                </w:p>
              </w:tc>
              <w:tc>
                <w:tcPr>
                  <w:tcW w:w="1527"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color w:val="auto"/>
                    </w:rPr>
                    <w:t>排放口编号</w:t>
                  </w:r>
                </w:p>
              </w:tc>
              <w:tc>
                <w:tcPr>
                  <w:tcW w:w="1423"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color w:val="auto"/>
                    </w:rPr>
                    <w:t>污染物</w:t>
                  </w:r>
                </w:p>
              </w:tc>
              <w:tc>
                <w:tcPr>
                  <w:tcW w:w="1467"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color w:val="auto"/>
                    </w:rPr>
                    <w:t>核算排放浓度</w:t>
                  </w:r>
                </w:p>
                <w:p>
                  <w:pPr>
                    <w:jc w:val="center"/>
                    <w:rPr>
                      <w:color w:val="auto"/>
                    </w:rPr>
                  </w:pPr>
                  <w:r>
                    <w:rPr>
                      <w:color w:val="auto"/>
                    </w:rPr>
                    <w:t>(mg/m</w:t>
                  </w:r>
                  <w:r>
                    <w:rPr>
                      <w:color w:val="auto"/>
                      <w:vertAlign w:val="superscript"/>
                    </w:rPr>
                    <w:t>3)</w:t>
                  </w:r>
                </w:p>
              </w:tc>
              <w:tc>
                <w:tcPr>
                  <w:tcW w:w="1512"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color w:val="auto"/>
                    </w:rPr>
                    <w:t>核算排放速率</w:t>
                  </w:r>
                </w:p>
                <w:p>
                  <w:pPr>
                    <w:jc w:val="center"/>
                    <w:rPr>
                      <w:color w:val="auto"/>
                    </w:rPr>
                  </w:pPr>
                  <w:r>
                    <w:rPr>
                      <w:color w:val="auto"/>
                    </w:rPr>
                    <w:t>(kg/h)</w:t>
                  </w:r>
                </w:p>
              </w:tc>
              <w:tc>
                <w:tcPr>
                  <w:tcW w:w="1522"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color w:val="auto"/>
                    </w:rPr>
                    <w:t>核算年排放量</w:t>
                  </w:r>
                </w:p>
                <w:p>
                  <w:pPr>
                    <w:jc w:val="center"/>
                    <w:rPr>
                      <w:color w:val="auto"/>
                    </w:rPr>
                  </w:pPr>
                  <w:r>
                    <w:rPr>
                      <w:color w:val="auto"/>
                    </w:rP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8177" w:type="dxa"/>
                  <w:gridSpan w:val="6"/>
                  <w:tcBorders>
                    <w:top w:val="single" w:color="auto" w:sz="4" w:space="0"/>
                    <w:left w:val="single" w:color="auto" w:sz="4" w:space="0"/>
                    <w:bottom w:val="single" w:color="auto" w:sz="4" w:space="0"/>
                    <w:right w:val="single" w:color="auto" w:sz="4" w:space="0"/>
                  </w:tcBorders>
                  <w:vAlign w:val="center"/>
                </w:tcPr>
                <w:p>
                  <w:pPr>
                    <w:jc w:val="center"/>
                    <w:rPr>
                      <w:color w:val="auto"/>
                    </w:rPr>
                  </w:pPr>
                  <w:r>
                    <w:rPr>
                      <w:color w:val="auto"/>
                    </w:rPr>
                    <w:t>一般排放口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6"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color w:val="auto"/>
                    </w:rPr>
                    <w:t>1</w:t>
                  </w:r>
                </w:p>
              </w:tc>
              <w:tc>
                <w:tcPr>
                  <w:tcW w:w="1527"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color w:val="auto"/>
                    </w:rPr>
                    <w:t>DA001</w:t>
                  </w:r>
                </w:p>
              </w:tc>
              <w:tc>
                <w:tcPr>
                  <w:tcW w:w="1423" w:type="dxa"/>
                  <w:tcBorders>
                    <w:top w:val="single" w:color="auto" w:sz="4" w:space="0"/>
                    <w:left w:val="single" w:color="auto" w:sz="4" w:space="0"/>
                    <w:right w:val="single" w:color="auto" w:sz="4" w:space="0"/>
                  </w:tcBorders>
                  <w:vAlign w:val="center"/>
                </w:tcPr>
                <w:p>
                  <w:pPr>
                    <w:jc w:val="center"/>
                    <w:rPr>
                      <w:color w:val="auto"/>
                    </w:rPr>
                  </w:pPr>
                  <w:r>
                    <w:rPr>
                      <w:rFonts w:hint="eastAsia"/>
                      <w:color w:val="auto"/>
                    </w:rPr>
                    <w:t>颗粒物</w:t>
                  </w:r>
                </w:p>
              </w:tc>
              <w:tc>
                <w:tcPr>
                  <w:tcW w:w="1467" w:type="dxa"/>
                  <w:tcBorders>
                    <w:top w:val="single" w:color="auto" w:sz="4" w:space="0"/>
                    <w:left w:val="single" w:color="auto" w:sz="4" w:space="0"/>
                    <w:right w:val="single" w:color="auto" w:sz="4" w:space="0"/>
                  </w:tcBorders>
                  <w:vAlign w:val="center"/>
                </w:tcPr>
                <w:p>
                  <w:pPr>
                    <w:jc w:val="center"/>
                    <w:rPr>
                      <w:rFonts w:hint="default" w:eastAsia="宋体"/>
                      <w:color w:val="auto"/>
                      <w:lang w:val="en-US" w:eastAsia="zh-CN"/>
                    </w:rPr>
                  </w:pPr>
                  <w:r>
                    <w:rPr>
                      <w:rFonts w:hint="eastAsia"/>
                      <w:color w:val="auto"/>
                    </w:rPr>
                    <w:t>0.</w:t>
                  </w:r>
                  <w:r>
                    <w:rPr>
                      <w:rFonts w:hint="eastAsia"/>
                      <w:color w:val="auto"/>
                      <w:lang w:val="en-US" w:eastAsia="zh-CN"/>
                    </w:rPr>
                    <w:t>68</w:t>
                  </w:r>
                </w:p>
              </w:tc>
              <w:tc>
                <w:tcPr>
                  <w:tcW w:w="1512" w:type="dxa"/>
                  <w:tcBorders>
                    <w:top w:val="single" w:color="auto" w:sz="4" w:space="0"/>
                    <w:left w:val="single" w:color="auto" w:sz="4" w:space="0"/>
                    <w:right w:val="single" w:color="auto" w:sz="4" w:space="0"/>
                  </w:tcBorders>
                  <w:vAlign w:val="center"/>
                </w:tcPr>
                <w:p>
                  <w:pPr>
                    <w:jc w:val="center"/>
                    <w:rPr>
                      <w:rFonts w:hint="default" w:eastAsia="宋体"/>
                      <w:color w:val="auto"/>
                      <w:lang w:val="en-US" w:eastAsia="zh-CN"/>
                    </w:rPr>
                  </w:pPr>
                  <w:r>
                    <w:rPr>
                      <w:rFonts w:hint="eastAsia"/>
                      <w:color w:val="auto"/>
                      <w:lang w:val="en-US" w:eastAsia="zh-CN"/>
                    </w:rPr>
                    <w:t>0.0169</w:t>
                  </w:r>
                </w:p>
              </w:tc>
              <w:tc>
                <w:tcPr>
                  <w:tcW w:w="1522" w:type="dxa"/>
                  <w:tcBorders>
                    <w:top w:val="single" w:color="auto" w:sz="4" w:space="0"/>
                    <w:left w:val="single" w:color="auto" w:sz="4" w:space="0"/>
                    <w:bottom w:val="single" w:color="auto" w:sz="4" w:space="0"/>
                    <w:right w:val="single" w:color="auto" w:sz="4" w:space="0"/>
                  </w:tcBorders>
                  <w:vAlign w:val="center"/>
                </w:tcPr>
                <w:p>
                  <w:pPr>
                    <w:jc w:val="center"/>
                    <w:rPr>
                      <w:rFonts w:hint="default" w:eastAsia="宋体"/>
                      <w:color w:val="auto"/>
                      <w:lang w:val="en-US" w:eastAsia="zh-CN"/>
                    </w:rPr>
                  </w:pPr>
                  <w:r>
                    <w:rPr>
                      <w:rFonts w:hint="eastAsia"/>
                      <w:color w:val="auto"/>
                    </w:rPr>
                    <w:t>0.</w:t>
                  </w:r>
                  <w:r>
                    <w:rPr>
                      <w:rFonts w:hint="eastAsia"/>
                      <w:color w:val="auto"/>
                      <w:lang w:val="en-US" w:eastAsia="zh-CN"/>
                    </w:rPr>
                    <w:t>081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6"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rFonts w:hint="eastAsia"/>
                      <w:color w:val="auto"/>
                    </w:rPr>
                    <w:t>2</w:t>
                  </w:r>
                </w:p>
              </w:tc>
              <w:tc>
                <w:tcPr>
                  <w:tcW w:w="1527"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color w:val="auto"/>
                    </w:rPr>
                    <w:t>DA002</w:t>
                  </w:r>
                </w:p>
              </w:tc>
              <w:tc>
                <w:tcPr>
                  <w:tcW w:w="1423" w:type="dxa"/>
                  <w:tcBorders>
                    <w:top w:val="single" w:color="auto" w:sz="4" w:space="0"/>
                    <w:left w:val="single" w:color="auto" w:sz="4" w:space="0"/>
                    <w:right w:val="single" w:color="auto" w:sz="4" w:space="0"/>
                  </w:tcBorders>
                  <w:vAlign w:val="center"/>
                </w:tcPr>
                <w:p>
                  <w:pPr>
                    <w:jc w:val="center"/>
                    <w:rPr>
                      <w:color w:val="auto"/>
                    </w:rPr>
                  </w:pPr>
                  <w:r>
                    <w:rPr>
                      <w:rFonts w:hint="eastAsia"/>
                      <w:color w:val="auto"/>
                    </w:rPr>
                    <w:t>颗粒物</w:t>
                  </w:r>
                </w:p>
              </w:tc>
              <w:tc>
                <w:tcPr>
                  <w:tcW w:w="1467" w:type="dxa"/>
                  <w:tcBorders>
                    <w:top w:val="single" w:color="auto" w:sz="4" w:space="0"/>
                    <w:left w:val="single" w:color="auto" w:sz="4" w:space="0"/>
                    <w:right w:val="single" w:color="auto" w:sz="4" w:space="0"/>
                  </w:tcBorders>
                  <w:vAlign w:val="center"/>
                </w:tcPr>
                <w:p>
                  <w:pPr>
                    <w:jc w:val="center"/>
                    <w:rPr>
                      <w:rFonts w:hint="default" w:eastAsia="宋体"/>
                      <w:color w:val="auto"/>
                      <w:lang w:val="en-US" w:eastAsia="zh-CN"/>
                    </w:rPr>
                  </w:pPr>
                  <w:r>
                    <w:rPr>
                      <w:rFonts w:hint="eastAsia"/>
                      <w:color w:val="auto"/>
                      <w:lang w:val="en-US" w:eastAsia="zh-CN"/>
                    </w:rPr>
                    <w:t>0.56</w:t>
                  </w:r>
                </w:p>
              </w:tc>
              <w:tc>
                <w:tcPr>
                  <w:tcW w:w="1512" w:type="dxa"/>
                  <w:tcBorders>
                    <w:top w:val="single" w:color="auto" w:sz="4" w:space="0"/>
                    <w:left w:val="single" w:color="auto" w:sz="4" w:space="0"/>
                    <w:right w:val="single" w:color="auto" w:sz="4" w:space="0"/>
                  </w:tcBorders>
                  <w:vAlign w:val="center"/>
                </w:tcPr>
                <w:p>
                  <w:pPr>
                    <w:jc w:val="center"/>
                    <w:rPr>
                      <w:rFonts w:hint="default" w:eastAsia="宋体"/>
                      <w:color w:val="auto"/>
                      <w:lang w:val="en-US" w:eastAsia="zh-CN"/>
                    </w:rPr>
                  </w:pPr>
                  <w:r>
                    <w:rPr>
                      <w:rFonts w:hint="eastAsia"/>
                      <w:color w:val="auto"/>
                    </w:rPr>
                    <w:t>0.0</w:t>
                  </w:r>
                  <w:r>
                    <w:rPr>
                      <w:rFonts w:hint="eastAsia"/>
                      <w:color w:val="auto"/>
                      <w:lang w:val="en-US" w:eastAsia="zh-CN"/>
                    </w:rPr>
                    <w:t>140</w:t>
                  </w:r>
                </w:p>
              </w:tc>
              <w:tc>
                <w:tcPr>
                  <w:tcW w:w="1522" w:type="dxa"/>
                  <w:tcBorders>
                    <w:top w:val="single" w:color="auto" w:sz="4" w:space="0"/>
                    <w:left w:val="single" w:color="auto" w:sz="4" w:space="0"/>
                    <w:bottom w:val="single" w:color="auto" w:sz="4" w:space="0"/>
                    <w:right w:val="single" w:color="auto" w:sz="4" w:space="0"/>
                  </w:tcBorders>
                  <w:vAlign w:val="center"/>
                </w:tcPr>
                <w:p>
                  <w:pPr>
                    <w:jc w:val="center"/>
                    <w:rPr>
                      <w:rFonts w:hint="default" w:eastAsia="宋体"/>
                      <w:color w:val="auto"/>
                      <w:lang w:val="en-US" w:eastAsia="zh-CN"/>
                    </w:rPr>
                  </w:pPr>
                  <w:r>
                    <w:rPr>
                      <w:rFonts w:hint="eastAsia"/>
                      <w:color w:val="auto"/>
                    </w:rPr>
                    <w:t>0.0</w:t>
                  </w:r>
                  <w:r>
                    <w:rPr>
                      <w:rFonts w:hint="eastAsia"/>
                      <w:color w:val="auto"/>
                      <w:lang w:val="en-US" w:eastAsia="zh-CN"/>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6" w:type="dxa"/>
                  <w:vMerge w:val="restart"/>
                  <w:tcBorders>
                    <w:top w:val="single" w:color="auto" w:sz="4" w:space="0"/>
                    <w:left w:val="single" w:color="auto" w:sz="4" w:space="0"/>
                    <w:right w:val="single" w:color="auto" w:sz="4" w:space="0"/>
                  </w:tcBorders>
                  <w:vAlign w:val="center"/>
                </w:tcPr>
                <w:p>
                  <w:pPr>
                    <w:jc w:val="center"/>
                    <w:rPr>
                      <w:color w:val="auto"/>
                    </w:rPr>
                  </w:pPr>
                  <w:r>
                    <w:rPr>
                      <w:rFonts w:hint="eastAsia"/>
                      <w:color w:val="auto"/>
                    </w:rPr>
                    <w:t>3</w:t>
                  </w:r>
                </w:p>
              </w:tc>
              <w:tc>
                <w:tcPr>
                  <w:tcW w:w="1527" w:type="dxa"/>
                  <w:vMerge w:val="restart"/>
                  <w:tcBorders>
                    <w:top w:val="single" w:color="auto" w:sz="4" w:space="0"/>
                    <w:left w:val="single" w:color="auto" w:sz="4" w:space="0"/>
                    <w:right w:val="single" w:color="auto" w:sz="4" w:space="0"/>
                  </w:tcBorders>
                  <w:vAlign w:val="center"/>
                </w:tcPr>
                <w:p>
                  <w:pPr>
                    <w:jc w:val="center"/>
                    <w:rPr>
                      <w:color w:val="auto"/>
                    </w:rPr>
                  </w:pPr>
                  <w:r>
                    <w:rPr>
                      <w:color w:val="auto"/>
                    </w:rPr>
                    <w:t>DA00</w:t>
                  </w:r>
                  <w:r>
                    <w:rPr>
                      <w:rFonts w:hint="eastAsia"/>
                      <w:color w:val="auto"/>
                    </w:rPr>
                    <w:t>3</w:t>
                  </w:r>
                </w:p>
              </w:tc>
              <w:tc>
                <w:tcPr>
                  <w:tcW w:w="1423"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rFonts w:hint="eastAsia"/>
                      <w:color w:val="auto"/>
                    </w:rPr>
                    <w:t>颗粒物</w:t>
                  </w:r>
                </w:p>
              </w:tc>
              <w:tc>
                <w:tcPr>
                  <w:tcW w:w="1467"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color w:val="auto"/>
                      <w:lang w:eastAsia="zh-CN"/>
                    </w:rPr>
                  </w:pPr>
                  <w:r>
                    <w:rPr>
                      <w:rFonts w:hint="eastAsia"/>
                      <w:color w:val="auto"/>
                      <w:lang w:eastAsia="zh-CN"/>
                    </w:rPr>
                    <w:t>12.99</w:t>
                  </w:r>
                </w:p>
              </w:tc>
              <w:tc>
                <w:tcPr>
                  <w:tcW w:w="1512"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color w:val="auto"/>
                      <w:lang w:eastAsia="zh-CN"/>
                    </w:rPr>
                  </w:pPr>
                  <w:r>
                    <w:rPr>
                      <w:rFonts w:hint="eastAsia"/>
                      <w:color w:val="auto"/>
                      <w:lang w:eastAsia="zh-CN"/>
                    </w:rPr>
                    <w:t>0.0224</w:t>
                  </w:r>
                </w:p>
              </w:tc>
              <w:tc>
                <w:tcPr>
                  <w:tcW w:w="1522" w:type="dxa"/>
                  <w:tcBorders>
                    <w:top w:val="single" w:color="auto" w:sz="4" w:space="0"/>
                    <w:left w:val="single" w:color="auto" w:sz="4" w:space="0"/>
                    <w:bottom w:val="single" w:color="auto" w:sz="4" w:space="0"/>
                    <w:right w:val="single" w:color="auto" w:sz="4" w:space="0"/>
                  </w:tcBorders>
                  <w:vAlign w:val="center"/>
                </w:tcPr>
                <w:p>
                  <w:pPr>
                    <w:jc w:val="center"/>
                    <w:rPr>
                      <w:rFonts w:hint="default" w:eastAsia="宋体"/>
                      <w:color w:val="auto"/>
                      <w:lang w:val="en-US" w:eastAsia="zh-CN"/>
                    </w:rPr>
                  </w:pPr>
                  <w:r>
                    <w:rPr>
                      <w:rFonts w:hint="eastAsia"/>
                      <w:color w:val="auto"/>
                    </w:rPr>
                    <w:t>0.0</w:t>
                  </w:r>
                  <w:r>
                    <w:rPr>
                      <w:rFonts w:hint="eastAsia"/>
                      <w:color w:val="auto"/>
                      <w:lang w:val="en-US" w:eastAsia="zh-CN"/>
                    </w:rPr>
                    <w:t>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6" w:type="dxa"/>
                  <w:vMerge w:val="continue"/>
                  <w:tcBorders>
                    <w:left w:val="single" w:color="auto" w:sz="4" w:space="0"/>
                    <w:right w:val="single" w:color="auto" w:sz="4" w:space="0"/>
                  </w:tcBorders>
                  <w:vAlign w:val="center"/>
                </w:tcPr>
                <w:p>
                  <w:pPr>
                    <w:jc w:val="center"/>
                    <w:rPr>
                      <w:color w:val="auto"/>
                    </w:rPr>
                  </w:pPr>
                </w:p>
              </w:tc>
              <w:tc>
                <w:tcPr>
                  <w:tcW w:w="1527" w:type="dxa"/>
                  <w:vMerge w:val="continue"/>
                  <w:tcBorders>
                    <w:left w:val="single" w:color="auto" w:sz="4" w:space="0"/>
                    <w:right w:val="single" w:color="auto" w:sz="4" w:space="0"/>
                  </w:tcBorders>
                  <w:vAlign w:val="center"/>
                </w:tcPr>
                <w:p>
                  <w:pPr>
                    <w:jc w:val="center"/>
                    <w:rPr>
                      <w:color w:val="auto"/>
                    </w:rPr>
                  </w:pPr>
                </w:p>
              </w:tc>
              <w:tc>
                <w:tcPr>
                  <w:tcW w:w="1423"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rFonts w:hint="eastAsia"/>
                      <w:color w:val="auto"/>
                    </w:rPr>
                    <w:t>SO</w:t>
                  </w:r>
                  <w:r>
                    <w:rPr>
                      <w:rFonts w:hint="eastAsia"/>
                      <w:color w:val="auto"/>
                      <w:vertAlign w:val="subscript"/>
                    </w:rPr>
                    <w:t>2</w:t>
                  </w:r>
                </w:p>
              </w:tc>
              <w:tc>
                <w:tcPr>
                  <w:tcW w:w="1467"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color w:val="auto"/>
                      <w:lang w:eastAsia="zh-CN"/>
                    </w:rPr>
                  </w:pPr>
                  <w:r>
                    <w:rPr>
                      <w:rFonts w:hint="eastAsia"/>
                      <w:color w:val="auto"/>
                      <w:lang w:eastAsia="zh-CN"/>
                    </w:rPr>
                    <w:t>11.14</w:t>
                  </w:r>
                </w:p>
              </w:tc>
              <w:tc>
                <w:tcPr>
                  <w:tcW w:w="1512"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color w:val="auto"/>
                      <w:lang w:eastAsia="zh-CN"/>
                    </w:rPr>
                  </w:pPr>
                  <w:r>
                    <w:rPr>
                      <w:rFonts w:hint="eastAsia"/>
                      <w:color w:val="auto"/>
                      <w:lang w:eastAsia="zh-CN"/>
                    </w:rPr>
                    <w:t>0.0192</w:t>
                  </w:r>
                </w:p>
              </w:tc>
              <w:tc>
                <w:tcPr>
                  <w:tcW w:w="1522" w:type="dxa"/>
                  <w:tcBorders>
                    <w:top w:val="single" w:color="auto" w:sz="4" w:space="0"/>
                    <w:left w:val="single" w:color="auto" w:sz="4" w:space="0"/>
                    <w:bottom w:val="single" w:color="auto" w:sz="4" w:space="0"/>
                    <w:right w:val="single" w:color="auto" w:sz="4" w:space="0"/>
                  </w:tcBorders>
                  <w:vAlign w:val="center"/>
                </w:tcPr>
                <w:p>
                  <w:pPr>
                    <w:jc w:val="center"/>
                    <w:rPr>
                      <w:rFonts w:hint="default" w:eastAsia="宋体"/>
                      <w:color w:val="auto"/>
                      <w:lang w:val="en-US" w:eastAsia="zh-CN"/>
                    </w:rPr>
                  </w:pPr>
                  <w:r>
                    <w:rPr>
                      <w:rFonts w:hint="eastAsia"/>
                      <w:color w:val="auto"/>
                    </w:rPr>
                    <w:t>0.0</w:t>
                  </w:r>
                  <w:r>
                    <w:rPr>
                      <w:rFonts w:hint="eastAsia"/>
                      <w:color w:val="auto"/>
                      <w:lang w:val="en-US" w:eastAsia="zh-CN"/>
                    </w:rPr>
                    <w:t>403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6" w:type="dxa"/>
                  <w:vMerge w:val="continue"/>
                  <w:tcBorders>
                    <w:left w:val="single" w:color="auto" w:sz="4" w:space="0"/>
                    <w:bottom w:val="single" w:color="auto" w:sz="4" w:space="0"/>
                    <w:right w:val="single" w:color="auto" w:sz="4" w:space="0"/>
                  </w:tcBorders>
                  <w:vAlign w:val="center"/>
                </w:tcPr>
                <w:p>
                  <w:pPr>
                    <w:jc w:val="center"/>
                    <w:rPr>
                      <w:color w:val="auto"/>
                    </w:rPr>
                  </w:pPr>
                </w:p>
              </w:tc>
              <w:tc>
                <w:tcPr>
                  <w:tcW w:w="1527" w:type="dxa"/>
                  <w:vMerge w:val="continue"/>
                  <w:tcBorders>
                    <w:left w:val="single" w:color="auto" w:sz="4" w:space="0"/>
                    <w:bottom w:val="single" w:color="auto" w:sz="4" w:space="0"/>
                    <w:right w:val="single" w:color="auto" w:sz="4" w:space="0"/>
                  </w:tcBorders>
                  <w:vAlign w:val="center"/>
                </w:tcPr>
                <w:p>
                  <w:pPr>
                    <w:jc w:val="center"/>
                    <w:rPr>
                      <w:color w:val="auto"/>
                    </w:rPr>
                  </w:pPr>
                </w:p>
              </w:tc>
              <w:tc>
                <w:tcPr>
                  <w:tcW w:w="1423"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rFonts w:hint="eastAsia"/>
                      <w:color w:val="auto"/>
                    </w:rPr>
                    <w:t>NO</w:t>
                  </w:r>
                  <w:r>
                    <w:rPr>
                      <w:rFonts w:hint="eastAsia"/>
                      <w:color w:val="auto"/>
                      <w:vertAlign w:val="subscript"/>
                    </w:rPr>
                    <w:t>X</w:t>
                  </w:r>
                </w:p>
              </w:tc>
              <w:tc>
                <w:tcPr>
                  <w:tcW w:w="1467"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rFonts w:hint="eastAsia"/>
                      <w:color w:val="auto"/>
                    </w:rPr>
                    <w:t>28.13</w:t>
                  </w:r>
                </w:p>
              </w:tc>
              <w:tc>
                <w:tcPr>
                  <w:tcW w:w="1512"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rFonts w:hint="eastAsia"/>
                      <w:color w:val="auto"/>
                    </w:rPr>
                    <w:t>0.0485</w:t>
                  </w:r>
                </w:p>
              </w:tc>
              <w:tc>
                <w:tcPr>
                  <w:tcW w:w="1522"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rFonts w:hint="eastAsia"/>
                      <w:color w:val="auto"/>
                    </w:rPr>
                    <w:t>0.1018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2253" w:type="dxa"/>
                  <w:gridSpan w:val="2"/>
                  <w:vMerge w:val="restart"/>
                  <w:tcBorders>
                    <w:top w:val="single" w:color="auto" w:sz="4" w:space="0"/>
                    <w:left w:val="single" w:color="auto" w:sz="4" w:space="0"/>
                    <w:right w:val="single" w:color="auto" w:sz="4" w:space="0"/>
                  </w:tcBorders>
                  <w:vAlign w:val="center"/>
                </w:tcPr>
                <w:p>
                  <w:pPr>
                    <w:jc w:val="center"/>
                    <w:rPr>
                      <w:color w:val="auto"/>
                    </w:rPr>
                  </w:pPr>
                  <w:r>
                    <w:rPr>
                      <w:color w:val="auto"/>
                    </w:rPr>
                    <w:t>一般排放口合计</w:t>
                  </w:r>
                </w:p>
              </w:tc>
              <w:tc>
                <w:tcPr>
                  <w:tcW w:w="4402" w:type="dxa"/>
                  <w:gridSpan w:val="3"/>
                  <w:tcBorders>
                    <w:top w:val="single" w:color="auto" w:sz="4" w:space="0"/>
                    <w:left w:val="single" w:color="auto" w:sz="4" w:space="0"/>
                    <w:right w:val="single" w:color="auto" w:sz="4" w:space="0"/>
                  </w:tcBorders>
                  <w:vAlign w:val="center"/>
                </w:tcPr>
                <w:p>
                  <w:pPr>
                    <w:jc w:val="center"/>
                    <w:rPr>
                      <w:color w:val="auto"/>
                    </w:rPr>
                  </w:pPr>
                  <w:r>
                    <w:rPr>
                      <w:rFonts w:hint="eastAsia"/>
                      <w:color w:val="auto"/>
                    </w:rPr>
                    <w:t>颗粒物</w:t>
                  </w:r>
                </w:p>
              </w:tc>
              <w:tc>
                <w:tcPr>
                  <w:tcW w:w="1522" w:type="dxa"/>
                  <w:tcBorders>
                    <w:top w:val="single" w:color="auto" w:sz="4" w:space="0"/>
                    <w:left w:val="single" w:color="auto" w:sz="4" w:space="0"/>
                    <w:bottom w:val="single" w:color="auto" w:sz="4" w:space="0"/>
                    <w:right w:val="single" w:color="auto" w:sz="4" w:space="0"/>
                  </w:tcBorders>
                  <w:vAlign w:val="center"/>
                </w:tcPr>
                <w:p>
                  <w:pPr>
                    <w:jc w:val="center"/>
                    <w:rPr>
                      <w:rFonts w:hint="default" w:eastAsia="宋体"/>
                      <w:color w:val="auto"/>
                      <w:lang w:val="en-US" w:eastAsia="zh-CN"/>
                    </w:rPr>
                  </w:pPr>
                  <w:r>
                    <w:rPr>
                      <w:rFonts w:hint="eastAsia"/>
                      <w:color w:val="auto"/>
                    </w:rPr>
                    <w:t>0.1</w:t>
                  </w:r>
                  <w:r>
                    <w:rPr>
                      <w:rFonts w:hint="eastAsia"/>
                      <w:color w:val="auto"/>
                      <w:lang w:val="en-US" w:eastAsia="zh-CN"/>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2253" w:type="dxa"/>
                  <w:gridSpan w:val="2"/>
                  <w:vMerge w:val="continue"/>
                  <w:tcBorders>
                    <w:left w:val="single" w:color="auto" w:sz="4" w:space="0"/>
                    <w:right w:val="single" w:color="auto" w:sz="4" w:space="0"/>
                  </w:tcBorders>
                  <w:vAlign w:val="center"/>
                </w:tcPr>
                <w:p>
                  <w:pPr>
                    <w:jc w:val="center"/>
                    <w:rPr>
                      <w:color w:val="auto"/>
                    </w:rPr>
                  </w:pPr>
                </w:p>
              </w:tc>
              <w:tc>
                <w:tcPr>
                  <w:tcW w:w="4402" w:type="dxa"/>
                  <w:gridSpan w:val="3"/>
                  <w:tcBorders>
                    <w:top w:val="single" w:color="auto" w:sz="4" w:space="0"/>
                    <w:left w:val="single" w:color="auto" w:sz="4" w:space="0"/>
                    <w:right w:val="single" w:color="auto" w:sz="4" w:space="0"/>
                  </w:tcBorders>
                  <w:vAlign w:val="center"/>
                </w:tcPr>
                <w:p>
                  <w:pPr>
                    <w:jc w:val="center"/>
                    <w:rPr>
                      <w:color w:val="auto"/>
                    </w:rPr>
                  </w:pPr>
                  <w:r>
                    <w:rPr>
                      <w:rFonts w:hint="eastAsia"/>
                      <w:color w:val="auto"/>
                    </w:rPr>
                    <w:t>SO</w:t>
                  </w:r>
                  <w:r>
                    <w:rPr>
                      <w:rFonts w:hint="eastAsia"/>
                      <w:color w:val="auto"/>
                      <w:vertAlign w:val="subscript"/>
                    </w:rPr>
                    <w:t>2</w:t>
                  </w:r>
                </w:p>
              </w:tc>
              <w:tc>
                <w:tcPr>
                  <w:tcW w:w="1522" w:type="dxa"/>
                  <w:tcBorders>
                    <w:top w:val="single" w:color="auto" w:sz="4" w:space="0"/>
                    <w:left w:val="single" w:color="auto" w:sz="4" w:space="0"/>
                    <w:bottom w:val="single" w:color="auto" w:sz="4" w:space="0"/>
                    <w:right w:val="single" w:color="auto" w:sz="4" w:space="0"/>
                  </w:tcBorders>
                  <w:vAlign w:val="center"/>
                </w:tcPr>
                <w:p>
                  <w:pPr>
                    <w:jc w:val="center"/>
                    <w:rPr>
                      <w:rFonts w:hint="default" w:eastAsia="宋体"/>
                      <w:color w:val="auto"/>
                      <w:lang w:val="en-US" w:eastAsia="zh-CN"/>
                    </w:rPr>
                  </w:pPr>
                  <w:r>
                    <w:rPr>
                      <w:rFonts w:hint="eastAsia"/>
                      <w:color w:val="auto"/>
                    </w:rPr>
                    <w:t>0.0</w:t>
                  </w:r>
                  <w:r>
                    <w:rPr>
                      <w:rFonts w:hint="eastAsia"/>
                      <w:color w:val="auto"/>
                      <w:lang w:val="en-US" w:eastAsia="zh-CN"/>
                    </w:rPr>
                    <w:t>403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253" w:type="dxa"/>
                  <w:gridSpan w:val="2"/>
                  <w:vMerge w:val="continue"/>
                  <w:tcBorders>
                    <w:left w:val="single" w:color="auto" w:sz="4" w:space="0"/>
                    <w:bottom w:val="single" w:color="auto" w:sz="4" w:space="0"/>
                    <w:right w:val="single" w:color="auto" w:sz="4" w:space="0"/>
                  </w:tcBorders>
                  <w:vAlign w:val="center"/>
                </w:tcPr>
                <w:p>
                  <w:pPr>
                    <w:jc w:val="center"/>
                    <w:rPr>
                      <w:color w:val="auto"/>
                    </w:rPr>
                  </w:pPr>
                </w:p>
              </w:tc>
              <w:tc>
                <w:tcPr>
                  <w:tcW w:w="4402" w:type="dxa"/>
                  <w:gridSpan w:val="3"/>
                  <w:tcBorders>
                    <w:top w:val="single" w:color="auto" w:sz="4" w:space="0"/>
                    <w:left w:val="single" w:color="auto" w:sz="4" w:space="0"/>
                    <w:right w:val="single" w:color="auto" w:sz="4" w:space="0"/>
                  </w:tcBorders>
                  <w:vAlign w:val="center"/>
                </w:tcPr>
                <w:p>
                  <w:pPr>
                    <w:jc w:val="center"/>
                    <w:rPr>
                      <w:color w:val="auto"/>
                    </w:rPr>
                  </w:pPr>
                  <w:r>
                    <w:rPr>
                      <w:rFonts w:hint="eastAsia"/>
                      <w:color w:val="auto"/>
                    </w:rPr>
                    <w:t>NO</w:t>
                  </w:r>
                  <w:r>
                    <w:rPr>
                      <w:rFonts w:hint="eastAsia"/>
                      <w:color w:val="auto"/>
                      <w:vertAlign w:val="subscript"/>
                    </w:rPr>
                    <w:t>X</w:t>
                  </w:r>
                </w:p>
              </w:tc>
              <w:tc>
                <w:tcPr>
                  <w:tcW w:w="1522"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rFonts w:hint="eastAsia"/>
                      <w:color w:val="auto"/>
                    </w:rPr>
                    <w:t>0.1018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177" w:type="dxa"/>
                  <w:gridSpan w:val="6"/>
                  <w:tcBorders>
                    <w:top w:val="single" w:color="auto" w:sz="4" w:space="0"/>
                    <w:left w:val="single" w:color="auto" w:sz="4" w:space="0"/>
                    <w:bottom w:val="single" w:color="auto" w:sz="4" w:space="0"/>
                    <w:right w:val="single" w:color="auto" w:sz="4" w:space="0"/>
                  </w:tcBorders>
                  <w:vAlign w:val="center"/>
                </w:tcPr>
                <w:p>
                  <w:pPr>
                    <w:jc w:val="center"/>
                    <w:rPr>
                      <w:color w:val="auto"/>
                    </w:rPr>
                  </w:pPr>
                  <w:r>
                    <w:rPr>
                      <w:color w:val="auto"/>
                    </w:rPr>
                    <w:t>有组织排放总计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253" w:type="dxa"/>
                  <w:gridSpan w:val="2"/>
                  <w:vMerge w:val="restart"/>
                  <w:tcBorders>
                    <w:top w:val="single" w:color="auto" w:sz="4" w:space="0"/>
                    <w:left w:val="single" w:color="auto" w:sz="4" w:space="0"/>
                    <w:right w:val="single" w:color="auto" w:sz="4" w:space="0"/>
                  </w:tcBorders>
                  <w:vAlign w:val="center"/>
                </w:tcPr>
                <w:p>
                  <w:pPr>
                    <w:jc w:val="center"/>
                    <w:rPr>
                      <w:color w:val="auto"/>
                    </w:rPr>
                  </w:pPr>
                  <w:r>
                    <w:rPr>
                      <w:color w:val="auto"/>
                    </w:rPr>
                    <w:t>有组织排放总计</w:t>
                  </w:r>
                </w:p>
              </w:tc>
              <w:tc>
                <w:tcPr>
                  <w:tcW w:w="4402" w:type="dxa"/>
                  <w:gridSpan w:val="3"/>
                  <w:tcBorders>
                    <w:top w:val="single" w:color="auto" w:sz="4" w:space="0"/>
                    <w:left w:val="single" w:color="auto" w:sz="4" w:space="0"/>
                    <w:bottom w:val="single" w:color="auto" w:sz="4" w:space="0"/>
                    <w:right w:val="single" w:color="auto" w:sz="4" w:space="0"/>
                  </w:tcBorders>
                  <w:vAlign w:val="center"/>
                </w:tcPr>
                <w:p>
                  <w:pPr>
                    <w:jc w:val="center"/>
                    <w:rPr>
                      <w:color w:val="auto"/>
                    </w:rPr>
                  </w:pPr>
                  <w:r>
                    <w:rPr>
                      <w:rFonts w:hint="eastAsia"/>
                      <w:color w:val="auto"/>
                    </w:rPr>
                    <w:t>颗粒物</w:t>
                  </w:r>
                </w:p>
              </w:tc>
              <w:tc>
                <w:tcPr>
                  <w:tcW w:w="1522" w:type="dxa"/>
                  <w:tcBorders>
                    <w:top w:val="single" w:color="auto" w:sz="4" w:space="0"/>
                    <w:left w:val="single" w:color="auto" w:sz="4" w:space="0"/>
                    <w:bottom w:val="single" w:color="auto" w:sz="4" w:space="0"/>
                    <w:right w:val="single" w:color="auto" w:sz="4" w:space="0"/>
                  </w:tcBorders>
                  <w:vAlign w:val="center"/>
                </w:tcPr>
                <w:p>
                  <w:pPr>
                    <w:jc w:val="center"/>
                    <w:rPr>
                      <w:rFonts w:hint="default" w:eastAsia="宋体"/>
                      <w:color w:val="auto"/>
                      <w:lang w:val="en-US" w:eastAsia="zh-CN"/>
                    </w:rPr>
                  </w:pPr>
                  <w:r>
                    <w:rPr>
                      <w:rFonts w:hint="eastAsia"/>
                      <w:color w:val="auto"/>
                    </w:rPr>
                    <w:t>0.1</w:t>
                  </w:r>
                  <w:r>
                    <w:rPr>
                      <w:rFonts w:hint="eastAsia"/>
                      <w:color w:val="auto"/>
                      <w:lang w:val="en-US" w:eastAsia="zh-CN"/>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253" w:type="dxa"/>
                  <w:gridSpan w:val="2"/>
                  <w:vMerge w:val="continue"/>
                  <w:tcBorders>
                    <w:left w:val="single" w:color="auto" w:sz="4" w:space="0"/>
                    <w:right w:val="single" w:color="auto" w:sz="4" w:space="0"/>
                  </w:tcBorders>
                  <w:vAlign w:val="center"/>
                </w:tcPr>
                <w:p>
                  <w:pPr>
                    <w:jc w:val="center"/>
                    <w:rPr>
                      <w:color w:val="auto"/>
                    </w:rPr>
                  </w:pPr>
                </w:p>
              </w:tc>
              <w:tc>
                <w:tcPr>
                  <w:tcW w:w="4402" w:type="dxa"/>
                  <w:gridSpan w:val="3"/>
                  <w:tcBorders>
                    <w:top w:val="single" w:color="auto" w:sz="4" w:space="0"/>
                    <w:left w:val="single" w:color="auto" w:sz="4" w:space="0"/>
                    <w:bottom w:val="single" w:color="auto" w:sz="4" w:space="0"/>
                    <w:right w:val="single" w:color="auto" w:sz="4" w:space="0"/>
                  </w:tcBorders>
                  <w:vAlign w:val="center"/>
                </w:tcPr>
                <w:p>
                  <w:pPr>
                    <w:jc w:val="center"/>
                    <w:rPr>
                      <w:color w:val="auto"/>
                    </w:rPr>
                  </w:pPr>
                  <w:r>
                    <w:rPr>
                      <w:rFonts w:hint="eastAsia"/>
                      <w:color w:val="auto"/>
                    </w:rPr>
                    <w:t>SO</w:t>
                  </w:r>
                  <w:r>
                    <w:rPr>
                      <w:rFonts w:hint="eastAsia"/>
                      <w:color w:val="auto"/>
                      <w:vertAlign w:val="subscript"/>
                    </w:rPr>
                    <w:t>2</w:t>
                  </w:r>
                </w:p>
              </w:tc>
              <w:tc>
                <w:tcPr>
                  <w:tcW w:w="1522" w:type="dxa"/>
                  <w:tcBorders>
                    <w:top w:val="single" w:color="auto" w:sz="4" w:space="0"/>
                    <w:left w:val="single" w:color="auto" w:sz="4" w:space="0"/>
                    <w:bottom w:val="single" w:color="auto" w:sz="4" w:space="0"/>
                    <w:right w:val="single" w:color="auto" w:sz="4" w:space="0"/>
                  </w:tcBorders>
                  <w:vAlign w:val="center"/>
                </w:tcPr>
                <w:p>
                  <w:pPr>
                    <w:jc w:val="center"/>
                    <w:rPr>
                      <w:rFonts w:hint="default" w:eastAsia="宋体"/>
                      <w:color w:val="auto"/>
                      <w:lang w:val="en-US" w:eastAsia="zh-CN"/>
                    </w:rPr>
                  </w:pPr>
                  <w:r>
                    <w:rPr>
                      <w:rFonts w:hint="eastAsia"/>
                      <w:color w:val="auto"/>
                    </w:rPr>
                    <w:t>0.0</w:t>
                  </w:r>
                  <w:r>
                    <w:rPr>
                      <w:rFonts w:hint="eastAsia"/>
                      <w:color w:val="auto"/>
                      <w:lang w:val="en-US" w:eastAsia="zh-CN"/>
                    </w:rPr>
                    <w:t>403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253" w:type="dxa"/>
                  <w:gridSpan w:val="2"/>
                  <w:vMerge w:val="continue"/>
                  <w:tcBorders>
                    <w:left w:val="single" w:color="auto" w:sz="4" w:space="0"/>
                    <w:bottom w:val="single" w:color="auto" w:sz="4" w:space="0"/>
                    <w:right w:val="single" w:color="auto" w:sz="4" w:space="0"/>
                  </w:tcBorders>
                  <w:vAlign w:val="center"/>
                </w:tcPr>
                <w:p>
                  <w:pPr>
                    <w:jc w:val="center"/>
                    <w:rPr>
                      <w:color w:val="auto"/>
                    </w:rPr>
                  </w:pPr>
                </w:p>
              </w:tc>
              <w:tc>
                <w:tcPr>
                  <w:tcW w:w="4402" w:type="dxa"/>
                  <w:gridSpan w:val="3"/>
                  <w:tcBorders>
                    <w:top w:val="single" w:color="auto" w:sz="4" w:space="0"/>
                    <w:left w:val="single" w:color="auto" w:sz="4" w:space="0"/>
                    <w:right w:val="single" w:color="auto" w:sz="4" w:space="0"/>
                  </w:tcBorders>
                  <w:vAlign w:val="center"/>
                </w:tcPr>
                <w:p>
                  <w:pPr>
                    <w:jc w:val="center"/>
                    <w:rPr>
                      <w:color w:val="auto"/>
                    </w:rPr>
                  </w:pPr>
                  <w:r>
                    <w:rPr>
                      <w:rFonts w:hint="eastAsia"/>
                      <w:color w:val="auto"/>
                    </w:rPr>
                    <w:t>NO</w:t>
                  </w:r>
                  <w:r>
                    <w:rPr>
                      <w:rFonts w:hint="eastAsia"/>
                      <w:color w:val="auto"/>
                      <w:vertAlign w:val="subscript"/>
                    </w:rPr>
                    <w:t>X</w:t>
                  </w:r>
                </w:p>
              </w:tc>
              <w:tc>
                <w:tcPr>
                  <w:tcW w:w="1522"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rFonts w:hint="eastAsia"/>
                      <w:color w:val="auto"/>
                    </w:rPr>
                    <w:t>0.1018</w:t>
                  </w:r>
                </w:p>
              </w:tc>
            </w:tr>
          </w:tbl>
          <w:p>
            <w:pPr>
              <w:spacing w:line="360" w:lineRule="auto"/>
              <w:jc w:val="center"/>
              <w:rPr>
                <w:b/>
                <w:bCs/>
                <w:color w:val="auto"/>
                <w:sz w:val="24"/>
                <w:szCs w:val="24"/>
              </w:rPr>
            </w:pPr>
            <w:r>
              <w:rPr>
                <w:b/>
                <w:bCs/>
                <w:color w:val="auto"/>
                <w:sz w:val="24"/>
                <w:szCs w:val="24"/>
              </w:rPr>
              <w:t>表4-</w:t>
            </w:r>
            <w:r>
              <w:rPr>
                <w:rFonts w:hint="eastAsia"/>
                <w:b/>
                <w:bCs/>
                <w:color w:val="auto"/>
                <w:sz w:val="24"/>
                <w:szCs w:val="24"/>
              </w:rPr>
              <w:t>6</w:t>
            </w:r>
            <w:r>
              <w:rPr>
                <w:b/>
                <w:bCs/>
                <w:color w:val="auto"/>
                <w:sz w:val="24"/>
                <w:szCs w:val="24"/>
              </w:rPr>
              <w:t xml:space="preserve">  本项目大气污染物无组织排放量核算表</w:t>
            </w:r>
          </w:p>
          <w:tbl>
            <w:tblPr>
              <w:tblStyle w:val="23"/>
              <w:tblW w:w="82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0"/>
              <w:gridCol w:w="846"/>
              <w:gridCol w:w="975"/>
              <w:gridCol w:w="825"/>
              <w:gridCol w:w="1515"/>
              <w:gridCol w:w="1802"/>
              <w:gridCol w:w="1021"/>
              <w:gridCol w:w="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410" w:type="dxa"/>
                  <w:vMerge w:val="restart"/>
                  <w:tcBorders>
                    <w:top w:val="single" w:color="auto" w:sz="4" w:space="0"/>
                    <w:left w:val="single" w:color="auto" w:sz="4" w:space="0"/>
                    <w:bottom w:val="single" w:color="auto" w:sz="4" w:space="0"/>
                    <w:right w:val="single" w:color="auto" w:sz="4" w:space="0"/>
                  </w:tcBorders>
                  <w:vAlign w:val="center"/>
                </w:tcPr>
                <w:p>
                  <w:pPr>
                    <w:jc w:val="center"/>
                    <w:rPr>
                      <w:color w:val="auto"/>
                    </w:rPr>
                  </w:pPr>
                  <w:r>
                    <w:rPr>
                      <w:color w:val="auto"/>
                    </w:rPr>
                    <w:t>序号</w:t>
                  </w:r>
                </w:p>
              </w:tc>
              <w:tc>
                <w:tcPr>
                  <w:tcW w:w="846" w:type="dxa"/>
                  <w:vMerge w:val="restart"/>
                  <w:tcBorders>
                    <w:top w:val="single" w:color="auto" w:sz="4" w:space="0"/>
                    <w:left w:val="single" w:color="auto" w:sz="4" w:space="0"/>
                    <w:bottom w:val="single" w:color="auto" w:sz="4" w:space="0"/>
                    <w:right w:val="single" w:color="auto" w:sz="4" w:space="0"/>
                  </w:tcBorders>
                  <w:vAlign w:val="center"/>
                </w:tcPr>
                <w:p>
                  <w:pPr>
                    <w:jc w:val="center"/>
                    <w:rPr>
                      <w:color w:val="auto"/>
                    </w:rPr>
                  </w:pPr>
                  <w:r>
                    <w:rPr>
                      <w:color w:val="auto"/>
                    </w:rPr>
                    <w:t>排放</w:t>
                  </w:r>
                  <w:r>
                    <w:rPr>
                      <w:rFonts w:hint="eastAsia"/>
                      <w:color w:val="auto"/>
                    </w:rPr>
                    <w:t>源</w:t>
                  </w:r>
                </w:p>
              </w:tc>
              <w:tc>
                <w:tcPr>
                  <w:tcW w:w="975" w:type="dxa"/>
                  <w:vMerge w:val="restart"/>
                  <w:tcBorders>
                    <w:top w:val="single" w:color="auto" w:sz="4" w:space="0"/>
                    <w:left w:val="single" w:color="auto" w:sz="4" w:space="0"/>
                    <w:bottom w:val="single" w:color="auto" w:sz="4" w:space="0"/>
                    <w:right w:val="single" w:color="auto" w:sz="4" w:space="0"/>
                  </w:tcBorders>
                  <w:vAlign w:val="center"/>
                </w:tcPr>
                <w:p>
                  <w:pPr>
                    <w:jc w:val="center"/>
                    <w:rPr>
                      <w:color w:val="auto"/>
                    </w:rPr>
                  </w:pPr>
                  <w:r>
                    <w:rPr>
                      <w:color w:val="auto"/>
                    </w:rPr>
                    <w:t>产污环节</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jc w:val="center"/>
                    <w:rPr>
                      <w:color w:val="auto"/>
                    </w:rPr>
                  </w:pPr>
                  <w:r>
                    <w:rPr>
                      <w:color w:val="auto"/>
                    </w:rPr>
                    <w:t>污染物</w:t>
                  </w:r>
                </w:p>
              </w:tc>
              <w:tc>
                <w:tcPr>
                  <w:tcW w:w="1515" w:type="dxa"/>
                  <w:vMerge w:val="restart"/>
                  <w:tcBorders>
                    <w:top w:val="single" w:color="auto" w:sz="4" w:space="0"/>
                    <w:left w:val="single" w:color="auto" w:sz="4" w:space="0"/>
                    <w:bottom w:val="single" w:color="auto" w:sz="4" w:space="0"/>
                    <w:right w:val="single" w:color="auto" w:sz="4" w:space="0"/>
                  </w:tcBorders>
                  <w:vAlign w:val="center"/>
                </w:tcPr>
                <w:p>
                  <w:pPr>
                    <w:jc w:val="center"/>
                    <w:rPr>
                      <w:color w:val="auto"/>
                    </w:rPr>
                  </w:pPr>
                  <w:r>
                    <w:rPr>
                      <w:color w:val="auto"/>
                    </w:rPr>
                    <w:t>主要污染防治措施</w:t>
                  </w:r>
                </w:p>
              </w:tc>
              <w:tc>
                <w:tcPr>
                  <w:tcW w:w="2823" w:type="dxa"/>
                  <w:gridSpan w:val="2"/>
                  <w:tcBorders>
                    <w:top w:val="single" w:color="auto" w:sz="4" w:space="0"/>
                    <w:left w:val="single" w:color="auto" w:sz="4" w:space="0"/>
                    <w:bottom w:val="single" w:color="auto" w:sz="4" w:space="0"/>
                    <w:right w:val="single" w:color="auto" w:sz="4" w:space="0"/>
                  </w:tcBorders>
                  <w:vAlign w:val="center"/>
                </w:tcPr>
                <w:p>
                  <w:pPr>
                    <w:jc w:val="center"/>
                    <w:rPr>
                      <w:color w:val="auto"/>
                    </w:rPr>
                  </w:pPr>
                  <w:r>
                    <w:rPr>
                      <w:color w:val="auto"/>
                    </w:rPr>
                    <w:t>国家或地方污染物排放标准</w:t>
                  </w:r>
                </w:p>
              </w:tc>
              <w:tc>
                <w:tcPr>
                  <w:tcW w:w="840" w:type="dxa"/>
                  <w:vMerge w:val="restart"/>
                  <w:tcBorders>
                    <w:top w:val="single" w:color="auto" w:sz="4" w:space="0"/>
                    <w:left w:val="single" w:color="auto" w:sz="4" w:space="0"/>
                    <w:bottom w:val="single" w:color="auto" w:sz="4" w:space="0"/>
                    <w:right w:val="single" w:color="auto" w:sz="4" w:space="0"/>
                  </w:tcBorders>
                  <w:vAlign w:val="center"/>
                </w:tcPr>
                <w:p>
                  <w:pPr>
                    <w:jc w:val="center"/>
                    <w:rPr>
                      <w:color w:val="auto"/>
                    </w:rPr>
                  </w:pPr>
                  <w:r>
                    <w:rPr>
                      <w:color w:val="auto"/>
                    </w:rPr>
                    <w:t>年排放量</w:t>
                  </w:r>
                </w:p>
                <w:p>
                  <w:pPr>
                    <w:jc w:val="center"/>
                    <w:rPr>
                      <w:color w:val="auto"/>
                    </w:rPr>
                  </w:pPr>
                  <w:r>
                    <w:rPr>
                      <w:color w:val="auto"/>
                    </w:rP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410" w:type="dxa"/>
                  <w:vMerge w:val="continue"/>
                  <w:tcBorders>
                    <w:top w:val="single" w:color="auto" w:sz="4" w:space="0"/>
                    <w:left w:val="single" w:color="auto" w:sz="4" w:space="0"/>
                    <w:bottom w:val="single" w:color="auto" w:sz="4" w:space="0"/>
                    <w:right w:val="single" w:color="auto" w:sz="4" w:space="0"/>
                  </w:tcBorders>
                  <w:vAlign w:val="center"/>
                </w:tcPr>
                <w:p>
                  <w:pPr>
                    <w:jc w:val="center"/>
                    <w:rPr>
                      <w:color w:val="auto"/>
                    </w:rPr>
                  </w:pPr>
                </w:p>
              </w:tc>
              <w:tc>
                <w:tcPr>
                  <w:tcW w:w="846" w:type="dxa"/>
                  <w:vMerge w:val="continue"/>
                  <w:tcBorders>
                    <w:top w:val="single" w:color="auto" w:sz="4" w:space="0"/>
                    <w:left w:val="single" w:color="auto" w:sz="4" w:space="0"/>
                    <w:bottom w:val="single" w:color="auto" w:sz="4" w:space="0"/>
                    <w:right w:val="single" w:color="auto" w:sz="4" w:space="0"/>
                  </w:tcBorders>
                  <w:vAlign w:val="center"/>
                </w:tcPr>
                <w:p>
                  <w:pPr>
                    <w:jc w:val="center"/>
                    <w:rPr>
                      <w:color w:val="auto"/>
                    </w:rPr>
                  </w:pPr>
                </w:p>
              </w:tc>
              <w:tc>
                <w:tcPr>
                  <w:tcW w:w="975" w:type="dxa"/>
                  <w:vMerge w:val="continue"/>
                  <w:tcBorders>
                    <w:top w:val="single" w:color="auto" w:sz="4" w:space="0"/>
                    <w:left w:val="single" w:color="auto" w:sz="4" w:space="0"/>
                    <w:bottom w:val="single" w:color="auto" w:sz="4" w:space="0"/>
                    <w:right w:val="single" w:color="auto" w:sz="4" w:space="0"/>
                  </w:tcBorders>
                  <w:vAlign w:val="center"/>
                </w:tcPr>
                <w:p>
                  <w:pPr>
                    <w:jc w:val="center"/>
                    <w:rPr>
                      <w:color w:val="auto"/>
                    </w:rPr>
                  </w:pPr>
                </w:p>
              </w:tc>
              <w:tc>
                <w:tcPr>
                  <w:tcW w:w="825" w:type="dxa"/>
                  <w:vMerge w:val="continue"/>
                  <w:tcBorders>
                    <w:top w:val="single" w:color="auto" w:sz="4" w:space="0"/>
                    <w:left w:val="single" w:color="auto" w:sz="4" w:space="0"/>
                    <w:bottom w:val="single" w:color="auto" w:sz="4" w:space="0"/>
                    <w:right w:val="single" w:color="auto" w:sz="4" w:space="0"/>
                  </w:tcBorders>
                  <w:vAlign w:val="center"/>
                </w:tcPr>
                <w:p>
                  <w:pPr>
                    <w:jc w:val="center"/>
                    <w:rPr>
                      <w:color w:val="auto"/>
                    </w:rPr>
                  </w:pPr>
                </w:p>
              </w:tc>
              <w:tc>
                <w:tcPr>
                  <w:tcW w:w="1515" w:type="dxa"/>
                  <w:vMerge w:val="continue"/>
                  <w:tcBorders>
                    <w:top w:val="single" w:color="auto" w:sz="4" w:space="0"/>
                    <w:left w:val="single" w:color="auto" w:sz="4" w:space="0"/>
                    <w:bottom w:val="single" w:color="auto" w:sz="4" w:space="0"/>
                    <w:right w:val="single" w:color="auto" w:sz="4" w:space="0"/>
                  </w:tcBorders>
                  <w:vAlign w:val="center"/>
                </w:tcPr>
                <w:p>
                  <w:pPr>
                    <w:jc w:val="center"/>
                    <w:rPr>
                      <w:color w:val="auto"/>
                    </w:rPr>
                  </w:pPr>
                </w:p>
              </w:tc>
              <w:tc>
                <w:tcPr>
                  <w:tcW w:w="1802"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color w:val="auto"/>
                    </w:rPr>
                    <w:t>标准名称</w:t>
                  </w:r>
                </w:p>
              </w:tc>
              <w:tc>
                <w:tcPr>
                  <w:tcW w:w="1021"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color w:val="auto"/>
                    </w:rPr>
                    <w:t>浓度限值</w:t>
                  </w:r>
                </w:p>
                <w:p>
                  <w:pPr>
                    <w:jc w:val="center"/>
                    <w:rPr>
                      <w:color w:val="auto"/>
                    </w:rPr>
                  </w:pPr>
                  <w:r>
                    <w:rPr>
                      <w:color w:val="auto"/>
                    </w:rPr>
                    <w:t>(mg/m</w:t>
                  </w:r>
                  <w:r>
                    <w:rPr>
                      <w:color w:val="auto"/>
                      <w:vertAlign w:val="superscript"/>
                    </w:rPr>
                    <w:t>3</w:t>
                  </w:r>
                  <w:r>
                    <w:rPr>
                      <w:color w:val="auto"/>
                    </w:rPr>
                    <w:t>)</w:t>
                  </w: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3" w:hRule="atLeast"/>
              </w:trPr>
              <w:tc>
                <w:tcPr>
                  <w:tcW w:w="410"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color w:val="auto"/>
                      <w:lang w:val="en-US" w:eastAsia="zh-CN"/>
                    </w:rPr>
                  </w:pPr>
                  <w:r>
                    <w:rPr>
                      <w:rFonts w:hint="eastAsia"/>
                      <w:color w:val="auto"/>
                      <w:lang w:val="en-US" w:eastAsia="zh-CN"/>
                    </w:rPr>
                    <w:t>1</w:t>
                  </w:r>
                </w:p>
              </w:tc>
              <w:tc>
                <w:tcPr>
                  <w:tcW w:w="846" w:type="dxa"/>
                  <w:tcBorders>
                    <w:top w:val="single" w:color="auto" w:sz="4" w:space="0"/>
                    <w:left w:val="single" w:color="auto" w:sz="4" w:space="0"/>
                    <w:right w:val="single" w:color="auto" w:sz="4" w:space="0"/>
                  </w:tcBorders>
                  <w:vAlign w:val="center"/>
                </w:tcPr>
                <w:p>
                  <w:pPr>
                    <w:jc w:val="center"/>
                    <w:rPr>
                      <w:color w:val="auto"/>
                    </w:rPr>
                  </w:pPr>
                  <w:r>
                    <w:rPr>
                      <w:rFonts w:hint="eastAsia"/>
                      <w:color w:val="auto"/>
                      <w:lang w:eastAsia="zh-CN"/>
                    </w:rPr>
                    <w:t>猪饲料</w:t>
                  </w:r>
                  <w:r>
                    <w:rPr>
                      <w:rFonts w:hint="eastAsia"/>
                      <w:color w:val="auto"/>
                    </w:rPr>
                    <w:t>生产线</w:t>
                  </w:r>
                </w:p>
              </w:tc>
              <w:tc>
                <w:tcPr>
                  <w:tcW w:w="975" w:type="dxa"/>
                  <w:tcBorders>
                    <w:top w:val="single" w:color="auto" w:sz="4" w:space="0"/>
                    <w:left w:val="single" w:color="auto" w:sz="4" w:space="0"/>
                    <w:right w:val="single" w:color="auto" w:sz="4" w:space="0"/>
                  </w:tcBorders>
                  <w:vAlign w:val="center"/>
                </w:tcPr>
                <w:p>
                  <w:pPr>
                    <w:jc w:val="center"/>
                    <w:rPr>
                      <w:color w:val="auto"/>
                    </w:rPr>
                  </w:pPr>
                  <w:r>
                    <w:rPr>
                      <w:rFonts w:hint="eastAsia"/>
                      <w:color w:val="auto"/>
                    </w:rPr>
                    <w:t>投料</w:t>
                  </w:r>
                </w:p>
              </w:tc>
              <w:tc>
                <w:tcPr>
                  <w:tcW w:w="825" w:type="dxa"/>
                  <w:tcBorders>
                    <w:top w:val="single" w:color="auto" w:sz="4" w:space="0"/>
                    <w:left w:val="single" w:color="auto" w:sz="4" w:space="0"/>
                    <w:right w:val="single" w:color="auto" w:sz="4" w:space="0"/>
                  </w:tcBorders>
                  <w:vAlign w:val="center"/>
                </w:tcPr>
                <w:p>
                  <w:pPr>
                    <w:jc w:val="center"/>
                    <w:rPr>
                      <w:color w:val="auto"/>
                    </w:rPr>
                  </w:pPr>
                  <w:r>
                    <w:rPr>
                      <w:rFonts w:hint="eastAsia"/>
                      <w:color w:val="auto"/>
                    </w:rPr>
                    <w:t>颗粒物</w:t>
                  </w:r>
                </w:p>
              </w:tc>
              <w:tc>
                <w:tcPr>
                  <w:tcW w:w="1515" w:type="dxa"/>
                  <w:vMerge w:val="restart"/>
                  <w:tcBorders>
                    <w:top w:val="single" w:color="auto" w:sz="4" w:space="0"/>
                    <w:left w:val="single" w:color="auto" w:sz="4" w:space="0"/>
                    <w:right w:val="single" w:color="auto" w:sz="4" w:space="0"/>
                  </w:tcBorders>
                  <w:vAlign w:val="center"/>
                </w:tcPr>
                <w:p>
                  <w:pPr>
                    <w:adjustRightInd w:val="0"/>
                    <w:snapToGrid w:val="0"/>
                    <w:jc w:val="center"/>
                    <w:rPr>
                      <w:color w:val="auto"/>
                    </w:rPr>
                  </w:pPr>
                  <w:r>
                    <w:rPr>
                      <w:rFonts w:hint="eastAsia" w:ascii="宋体" w:hAnsi="宋体" w:cs="宋体"/>
                      <w:color w:val="auto"/>
                    </w:rPr>
                    <w:t>生产工艺粉尘经负压收集或密闭收集后，经除尘器进行处理，同时加强</w:t>
                  </w:r>
                  <w:r>
                    <w:rPr>
                      <w:rFonts w:ascii="宋体" w:hAnsi="宋体" w:cs="宋体"/>
                      <w:color w:val="auto"/>
                    </w:rPr>
                    <w:t>车间</w:t>
                  </w:r>
                  <w:r>
                    <w:rPr>
                      <w:rFonts w:hint="eastAsia" w:ascii="宋体" w:hAnsi="宋体" w:cs="宋体"/>
                      <w:color w:val="auto"/>
                    </w:rPr>
                    <w:t>机械通排风和自然</w:t>
                  </w:r>
                  <w:r>
                    <w:rPr>
                      <w:rFonts w:ascii="宋体" w:hAnsi="宋体" w:cs="宋体"/>
                      <w:color w:val="auto"/>
                    </w:rPr>
                    <w:t>通风、定期清扫沉降粉尘等措施</w:t>
                  </w:r>
                </w:p>
              </w:tc>
              <w:tc>
                <w:tcPr>
                  <w:tcW w:w="1802" w:type="dxa"/>
                  <w:vMerge w:val="restart"/>
                  <w:tcBorders>
                    <w:top w:val="single" w:color="auto" w:sz="4" w:space="0"/>
                    <w:left w:val="single" w:color="auto" w:sz="4" w:space="0"/>
                    <w:right w:val="single" w:color="auto" w:sz="4" w:space="0"/>
                  </w:tcBorders>
                  <w:vAlign w:val="center"/>
                </w:tcPr>
                <w:p>
                  <w:pPr>
                    <w:jc w:val="center"/>
                    <w:rPr>
                      <w:color w:val="auto"/>
                    </w:rPr>
                  </w:pPr>
                  <w:r>
                    <w:rPr>
                      <w:color w:val="auto"/>
                    </w:rPr>
                    <w:t>上海市地方标准《大气污染物综合排放标准》（DB 31/933-2015）</w:t>
                  </w:r>
                </w:p>
              </w:tc>
              <w:tc>
                <w:tcPr>
                  <w:tcW w:w="1021" w:type="dxa"/>
                  <w:vMerge w:val="restart"/>
                  <w:tcBorders>
                    <w:top w:val="single" w:color="auto" w:sz="4" w:space="0"/>
                    <w:left w:val="single" w:color="auto" w:sz="4" w:space="0"/>
                    <w:right w:val="single" w:color="auto" w:sz="4" w:space="0"/>
                  </w:tcBorders>
                  <w:vAlign w:val="center"/>
                </w:tcPr>
                <w:p>
                  <w:pPr>
                    <w:jc w:val="center"/>
                    <w:rPr>
                      <w:color w:val="auto"/>
                    </w:rPr>
                  </w:pPr>
                  <w:r>
                    <w:rPr>
                      <w:rFonts w:hint="eastAsia"/>
                      <w:color w:val="auto"/>
                    </w:rPr>
                    <w:t>0.5</w:t>
                  </w:r>
                </w:p>
              </w:tc>
              <w:tc>
                <w:tcPr>
                  <w:tcW w:w="840" w:type="dxa"/>
                  <w:vMerge w:val="restart"/>
                  <w:tcBorders>
                    <w:top w:val="single" w:color="auto" w:sz="4" w:space="0"/>
                    <w:left w:val="single" w:color="auto" w:sz="4" w:space="0"/>
                    <w:right w:val="single" w:color="auto" w:sz="4" w:space="0"/>
                  </w:tcBorders>
                  <w:vAlign w:val="center"/>
                </w:tcPr>
                <w:p>
                  <w:pPr>
                    <w:adjustRightInd w:val="0"/>
                    <w:snapToGrid w:val="0"/>
                    <w:jc w:val="center"/>
                    <w:rPr>
                      <w:rFonts w:hint="default" w:eastAsia="宋体"/>
                      <w:color w:val="auto"/>
                      <w:lang w:val="en-US" w:eastAsia="zh-CN"/>
                    </w:rPr>
                  </w:pPr>
                  <w:r>
                    <w:rPr>
                      <w:rFonts w:hint="eastAsia"/>
                      <w:color w:val="auto"/>
                    </w:rPr>
                    <w:t>0.5</w:t>
                  </w:r>
                  <w:r>
                    <w:rPr>
                      <w:rFonts w:hint="eastAsia"/>
                      <w:color w:val="auto"/>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410" w:type="dxa"/>
                  <w:tcBorders>
                    <w:top w:val="single" w:color="auto" w:sz="4" w:space="0"/>
                    <w:left w:val="single" w:color="auto" w:sz="4" w:space="0"/>
                    <w:right w:val="single" w:color="auto" w:sz="4" w:space="0"/>
                  </w:tcBorders>
                  <w:vAlign w:val="center"/>
                </w:tcPr>
                <w:p>
                  <w:pPr>
                    <w:jc w:val="center"/>
                    <w:rPr>
                      <w:rFonts w:hint="eastAsia" w:eastAsia="宋体"/>
                      <w:color w:val="auto"/>
                      <w:lang w:val="en-US" w:eastAsia="zh-CN"/>
                    </w:rPr>
                  </w:pPr>
                  <w:r>
                    <w:rPr>
                      <w:rFonts w:hint="eastAsia"/>
                      <w:color w:val="auto"/>
                      <w:lang w:val="en-US" w:eastAsia="zh-CN"/>
                    </w:rPr>
                    <w:t>2</w:t>
                  </w:r>
                </w:p>
              </w:tc>
              <w:tc>
                <w:tcPr>
                  <w:tcW w:w="846" w:type="dxa"/>
                  <w:tcBorders>
                    <w:top w:val="single" w:color="auto" w:sz="4" w:space="0"/>
                    <w:left w:val="single" w:color="auto" w:sz="4" w:space="0"/>
                    <w:right w:val="single" w:color="auto" w:sz="4" w:space="0"/>
                  </w:tcBorders>
                  <w:vAlign w:val="center"/>
                </w:tcPr>
                <w:p>
                  <w:pPr>
                    <w:adjustRightInd w:val="0"/>
                    <w:snapToGrid w:val="0"/>
                    <w:jc w:val="center"/>
                    <w:rPr>
                      <w:color w:val="auto"/>
                    </w:rPr>
                  </w:pPr>
                  <w:r>
                    <w:rPr>
                      <w:rFonts w:hint="eastAsia"/>
                      <w:color w:val="auto"/>
                      <w:lang w:eastAsia="zh-CN"/>
                    </w:rPr>
                    <w:t>反刍饲料</w:t>
                  </w:r>
                  <w:r>
                    <w:rPr>
                      <w:rFonts w:hint="eastAsia"/>
                      <w:color w:val="auto"/>
                    </w:rPr>
                    <w:t>生产线</w:t>
                  </w:r>
                </w:p>
              </w:tc>
              <w:tc>
                <w:tcPr>
                  <w:tcW w:w="975" w:type="dxa"/>
                  <w:tcBorders>
                    <w:top w:val="single" w:color="auto" w:sz="4" w:space="0"/>
                    <w:left w:val="single" w:color="auto" w:sz="4" w:space="0"/>
                    <w:right w:val="single" w:color="auto" w:sz="4" w:space="0"/>
                  </w:tcBorders>
                  <w:vAlign w:val="center"/>
                </w:tcPr>
                <w:p>
                  <w:pPr>
                    <w:jc w:val="center"/>
                    <w:rPr>
                      <w:color w:val="auto"/>
                    </w:rPr>
                  </w:pPr>
                  <w:r>
                    <w:rPr>
                      <w:rFonts w:hint="eastAsia"/>
                      <w:color w:val="auto"/>
                    </w:rPr>
                    <w:t>投料</w:t>
                  </w:r>
                </w:p>
              </w:tc>
              <w:tc>
                <w:tcPr>
                  <w:tcW w:w="825" w:type="dxa"/>
                  <w:tcBorders>
                    <w:top w:val="single" w:color="auto" w:sz="4" w:space="0"/>
                    <w:left w:val="single" w:color="auto" w:sz="4" w:space="0"/>
                    <w:right w:val="single" w:color="auto" w:sz="4" w:space="0"/>
                  </w:tcBorders>
                  <w:vAlign w:val="center"/>
                </w:tcPr>
                <w:p>
                  <w:pPr>
                    <w:jc w:val="center"/>
                    <w:rPr>
                      <w:color w:val="auto"/>
                    </w:rPr>
                  </w:pPr>
                  <w:r>
                    <w:rPr>
                      <w:rFonts w:hint="eastAsia"/>
                      <w:color w:val="auto"/>
                    </w:rPr>
                    <w:t>颗粒物</w:t>
                  </w:r>
                </w:p>
              </w:tc>
              <w:tc>
                <w:tcPr>
                  <w:tcW w:w="1515" w:type="dxa"/>
                  <w:vMerge w:val="continue"/>
                  <w:tcBorders>
                    <w:left w:val="single" w:color="auto" w:sz="4" w:space="0"/>
                    <w:right w:val="single" w:color="auto" w:sz="4" w:space="0"/>
                  </w:tcBorders>
                  <w:vAlign w:val="center"/>
                </w:tcPr>
                <w:p>
                  <w:pPr>
                    <w:adjustRightInd w:val="0"/>
                    <w:snapToGrid w:val="0"/>
                    <w:jc w:val="center"/>
                    <w:rPr>
                      <w:color w:val="auto"/>
                    </w:rPr>
                  </w:pPr>
                </w:p>
              </w:tc>
              <w:tc>
                <w:tcPr>
                  <w:tcW w:w="1802" w:type="dxa"/>
                  <w:vMerge w:val="continue"/>
                  <w:tcBorders>
                    <w:left w:val="single" w:color="auto" w:sz="4" w:space="0"/>
                    <w:right w:val="single" w:color="auto" w:sz="4" w:space="0"/>
                  </w:tcBorders>
                  <w:vAlign w:val="center"/>
                </w:tcPr>
                <w:p>
                  <w:pPr>
                    <w:jc w:val="center"/>
                    <w:rPr>
                      <w:color w:val="auto"/>
                    </w:rPr>
                  </w:pPr>
                </w:p>
              </w:tc>
              <w:tc>
                <w:tcPr>
                  <w:tcW w:w="1021" w:type="dxa"/>
                  <w:vMerge w:val="continue"/>
                  <w:tcBorders>
                    <w:left w:val="single" w:color="auto" w:sz="4" w:space="0"/>
                    <w:right w:val="single" w:color="auto" w:sz="4" w:space="0"/>
                  </w:tcBorders>
                  <w:vAlign w:val="center"/>
                </w:tcPr>
                <w:p>
                  <w:pPr>
                    <w:jc w:val="center"/>
                    <w:rPr>
                      <w:color w:val="auto"/>
                    </w:rPr>
                  </w:pPr>
                </w:p>
              </w:tc>
              <w:tc>
                <w:tcPr>
                  <w:tcW w:w="840" w:type="dxa"/>
                  <w:vMerge w:val="continue"/>
                  <w:tcBorders>
                    <w:left w:val="single" w:color="auto" w:sz="4" w:space="0"/>
                    <w:bottom w:val="single" w:color="auto" w:sz="4" w:space="0"/>
                    <w:right w:val="single" w:color="auto" w:sz="4" w:space="0"/>
                  </w:tcBorders>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8234" w:type="dxa"/>
                  <w:gridSpan w:val="8"/>
                  <w:tcBorders>
                    <w:top w:val="single" w:color="auto" w:sz="4" w:space="0"/>
                    <w:left w:val="single" w:color="auto" w:sz="4" w:space="0"/>
                    <w:bottom w:val="single" w:color="auto" w:sz="4" w:space="0"/>
                    <w:right w:val="single" w:color="auto" w:sz="4" w:space="0"/>
                  </w:tcBorders>
                  <w:vAlign w:val="center"/>
                </w:tcPr>
                <w:p>
                  <w:pPr>
                    <w:jc w:val="center"/>
                    <w:rPr>
                      <w:color w:val="auto"/>
                    </w:rPr>
                  </w:pPr>
                  <w:r>
                    <w:rPr>
                      <w:color w:val="auto"/>
                    </w:rPr>
                    <w:t>无组织排放总计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1" w:hRule="atLeast"/>
              </w:trPr>
              <w:tc>
                <w:tcPr>
                  <w:tcW w:w="2231" w:type="dxa"/>
                  <w:gridSpan w:val="3"/>
                  <w:tcBorders>
                    <w:top w:val="single" w:color="auto" w:sz="4" w:space="0"/>
                    <w:left w:val="single" w:color="auto" w:sz="4" w:space="0"/>
                    <w:bottom w:val="single" w:color="auto" w:sz="4" w:space="0"/>
                    <w:right w:val="single" w:color="auto" w:sz="4" w:space="0"/>
                  </w:tcBorders>
                  <w:vAlign w:val="center"/>
                </w:tcPr>
                <w:p>
                  <w:pPr>
                    <w:jc w:val="center"/>
                    <w:rPr>
                      <w:color w:val="auto"/>
                    </w:rPr>
                  </w:pPr>
                  <w:r>
                    <w:rPr>
                      <w:color w:val="auto"/>
                    </w:rPr>
                    <w:t>无组织排放总计</w:t>
                  </w:r>
                </w:p>
              </w:tc>
              <w:tc>
                <w:tcPr>
                  <w:tcW w:w="5163" w:type="dxa"/>
                  <w:gridSpan w:val="4"/>
                  <w:tcBorders>
                    <w:top w:val="single" w:color="auto" w:sz="4" w:space="0"/>
                    <w:left w:val="single" w:color="auto" w:sz="4" w:space="0"/>
                    <w:right w:val="single" w:color="auto" w:sz="4" w:space="0"/>
                  </w:tcBorders>
                  <w:vAlign w:val="center"/>
                </w:tcPr>
                <w:p>
                  <w:pPr>
                    <w:jc w:val="center"/>
                    <w:rPr>
                      <w:color w:val="auto"/>
                    </w:rPr>
                  </w:pPr>
                  <w:r>
                    <w:rPr>
                      <w:color w:val="auto"/>
                    </w:rPr>
                    <w:t>颗粒物</w:t>
                  </w:r>
                </w:p>
              </w:tc>
              <w:tc>
                <w:tcPr>
                  <w:tcW w:w="840" w:type="dxa"/>
                  <w:tcBorders>
                    <w:top w:val="single" w:color="auto" w:sz="4" w:space="0"/>
                    <w:left w:val="single" w:color="auto" w:sz="4" w:space="0"/>
                    <w:bottom w:val="single" w:color="auto" w:sz="4" w:space="0"/>
                    <w:right w:val="single" w:color="auto" w:sz="4" w:space="0"/>
                  </w:tcBorders>
                  <w:vAlign w:val="center"/>
                </w:tcPr>
                <w:p>
                  <w:pPr>
                    <w:jc w:val="center"/>
                    <w:rPr>
                      <w:rFonts w:hint="default" w:eastAsia="宋体"/>
                      <w:color w:val="auto"/>
                      <w:lang w:val="en-US" w:eastAsia="zh-CN"/>
                    </w:rPr>
                  </w:pPr>
                  <w:r>
                    <w:rPr>
                      <w:rFonts w:hint="eastAsia"/>
                      <w:color w:val="auto"/>
                      <w:lang w:val="en-US" w:eastAsia="zh-CN"/>
                    </w:rPr>
                    <w:t>0.530</w:t>
                  </w:r>
                </w:p>
              </w:tc>
            </w:tr>
          </w:tbl>
          <w:p>
            <w:pPr>
              <w:spacing w:line="360" w:lineRule="auto"/>
              <w:jc w:val="center"/>
              <w:rPr>
                <w:b/>
                <w:bCs/>
                <w:color w:val="auto"/>
                <w:sz w:val="24"/>
                <w:szCs w:val="24"/>
              </w:rPr>
            </w:pPr>
            <w:r>
              <w:rPr>
                <w:b/>
                <w:bCs/>
                <w:color w:val="auto"/>
                <w:sz w:val="24"/>
                <w:szCs w:val="24"/>
              </w:rPr>
              <w:t>表4-</w:t>
            </w:r>
            <w:r>
              <w:rPr>
                <w:rFonts w:hint="eastAsia"/>
                <w:b/>
                <w:bCs/>
                <w:color w:val="auto"/>
                <w:sz w:val="24"/>
                <w:szCs w:val="24"/>
              </w:rPr>
              <w:t>7</w:t>
            </w:r>
            <w:r>
              <w:rPr>
                <w:b/>
                <w:bCs/>
                <w:color w:val="auto"/>
                <w:sz w:val="24"/>
                <w:szCs w:val="24"/>
              </w:rPr>
              <w:t xml:space="preserve">  本项目大气污染物年排放量核算表</w:t>
            </w:r>
          </w:p>
          <w:tbl>
            <w:tblPr>
              <w:tblStyle w:val="23"/>
              <w:tblW w:w="82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61"/>
              <w:gridCol w:w="2671"/>
              <w:gridCol w:w="2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861"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color w:val="auto"/>
                    </w:rPr>
                    <w:t>序号</w:t>
                  </w:r>
                </w:p>
              </w:tc>
              <w:tc>
                <w:tcPr>
                  <w:tcW w:w="2671"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color w:val="auto"/>
                    </w:rPr>
                    <w:t>污染物</w:t>
                  </w:r>
                </w:p>
              </w:tc>
              <w:tc>
                <w:tcPr>
                  <w:tcW w:w="2746"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color w:val="auto"/>
                    </w:rPr>
                    <w:t>年排放量（t/a）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861"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color w:val="auto"/>
                    </w:rPr>
                    <w:t>1</w:t>
                  </w:r>
                </w:p>
              </w:tc>
              <w:tc>
                <w:tcPr>
                  <w:tcW w:w="2671"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color w:val="auto"/>
                    </w:rPr>
                    <w:t>颗粒物</w:t>
                  </w:r>
                </w:p>
              </w:tc>
              <w:tc>
                <w:tcPr>
                  <w:tcW w:w="2746" w:type="dxa"/>
                  <w:tcBorders>
                    <w:top w:val="single" w:color="auto" w:sz="4" w:space="0"/>
                    <w:left w:val="single" w:color="auto" w:sz="4" w:space="0"/>
                    <w:bottom w:val="single" w:color="auto" w:sz="4" w:space="0"/>
                    <w:right w:val="single" w:color="auto" w:sz="4" w:space="0"/>
                  </w:tcBorders>
                  <w:vAlign w:val="center"/>
                </w:tcPr>
                <w:p>
                  <w:pPr>
                    <w:jc w:val="center"/>
                    <w:rPr>
                      <w:rFonts w:hint="default" w:eastAsia="宋体"/>
                      <w:color w:val="auto"/>
                      <w:lang w:val="en-US" w:eastAsia="zh-CN"/>
                    </w:rPr>
                  </w:pPr>
                  <w:r>
                    <w:rPr>
                      <w:rFonts w:hint="eastAsia"/>
                      <w:color w:val="auto"/>
                      <w:lang w:eastAsia="zh-CN"/>
                    </w:rPr>
                    <w:t>0.</w:t>
                  </w:r>
                  <w:r>
                    <w:rPr>
                      <w:rFonts w:hint="eastAsia"/>
                      <w:color w:val="auto"/>
                      <w:lang w:val="en-US" w:eastAsia="zh-CN"/>
                    </w:rPr>
                    <w:t>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861"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color w:val="auto"/>
                    </w:rPr>
                    <w:t>2</w:t>
                  </w:r>
                </w:p>
              </w:tc>
              <w:tc>
                <w:tcPr>
                  <w:tcW w:w="2671"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rFonts w:hint="eastAsia"/>
                      <w:color w:val="auto"/>
                    </w:rPr>
                    <w:t>SO</w:t>
                  </w:r>
                  <w:r>
                    <w:rPr>
                      <w:rFonts w:hint="eastAsia"/>
                      <w:color w:val="auto"/>
                      <w:vertAlign w:val="subscript"/>
                    </w:rPr>
                    <w:t>2</w:t>
                  </w:r>
                </w:p>
              </w:tc>
              <w:tc>
                <w:tcPr>
                  <w:tcW w:w="2746" w:type="dxa"/>
                  <w:tcBorders>
                    <w:top w:val="single" w:color="auto" w:sz="4" w:space="0"/>
                    <w:left w:val="single" w:color="auto" w:sz="4" w:space="0"/>
                    <w:bottom w:val="single" w:color="auto" w:sz="4" w:space="0"/>
                    <w:right w:val="single" w:color="auto" w:sz="4" w:space="0"/>
                  </w:tcBorders>
                  <w:vAlign w:val="center"/>
                </w:tcPr>
                <w:p>
                  <w:pPr>
                    <w:jc w:val="center"/>
                    <w:rPr>
                      <w:rFonts w:hint="default" w:eastAsia="宋体"/>
                      <w:color w:val="auto"/>
                      <w:lang w:val="en-US" w:eastAsia="zh-CN"/>
                    </w:rPr>
                  </w:pPr>
                  <w:r>
                    <w:rPr>
                      <w:rFonts w:hint="eastAsia"/>
                      <w:color w:val="auto"/>
                    </w:rPr>
                    <w:t>0.0</w:t>
                  </w:r>
                  <w:r>
                    <w:rPr>
                      <w:rFonts w:hint="eastAsia"/>
                      <w:color w:val="auto"/>
                      <w:lang w:val="en-US" w:eastAsia="zh-CN"/>
                    </w:rPr>
                    <w:t>403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861"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rFonts w:hint="eastAsia"/>
                      <w:color w:val="auto"/>
                    </w:rPr>
                    <w:t>3</w:t>
                  </w:r>
                </w:p>
              </w:tc>
              <w:tc>
                <w:tcPr>
                  <w:tcW w:w="2671"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rFonts w:hint="eastAsia"/>
                      <w:color w:val="auto"/>
                    </w:rPr>
                    <w:t>NO</w:t>
                  </w:r>
                  <w:r>
                    <w:rPr>
                      <w:rFonts w:hint="eastAsia"/>
                      <w:color w:val="auto"/>
                      <w:vertAlign w:val="subscript"/>
                    </w:rPr>
                    <w:t>X</w:t>
                  </w:r>
                </w:p>
              </w:tc>
              <w:tc>
                <w:tcPr>
                  <w:tcW w:w="2746" w:type="dxa"/>
                  <w:tcBorders>
                    <w:top w:val="single" w:color="auto" w:sz="4" w:space="0"/>
                    <w:left w:val="single" w:color="auto" w:sz="4" w:space="0"/>
                    <w:right w:val="single" w:color="auto" w:sz="4" w:space="0"/>
                  </w:tcBorders>
                  <w:vAlign w:val="center"/>
                </w:tcPr>
                <w:p>
                  <w:pPr>
                    <w:jc w:val="center"/>
                    <w:rPr>
                      <w:color w:val="auto"/>
                    </w:rPr>
                  </w:pPr>
                  <w:r>
                    <w:rPr>
                      <w:rFonts w:hint="eastAsia"/>
                      <w:color w:val="auto"/>
                    </w:rPr>
                    <w:t>0.1018</w:t>
                  </w:r>
                </w:p>
              </w:tc>
            </w:tr>
          </w:tbl>
          <w:p>
            <w:pPr>
              <w:spacing w:line="360" w:lineRule="auto"/>
              <w:ind w:firstLine="482" w:firstLineChars="200"/>
              <w:rPr>
                <w:b/>
                <w:bCs/>
                <w:color w:val="auto"/>
                <w:sz w:val="24"/>
                <w:szCs w:val="24"/>
              </w:rPr>
            </w:pPr>
            <w:r>
              <w:rPr>
                <w:b/>
                <w:bCs/>
                <w:color w:val="auto"/>
                <w:sz w:val="24"/>
                <w:szCs w:val="24"/>
              </w:rPr>
              <w:t>1.3本项目废气排放达标性分析</w:t>
            </w:r>
          </w:p>
          <w:p>
            <w:pPr>
              <w:spacing w:line="360" w:lineRule="auto"/>
              <w:ind w:firstLine="480" w:firstLineChars="200"/>
              <w:rPr>
                <w:color w:val="auto"/>
                <w:sz w:val="24"/>
                <w:szCs w:val="24"/>
              </w:rPr>
            </w:pPr>
            <w:r>
              <w:rPr>
                <w:rFonts w:hint="eastAsia"/>
                <w:color w:val="auto"/>
                <w:sz w:val="24"/>
                <w:szCs w:val="24"/>
              </w:rPr>
              <w:t>本项目</w:t>
            </w:r>
            <w:r>
              <w:rPr>
                <w:rFonts w:hint="eastAsia"/>
                <w:color w:val="auto"/>
                <w:sz w:val="24"/>
                <w:szCs w:val="24"/>
                <w:lang w:eastAsia="zh-CN"/>
              </w:rPr>
              <w:t>猪饲料</w:t>
            </w:r>
            <w:r>
              <w:rPr>
                <w:rFonts w:hint="eastAsia"/>
                <w:color w:val="auto"/>
                <w:sz w:val="24"/>
                <w:szCs w:val="24"/>
              </w:rPr>
              <w:t>生产过程中，</w:t>
            </w:r>
            <w:r>
              <w:rPr>
                <w:rFonts w:ascii="宋体" w:hAnsi="宋体" w:cs="宋体"/>
                <w:color w:val="auto"/>
                <w:sz w:val="24"/>
                <w:szCs w:val="24"/>
              </w:rPr>
              <w:t>投料、初清筛、粉碎、配料和打包工段</w:t>
            </w:r>
            <w:r>
              <w:rPr>
                <w:rFonts w:hint="eastAsia"/>
                <w:color w:val="auto"/>
                <w:kern w:val="0"/>
                <w:sz w:val="24"/>
                <w:szCs w:val="24"/>
              </w:rPr>
              <w:t>产生的粉尘经各工段配置的除尘器进行处理后，通过同一根35m高的DA001排气筒高空排放；</w:t>
            </w:r>
            <w:r>
              <w:rPr>
                <w:rFonts w:hint="eastAsia"/>
                <w:color w:val="auto"/>
                <w:kern w:val="0"/>
                <w:sz w:val="24"/>
                <w:szCs w:val="24"/>
                <w:lang w:eastAsia="zh-CN"/>
              </w:rPr>
              <w:t>反刍饲料</w:t>
            </w:r>
            <w:r>
              <w:rPr>
                <w:rFonts w:hint="eastAsia"/>
                <w:color w:val="auto"/>
                <w:kern w:val="0"/>
                <w:sz w:val="24"/>
                <w:szCs w:val="24"/>
              </w:rPr>
              <w:t>生产过程中，</w:t>
            </w:r>
            <w:r>
              <w:rPr>
                <w:rFonts w:ascii="宋体" w:hAnsi="宋体" w:cs="宋体"/>
                <w:color w:val="auto"/>
                <w:sz w:val="24"/>
                <w:szCs w:val="24"/>
              </w:rPr>
              <w:t>投料、初清筛、粉碎、配料和打包工段</w:t>
            </w:r>
            <w:r>
              <w:rPr>
                <w:rFonts w:hint="eastAsia"/>
                <w:color w:val="auto"/>
                <w:kern w:val="0"/>
                <w:sz w:val="24"/>
                <w:szCs w:val="24"/>
              </w:rPr>
              <w:t>产生的粉尘经各工段配置的除尘器进行处理后，通过同一根35m高的DA002排气筒高空排放；燃气锅炉设置了低氮燃烧器，燃烧废气通过一根8m高的DA003排气筒高空排放。</w:t>
            </w:r>
          </w:p>
          <w:p>
            <w:pPr>
              <w:spacing w:line="360" w:lineRule="auto"/>
              <w:ind w:firstLine="480" w:firstLineChars="200"/>
              <w:rPr>
                <w:b/>
                <w:bCs/>
                <w:color w:val="auto"/>
                <w:sz w:val="24"/>
                <w:szCs w:val="24"/>
              </w:rPr>
            </w:pPr>
            <w:r>
              <w:rPr>
                <w:color w:val="auto"/>
                <w:sz w:val="24"/>
                <w:szCs w:val="24"/>
              </w:rPr>
              <w:t>根据工程分析可知，</w:t>
            </w:r>
            <w:r>
              <w:rPr>
                <w:rFonts w:hint="eastAsia"/>
                <w:color w:val="auto"/>
                <w:sz w:val="24"/>
                <w:szCs w:val="24"/>
              </w:rPr>
              <w:t>本项目</w:t>
            </w:r>
            <w:r>
              <w:rPr>
                <w:rFonts w:hint="eastAsia"/>
                <w:color w:val="auto"/>
                <w:sz w:val="24"/>
                <w:szCs w:val="24"/>
                <w:lang w:eastAsia="zh-CN"/>
              </w:rPr>
              <w:t>猪饲料</w:t>
            </w:r>
            <w:r>
              <w:rPr>
                <w:rFonts w:hint="eastAsia"/>
                <w:color w:val="auto"/>
                <w:sz w:val="24"/>
                <w:szCs w:val="24"/>
              </w:rPr>
              <w:t>、</w:t>
            </w:r>
            <w:r>
              <w:rPr>
                <w:rFonts w:hint="eastAsia"/>
                <w:color w:val="auto"/>
                <w:sz w:val="24"/>
                <w:szCs w:val="24"/>
                <w:lang w:eastAsia="zh-CN"/>
              </w:rPr>
              <w:t>反刍饲料</w:t>
            </w:r>
            <w:r>
              <w:rPr>
                <w:rFonts w:hint="eastAsia"/>
                <w:color w:val="auto"/>
                <w:sz w:val="24"/>
                <w:szCs w:val="24"/>
              </w:rPr>
              <w:t>生产过程中颗粒物的有组织以及无组织排放均能满足</w:t>
            </w:r>
            <w:r>
              <w:rPr>
                <w:color w:val="auto"/>
                <w:sz w:val="24"/>
                <w:szCs w:val="24"/>
              </w:rPr>
              <w:t>上海市地方标准《大气污染物综合排放标准》（DB 31/933-2015）中</w:t>
            </w:r>
            <w:r>
              <w:rPr>
                <w:rFonts w:hint="eastAsia"/>
                <w:color w:val="auto"/>
                <w:sz w:val="24"/>
                <w:szCs w:val="24"/>
              </w:rPr>
              <w:t>相关</w:t>
            </w:r>
            <w:r>
              <w:rPr>
                <w:color w:val="auto"/>
                <w:sz w:val="24"/>
                <w:szCs w:val="24"/>
              </w:rPr>
              <w:t>排放限值</w:t>
            </w:r>
            <w:r>
              <w:rPr>
                <w:rFonts w:hint="eastAsia"/>
                <w:color w:val="auto"/>
                <w:sz w:val="24"/>
                <w:szCs w:val="24"/>
              </w:rPr>
              <w:t>；</w:t>
            </w:r>
            <w:r>
              <w:rPr>
                <w:color w:val="auto"/>
                <w:sz w:val="24"/>
                <w:szCs w:val="24"/>
              </w:rPr>
              <w:t>锅炉烟气</w:t>
            </w:r>
            <w:r>
              <w:rPr>
                <w:rFonts w:hint="eastAsia"/>
                <w:color w:val="auto"/>
                <w:sz w:val="24"/>
                <w:szCs w:val="24"/>
              </w:rPr>
              <w:t>满足</w:t>
            </w:r>
            <w:r>
              <w:rPr>
                <w:color w:val="auto"/>
                <w:sz w:val="24"/>
                <w:szCs w:val="24"/>
              </w:rPr>
              <w:t>《锅炉大气污染物排放</w:t>
            </w:r>
            <w:r>
              <w:rPr>
                <w:rFonts w:hint="eastAsia"/>
                <w:color w:val="auto"/>
                <w:sz w:val="24"/>
                <w:szCs w:val="24"/>
              </w:rPr>
              <w:t>标准</w:t>
            </w:r>
            <w:r>
              <w:rPr>
                <w:color w:val="auto"/>
                <w:sz w:val="24"/>
                <w:szCs w:val="24"/>
              </w:rPr>
              <w:t>》（GB13271-2014）中燃气锅炉特别排放限值标准和皖大气办〔2020〕2号《安徽省大气办关于印发〈安徽省2020年大气污染防治重点工作任务〉的通知》中相关要求</w:t>
            </w:r>
            <w:r>
              <w:rPr>
                <w:rFonts w:hint="eastAsia"/>
                <w:color w:val="auto"/>
                <w:sz w:val="24"/>
                <w:szCs w:val="24"/>
              </w:rPr>
              <w:t>；食堂油烟也满足《饮食业油烟排放标准》（试行）（GB18483-2001）中小型标准。</w:t>
            </w:r>
          </w:p>
          <w:p>
            <w:pPr>
              <w:spacing w:line="360" w:lineRule="auto"/>
              <w:ind w:firstLine="482" w:firstLineChars="200"/>
              <w:rPr>
                <w:color w:val="auto"/>
                <w:sz w:val="24"/>
                <w:szCs w:val="24"/>
              </w:rPr>
            </w:pPr>
            <w:r>
              <w:rPr>
                <w:b/>
                <w:bCs/>
                <w:color w:val="auto"/>
                <w:sz w:val="24"/>
                <w:szCs w:val="24"/>
              </w:rPr>
              <w:t>1.4废气治理设施的可行性分析</w:t>
            </w:r>
          </w:p>
          <w:p>
            <w:pPr>
              <w:widowControl/>
              <w:spacing w:line="360" w:lineRule="auto"/>
              <w:ind w:firstLine="480" w:firstLineChars="200"/>
              <w:jc w:val="left"/>
              <w:rPr>
                <w:color w:val="auto"/>
                <w:sz w:val="24"/>
                <w:szCs w:val="24"/>
              </w:rPr>
            </w:pPr>
            <w:r>
              <w:rPr>
                <w:color w:val="auto"/>
                <w:sz w:val="24"/>
                <w:szCs w:val="24"/>
              </w:rPr>
              <w:t>（1）</w:t>
            </w:r>
            <w:r>
              <w:rPr>
                <w:rFonts w:hint="eastAsia"/>
                <w:color w:val="auto"/>
                <w:sz w:val="24"/>
                <w:szCs w:val="24"/>
              </w:rPr>
              <w:t>饲料生产过程中产生粉尘</w:t>
            </w:r>
          </w:p>
          <w:p>
            <w:pPr>
              <w:widowControl/>
              <w:spacing w:line="360" w:lineRule="auto"/>
              <w:ind w:firstLine="480" w:firstLineChars="200"/>
              <w:jc w:val="left"/>
              <w:rPr>
                <w:color w:val="auto"/>
                <w:sz w:val="24"/>
                <w:szCs w:val="24"/>
              </w:rPr>
            </w:pPr>
            <w:r>
              <w:rPr>
                <w:color w:val="auto"/>
                <w:sz w:val="24"/>
                <w:szCs w:val="24"/>
              </w:rPr>
              <w:t xml:space="preserve">对照《排污许可证申请与核发技术规范 </w:t>
            </w:r>
            <w:r>
              <w:rPr>
                <w:rFonts w:hint="eastAsia"/>
                <w:color w:val="auto"/>
                <w:sz w:val="24"/>
                <w:szCs w:val="24"/>
              </w:rPr>
              <w:t>农副食品加工工业—饲料加工、植物油加工工业</w:t>
            </w:r>
            <w:r>
              <w:rPr>
                <w:color w:val="auto"/>
                <w:sz w:val="24"/>
                <w:szCs w:val="24"/>
              </w:rPr>
              <w:t xml:space="preserve">》（HJ </w:t>
            </w:r>
            <w:r>
              <w:rPr>
                <w:rFonts w:hint="eastAsia"/>
                <w:color w:val="auto"/>
                <w:sz w:val="24"/>
                <w:szCs w:val="24"/>
              </w:rPr>
              <w:t>1110</w:t>
            </w:r>
            <w:r>
              <w:rPr>
                <w:color w:val="auto"/>
                <w:sz w:val="24"/>
                <w:szCs w:val="24"/>
              </w:rPr>
              <w:t>-20</w:t>
            </w:r>
            <w:r>
              <w:rPr>
                <w:rFonts w:hint="eastAsia"/>
                <w:color w:val="auto"/>
                <w:sz w:val="24"/>
                <w:szCs w:val="24"/>
              </w:rPr>
              <w:t>20</w:t>
            </w:r>
            <w:r>
              <w:rPr>
                <w:color w:val="auto"/>
                <w:sz w:val="24"/>
                <w:szCs w:val="24"/>
              </w:rPr>
              <w:t>）中</w:t>
            </w:r>
            <w:r>
              <w:rPr>
                <w:rFonts w:hint="eastAsia" w:ascii="宋体" w:hAnsi="宋体" w:cs="宋体"/>
                <w:color w:val="auto"/>
                <w:sz w:val="24"/>
                <w:szCs w:val="24"/>
              </w:rPr>
              <w:t>“附录</w:t>
            </w:r>
            <w:r>
              <w:rPr>
                <w:color w:val="auto"/>
                <w:sz w:val="24"/>
                <w:szCs w:val="24"/>
              </w:rPr>
              <w:t>C</w:t>
            </w:r>
            <w:r>
              <w:rPr>
                <w:color w:val="auto"/>
                <w:kern w:val="0"/>
                <w:sz w:val="24"/>
                <w:szCs w:val="24"/>
              </w:rPr>
              <w:t>废气污染防治可行技术参考表</w:t>
            </w:r>
            <w:r>
              <w:rPr>
                <w:rFonts w:hint="eastAsia" w:ascii="宋体" w:hAnsi="宋体" w:cs="宋体"/>
                <w:color w:val="auto"/>
                <w:sz w:val="24"/>
                <w:szCs w:val="24"/>
              </w:rPr>
              <w:t>”</w:t>
            </w:r>
            <w:r>
              <w:rPr>
                <w:color w:val="auto"/>
                <w:sz w:val="24"/>
                <w:szCs w:val="24"/>
              </w:rPr>
              <w:t>，本项目符合性见下表。</w:t>
            </w:r>
          </w:p>
          <w:p>
            <w:pPr>
              <w:pStyle w:val="8"/>
              <w:spacing w:line="360" w:lineRule="auto"/>
              <w:ind w:left="0"/>
              <w:jc w:val="center"/>
              <w:rPr>
                <w:rFonts w:ascii="Times New Roman" w:hAnsi="Times New Roman" w:cs="Times New Roman"/>
                <w:color w:val="auto"/>
                <w:lang w:val="en-US"/>
              </w:rPr>
            </w:pPr>
            <w:r>
              <w:rPr>
                <w:rFonts w:ascii="Times New Roman" w:hAnsi="Times New Roman" w:cs="Times New Roman"/>
                <w:color w:val="auto"/>
              </w:rPr>
              <w:t>表</w:t>
            </w:r>
            <w:r>
              <w:rPr>
                <w:rFonts w:ascii="Times New Roman" w:hAnsi="Times New Roman" w:cs="Times New Roman"/>
                <w:color w:val="auto"/>
                <w:lang w:val="en-US"/>
              </w:rPr>
              <w:t>4-</w:t>
            </w:r>
            <w:r>
              <w:rPr>
                <w:rFonts w:hint="eastAsia" w:ascii="Times New Roman" w:hAnsi="Times New Roman" w:cs="Times New Roman"/>
                <w:color w:val="auto"/>
                <w:lang w:val="en-US"/>
              </w:rPr>
              <w:t>8</w:t>
            </w:r>
            <w:r>
              <w:rPr>
                <w:rFonts w:ascii="Times New Roman" w:hAnsi="Times New Roman" w:cs="Times New Roman"/>
                <w:color w:val="auto"/>
                <w:kern w:val="0"/>
                <w:lang w:val="en-US"/>
              </w:rPr>
              <w:t>废气污染防治可行技术参考表</w:t>
            </w:r>
            <w:r>
              <w:rPr>
                <w:rFonts w:hint="eastAsia" w:ascii="Times New Roman" w:hAnsi="Times New Roman" w:cs="Times New Roman"/>
                <w:color w:val="auto"/>
                <w:kern w:val="0"/>
                <w:lang w:val="en-US"/>
              </w:rPr>
              <w:t>（节选）</w:t>
            </w:r>
          </w:p>
          <w:tbl>
            <w:tblPr>
              <w:tblStyle w:val="23"/>
              <w:tblW w:w="8182" w:type="dxa"/>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7"/>
              <w:gridCol w:w="1080"/>
              <w:gridCol w:w="2100"/>
              <w:gridCol w:w="2111"/>
              <w:gridCol w:w="7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2157"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rFonts w:hint="eastAsia"/>
                      <w:color w:val="auto"/>
                    </w:rPr>
                    <w:t>产生废气设施</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rFonts w:hint="eastAsia"/>
                      <w:color w:val="auto"/>
                    </w:rPr>
                    <w:t>污染控制项目</w:t>
                  </w:r>
                </w:p>
              </w:tc>
              <w:tc>
                <w:tcPr>
                  <w:tcW w:w="2100"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rFonts w:hint="eastAsia"/>
                      <w:color w:val="auto"/>
                    </w:rPr>
                    <w:t>可行技术</w:t>
                  </w:r>
                </w:p>
              </w:tc>
              <w:tc>
                <w:tcPr>
                  <w:tcW w:w="2111"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color w:val="auto"/>
                    </w:rPr>
                    <w:t>本项目</w:t>
                  </w:r>
                  <w:r>
                    <w:rPr>
                      <w:color w:val="auto"/>
                      <w:kern w:val="0"/>
                    </w:rPr>
                    <w:t>污染防治</w:t>
                  </w:r>
                  <w:r>
                    <w:rPr>
                      <w:rFonts w:hint="eastAsia"/>
                      <w:color w:val="auto"/>
                      <w:kern w:val="0"/>
                    </w:rPr>
                    <w:t>技术</w:t>
                  </w:r>
                </w:p>
              </w:tc>
              <w:tc>
                <w:tcPr>
                  <w:tcW w:w="734"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color w:val="auto"/>
                    </w:rPr>
                    <w:t>分析结果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 w:hRule="atLeast"/>
              </w:trPr>
              <w:tc>
                <w:tcPr>
                  <w:tcW w:w="2157"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rFonts w:hint="eastAsia"/>
                      <w:color w:val="auto"/>
                    </w:rPr>
                    <w:t>清理筛、风选机、破碎机、粉碎机、混合机、制粒机、碎粒机、分级筛、包装机</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jc w:val="center"/>
                    <w:rPr>
                      <w:color w:val="auto"/>
                    </w:rPr>
                  </w:pPr>
                  <w:r>
                    <w:rPr>
                      <w:rFonts w:hint="eastAsia"/>
                      <w:color w:val="auto"/>
                    </w:rPr>
                    <w:t>颗粒物</w:t>
                  </w:r>
                </w:p>
              </w:tc>
              <w:tc>
                <w:tcPr>
                  <w:tcW w:w="2100" w:type="dxa"/>
                  <w:tcBorders>
                    <w:top w:val="single" w:color="auto" w:sz="4" w:space="0"/>
                    <w:left w:val="single" w:color="auto" w:sz="4" w:space="0"/>
                    <w:bottom w:val="single" w:color="auto" w:sz="4" w:space="0"/>
                    <w:right w:val="single" w:color="auto" w:sz="4" w:space="0"/>
                  </w:tcBorders>
                  <w:vAlign w:val="center"/>
                </w:tcPr>
                <w:p>
                  <w:pPr>
                    <w:widowControl/>
                    <w:jc w:val="center"/>
                    <w:rPr>
                      <w:color w:val="auto"/>
                    </w:rPr>
                  </w:pPr>
                  <w:r>
                    <w:rPr>
                      <w:rFonts w:hint="eastAsia"/>
                      <w:color w:val="auto"/>
                    </w:rPr>
                    <w:t>旋风除尘；电除尘；袋式除尘；除尘组合工艺</w:t>
                  </w:r>
                </w:p>
              </w:tc>
              <w:tc>
                <w:tcPr>
                  <w:tcW w:w="2111" w:type="dxa"/>
                  <w:tcBorders>
                    <w:top w:val="single" w:color="auto" w:sz="4" w:space="0"/>
                    <w:left w:val="single" w:color="auto" w:sz="4" w:space="0"/>
                    <w:bottom w:val="single" w:color="auto" w:sz="4" w:space="0"/>
                    <w:right w:val="single" w:color="auto" w:sz="4" w:space="0"/>
                  </w:tcBorders>
                  <w:vAlign w:val="center"/>
                </w:tcPr>
                <w:p>
                  <w:pPr>
                    <w:widowControl/>
                    <w:jc w:val="center"/>
                    <w:rPr>
                      <w:color w:val="auto"/>
                    </w:rPr>
                  </w:pPr>
                  <w:r>
                    <w:rPr>
                      <w:rFonts w:ascii="宋体" w:hAnsi="宋体" w:cs="宋体"/>
                      <w:color w:val="auto"/>
                    </w:rPr>
                    <w:t>脉冲布筒除尘器</w:t>
                  </w:r>
                  <w:r>
                    <w:rPr>
                      <w:rFonts w:hint="eastAsia"/>
                      <w:color w:val="auto"/>
                      <w:kern w:val="0"/>
                    </w:rPr>
                    <w:t>、</w:t>
                  </w:r>
                  <w:r>
                    <w:rPr>
                      <w:color w:val="auto"/>
                      <w:kern w:val="0"/>
                    </w:rPr>
                    <w:t>单筒无动力除尘器</w:t>
                  </w:r>
                </w:p>
              </w:tc>
              <w:tc>
                <w:tcPr>
                  <w:tcW w:w="734"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color w:val="auto"/>
                    </w:rPr>
                    <w:t>符合</w:t>
                  </w:r>
                </w:p>
              </w:tc>
            </w:tr>
          </w:tbl>
          <w:p>
            <w:pPr>
              <w:spacing w:line="360" w:lineRule="auto"/>
              <w:ind w:firstLine="480" w:firstLineChars="200"/>
              <w:rPr>
                <w:bCs/>
                <w:color w:val="auto"/>
                <w:sz w:val="24"/>
              </w:rPr>
            </w:pPr>
            <w:r>
              <w:rPr>
                <w:rFonts w:hint="eastAsia"/>
                <w:bCs/>
                <w:color w:val="auto"/>
                <w:sz w:val="24"/>
              </w:rPr>
              <w:t>（2）锅炉烟气</w:t>
            </w:r>
          </w:p>
          <w:p>
            <w:pPr>
              <w:widowControl/>
              <w:spacing w:line="360" w:lineRule="auto"/>
              <w:ind w:firstLine="480" w:firstLineChars="200"/>
              <w:rPr>
                <w:bCs/>
                <w:color w:val="auto"/>
                <w:sz w:val="24"/>
              </w:rPr>
            </w:pPr>
            <w:r>
              <w:rPr>
                <w:color w:val="auto"/>
                <w:sz w:val="24"/>
                <w:szCs w:val="24"/>
              </w:rPr>
              <w:t xml:space="preserve">对照《排污许可证申请与核发技术规范 </w:t>
            </w:r>
            <w:r>
              <w:rPr>
                <w:rFonts w:hint="eastAsia"/>
                <w:color w:val="auto"/>
                <w:sz w:val="24"/>
                <w:szCs w:val="24"/>
              </w:rPr>
              <w:t>锅炉</w:t>
            </w:r>
            <w:r>
              <w:rPr>
                <w:color w:val="auto"/>
                <w:sz w:val="24"/>
                <w:szCs w:val="24"/>
              </w:rPr>
              <w:t xml:space="preserve">》（HJ </w:t>
            </w:r>
            <w:r>
              <w:rPr>
                <w:rFonts w:hint="eastAsia"/>
                <w:color w:val="auto"/>
                <w:sz w:val="24"/>
                <w:szCs w:val="24"/>
              </w:rPr>
              <w:t>953</w:t>
            </w:r>
            <w:r>
              <w:rPr>
                <w:color w:val="auto"/>
                <w:sz w:val="24"/>
                <w:szCs w:val="24"/>
              </w:rPr>
              <w:t>-20</w:t>
            </w:r>
            <w:r>
              <w:rPr>
                <w:rFonts w:hint="eastAsia"/>
                <w:color w:val="auto"/>
                <w:sz w:val="24"/>
                <w:szCs w:val="24"/>
              </w:rPr>
              <w:t>18</w:t>
            </w:r>
            <w:r>
              <w:rPr>
                <w:color w:val="auto"/>
                <w:sz w:val="24"/>
                <w:szCs w:val="24"/>
              </w:rPr>
              <w:t>）</w:t>
            </w:r>
            <w:r>
              <w:rPr>
                <w:rFonts w:hint="eastAsia"/>
                <w:color w:val="auto"/>
                <w:sz w:val="24"/>
                <w:szCs w:val="24"/>
              </w:rPr>
              <w:t>中</w:t>
            </w:r>
            <w:r>
              <w:rPr>
                <w:rFonts w:hint="eastAsia" w:ascii="宋体" w:hAnsi="宋体" w:cs="宋体"/>
                <w:color w:val="auto"/>
                <w:sz w:val="24"/>
                <w:szCs w:val="24"/>
              </w:rPr>
              <w:t>“表</w:t>
            </w:r>
            <w:r>
              <w:rPr>
                <w:color w:val="auto"/>
                <w:sz w:val="24"/>
                <w:szCs w:val="24"/>
              </w:rPr>
              <w:t>7</w:t>
            </w:r>
            <w:r>
              <w:rPr>
                <w:rFonts w:hint="eastAsia"/>
                <w:color w:val="auto"/>
                <w:sz w:val="24"/>
                <w:szCs w:val="24"/>
              </w:rPr>
              <w:t>锅炉烟气污染防治可行技术</w:t>
            </w:r>
            <w:r>
              <w:rPr>
                <w:rFonts w:hint="eastAsia" w:ascii="宋体" w:hAnsi="宋体" w:cs="宋体"/>
                <w:color w:val="auto"/>
                <w:sz w:val="24"/>
                <w:szCs w:val="24"/>
              </w:rPr>
              <w:t>”中的燃气室燃炉</w:t>
            </w:r>
            <w:r>
              <w:rPr>
                <w:color w:val="auto"/>
                <w:sz w:val="24"/>
                <w:szCs w:val="24"/>
              </w:rPr>
              <w:t>，本项目符合性见下表。</w:t>
            </w:r>
          </w:p>
          <w:p>
            <w:pPr>
              <w:pStyle w:val="8"/>
              <w:spacing w:line="360" w:lineRule="auto"/>
              <w:ind w:left="0"/>
              <w:jc w:val="center"/>
              <w:rPr>
                <w:rFonts w:ascii="Times New Roman" w:hAnsi="Times New Roman" w:cs="Times New Roman"/>
                <w:color w:val="auto"/>
                <w:lang w:val="en-US"/>
              </w:rPr>
            </w:pPr>
            <w:r>
              <w:rPr>
                <w:rFonts w:ascii="Times New Roman" w:hAnsi="Times New Roman" w:cs="Times New Roman"/>
                <w:color w:val="auto"/>
              </w:rPr>
              <w:t>表</w:t>
            </w:r>
            <w:r>
              <w:rPr>
                <w:rFonts w:ascii="Times New Roman" w:hAnsi="Times New Roman" w:cs="Times New Roman"/>
                <w:color w:val="auto"/>
                <w:lang w:val="en-US"/>
              </w:rPr>
              <w:t>4-</w:t>
            </w:r>
            <w:r>
              <w:rPr>
                <w:rFonts w:hint="eastAsia" w:ascii="Times New Roman" w:hAnsi="Times New Roman" w:cs="Times New Roman"/>
                <w:color w:val="auto"/>
                <w:lang w:val="en-US"/>
              </w:rPr>
              <w:t>9</w:t>
            </w:r>
            <w:r>
              <w:rPr>
                <w:rFonts w:hint="eastAsia" w:ascii="Times New Roman" w:hAnsi="Times New Roman" w:cs="Times New Roman"/>
                <w:color w:val="auto"/>
                <w:kern w:val="0"/>
                <w:lang w:val="en-US"/>
              </w:rPr>
              <w:t>锅炉烟气污染防治可行技术（节选）</w:t>
            </w:r>
          </w:p>
          <w:tbl>
            <w:tblPr>
              <w:tblStyle w:val="23"/>
              <w:tblW w:w="8138" w:type="dxa"/>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7"/>
              <w:gridCol w:w="2567"/>
              <w:gridCol w:w="2743"/>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1977"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rFonts w:hint="eastAsia"/>
                      <w:color w:val="auto"/>
                    </w:rPr>
                    <w:t>污染控制项目</w:t>
                  </w:r>
                </w:p>
              </w:tc>
              <w:tc>
                <w:tcPr>
                  <w:tcW w:w="2567"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rFonts w:hint="eastAsia"/>
                      <w:color w:val="auto"/>
                    </w:rPr>
                    <w:t>可行技术</w:t>
                  </w:r>
                </w:p>
              </w:tc>
              <w:tc>
                <w:tcPr>
                  <w:tcW w:w="2743"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color w:val="auto"/>
                    </w:rPr>
                    <w:t>本项目</w:t>
                  </w:r>
                  <w:r>
                    <w:rPr>
                      <w:color w:val="auto"/>
                      <w:kern w:val="0"/>
                    </w:rPr>
                    <w:t>污染防治</w:t>
                  </w:r>
                  <w:r>
                    <w:rPr>
                      <w:rFonts w:hint="eastAsia"/>
                      <w:color w:val="auto"/>
                      <w:kern w:val="0"/>
                    </w:rPr>
                    <w:t>技术</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color w:val="auto"/>
                    </w:rPr>
                    <w:t>分析结果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977" w:type="dxa"/>
                  <w:vMerge w:val="restart"/>
                  <w:tcBorders>
                    <w:top w:val="single" w:color="auto" w:sz="4" w:space="0"/>
                    <w:left w:val="single" w:color="auto" w:sz="4" w:space="0"/>
                    <w:right w:val="single" w:color="auto" w:sz="4" w:space="0"/>
                  </w:tcBorders>
                  <w:vAlign w:val="center"/>
                </w:tcPr>
                <w:p>
                  <w:pPr>
                    <w:jc w:val="center"/>
                    <w:rPr>
                      <w:color w:val="auto"/>
                    </w:rPr>
                  </w:pPr>
                  <w:r>
                    <w:rPr>
                      <w:rFonts w:hint="eastAsia"/>
                      <w:color w:val="auto"/>
                    </w:rPr>
                    <w:t>二氧化硫</w:t>
                  </w:r>
                </w:p>
              </w:tc>
              <w:tc>
                <w:tcPr>
                  <w:tcW w:w="2567" w:type="dxa"/>
                  <w:vMerge w:val="restart"/>
                  <w:tcBorders>
                    <w:top w:val="single" w:color="auto" w:sz="4" w:space="0"/>
                    <w:left w:val="single" w:color="auto" w:sz="4" w:space="0"/>
                    <w:right w:val="single" w:color="auto" w:sz="4" w:space="0"/>
                  </w:tcBorders>
                  <w:vAlign w:val="center"/>
                </w:tcPr>
                <w:p>
                  <w:pPr>
                    <w:widowControl/>
                    <w:jc w:val="center"/>
                    <w:rPr>
                      <w:color w:val="auto"/>
                    </w:rPr>
                  </w:pPr>
                  <w:r>
                    <w:rPr>
                      <w:rFonts w:hint="eastAsia"/>
                      <w:color w:val="auto"/>
                    </w:rPr>
                    <w:t>/</w:t>
                  </w:r>
                </w:p>
              </w:tc>
              <w:tc>
                <w:tcPr>
                  <w:tcW w:w="2743" w:type="dxa"/>
                  <w:vMerge w:val="restart"/>
                  <w:tcBorders>
                    <w:top w:val="single" w:color="auto" w:sz="4" w:space="0"/>
                    <w:left w:val="single" w:color="auto" w:sz="4" w:space="0"/>
                    <w:right w:val="single" w:color="auto" w:sz="4" w:space="0"/>
                  </w:tcBorders>
                  <w:vAlign w:val="center"/>
                </w:tcPr>
                <w:p>
                  <w:pPr>
                    <w:widowControl/>
                    <w:jc w:val="center"/>
                    <w:rPr>
                      <w:color w:val="auto"/>
                    </w:rPr>
                  </w:pPr>
                  <w:r>
                    <w:rPr>
                      <w:rFonts w:hint="eastAsia"/>
                      <w:color w:val="auto"/>
                    </w:rPr>
                    <w:t>/</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rFonts w:hint="eastAsia"/>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1977" w:type="dxa"/>
                  <w:vMerge w:val="restart"/>
                  <w:tcBorders>
                    <w:top w:val="single" w:color="auto" w:sz="4" w:space="0"/>
                    <w:left w:val="single" w:color="auto" w:sz="4" w:space="0"/>
                    <w:right w:val="single" w:color="auto" w:sz="4" w:space="0"/>
                  </w:tcBorders>
                  <w:vAlign w:val="center"/>
                </w:tcPr>
                <w:p>
                  <w:pPr>
                    <w:jc w:val="center"/>
                    <w:rPr>
                      <w:color w:val="auto"/>
                    </w:rPr>
                  </w:pPr>
                  <w:r>
                    <w:rPr>
                      <w:rFonts w:hint="eastAsia"/>
                      <w:color w:val="auto"/>
                    </w:rPr>
                    <w:t>氮氧化物</w:t>
                  </w:r>
                </w:p>
              </w:tc>
              <w:tc>
                <w:tcPr>
                  <w:tcW w:w="2567" w:type="dxa"/>
                  <w:vMerge w:val="restart"/>
                  <w:tcBorders>
                    <w:top w:val="single" w:color="auto" w:sz="4" w:space="0"/>
                    <w:left w:val="single" w:color="auto" w:sz="4" w:space="0"/>
                    <w:right w:val="single" w:color="auto" w:sz="4" w:space="0"/>
                  </w:tcBorders>
                  <w:vAlign w:val="center"/>
                </w:tcPr>
                <w:p>
                  <w:pPr>
                    <w:widowControl/>
                    <w:jc w:val="center"/>
                    <w:rPr>
                      <w:color w:val="auto"/>
                    </w:rPr>
                  </w:pPr>
                  <w:r>
                    <w:rPr>
                      <w:rFonts w:hint="eastAsia"/>
                      <w:color w:val="auto"/>
                    </w:rPr>
                    <w:t>低氮燃烧技术、低氮燃烧+SCR脱硝技术</w:t>
                  </w:r>
                </w:p>
              </w:tc>
              <w:tc>
                <w:tcPr>
                  <w:tcW w:w="2743" w:type="dxa"/>
                  <w:tcBorders>
                    <w:top w:val="single" w:color="auto" w:sz="4" w:space="0"/>
                    <w:left w:val="single" w:color="auto" w:sz="4" w:space="0"/>
                    <w:right w:val="single" w:color="auto" w:sz="4" w:space="0"/>
                  </w:tcBorders>
                  <w:vAlign w:val="center"/>
                </w:tcPr>
                <w:p>
                  <w:pPr>
                    <w:widowControl/>
                    <w:jc w:val="center"/>
                    <w:rPr>
                      <w:color w:val="auto"/>
                    </w:rPr>
                  </w:pPr>
                  <w:r>
                    <w:rPr>
                      <w:rFonts w:hint="eastAsia"/>
                      <w:color w:val="auto"/>
                    </w:rPr>
                    <w:t>低氮燃烧器</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rFonts w:hint="eastAsia"/>
                      <w:color w:val="auto"/>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977" w:type="dxa"/>
                  <w:tcBorders>
                    <w:top w:val="single" w:color="auto" w:sz="4" w:space="0"/>
                    <w:left w:val="single" w:color="auto" w:sz="4" w:space="0"/>
                    <w:right w:val="single" w:color="auto" w:sz="4" w:space="0"/>
                  </w:tcBorders>
                  <w:vAlign w:val="center"/>
                </w:tcPr>
                <w:p>
                  <w:pPr>
                    <w:jc w:val="center"/>
                    <w:rPr>
                      <w:color w:val="auto"/>
                    </w:rPr>
                  </w:pPr>
                  <w:r>
                    <w:rPr>
                      <w:rFonts w:hint="eastAsia"/>
                      <w:color w:val="auto"/>
                    </w:rPr>
                    <w:t>颗粒物</w:t>
                  </w:r>
                </w:p>
              </w:tc>
              <w:tc>
                <w:tcPr>
                  <w:tcW w:w="2567" w:type="dxa"/>
                  <w:tcBorders>
                    <w:top w:val="single" w:color="auto" w:sz="4" w:space="0"/>
                    <w:left w:val="single" w:color="auto" w:sz="4" w:space="0"/>
                    <w:right w:val="single" w:color="auto" w:sz="4" w:space="0"/>
                  </w:tcBorders>
                  <w:vAlign w:val="center"/>
                </w:tcPr>
                <w:p>
                  <w:pPr>
                    <w:widowControl/>
                    <w:jc w:val="center"/>
                    <w:rPr>
                      <w:color w:val="auto"/>
                    </w:rPr>
                  </w:pPr>
                  <w:r>
                    <w:rPr>
                      <w:rFonts w:hint="eastAsia"/>
                      <w:color w:val="auto"/>
                    </w:rPr>
                    <w:t>/</w:t>
                  </w:r>
                </w:p>
              </w:tc>
              <w:tc>
                <w:tcPr>
                  <w:tcW w:w="2743" w:type="dxa"/>
                  <w:tcBorders>
                    <w:top w:val="single" w:color="auto" w:sz="4" w:space="0"/>
                    <w:left w:val="single" w:color="auto" w:sz="4" w:space="0"/>
                    <w:bottom w:val="single" w:color="auto" w:sz="4" w:space="0"/>
                    <w:right w:val="single" w:color="auto" w:sz="4" w:space="0"/>
                  </w:tcBorders>
                  <w:vAlign w:val="center"/>
                </w:tcPr>
                <w:p>
                  <w:pPr>
                    <w:widowControl/>
                    <w:jc w:val="center"/>
                    <w:rPr>
                      <w:color w:val="auto"/>
                    </w:rPr>
                  </w:pPr>
                  <w:r>
                    <w:rPr>
                      <w:rFonts w:hint="eastAsia"/>
                      <w:color w:val="auto"/>
                    </w:rPr>
                    <w:t>/</w:t>
                  </w:r>
                </w:p>
              </w:tc>
              <w:tc>
                <w:tcPr>
                  <w:tcW w:w="851" w:type="dxa"/>
                  <w:tcBorders>
                    <w:top w:val="single" w:color="auto" w:sz="4" w:space="0"/>
                    <w:left w:val="single" w:color="auto" w:sz="4" w:space="0"/>
                    <w:right w:val="single" w:color="auto" w:sz="4" w:space="0"/>
                  </w:tcBorders>
                  <w:vAlign w:val="center"/>
                </w:tcPr>
                <w:p>
                  <w:pPr>
                    <w:jc w:val="center"/>
                    <w:rPr>
                      <w:color w:val="auto"/>
                    </w:rPr>
                  </w:pPr>
                  <w:r>
                    <w:rPr>
                      <w:rFonts w:hint="eastAsia"/>
                      <w:color w:val="auto"/>
                    </w:rPr>
                    <w:t>/</w:t>
                  </w:r>
                </w:p>
              </w:tc>
            </w:tr>
          </w:tbl>
          <w:p>
            <w:pPr>
              <w:spacing w:line="360" w:lineRule="auto"/>
              <w:ind w:firstLine="480" w:firstLineChars="200"/>
              <w:rPr>
                <w:bCs/>
                <w:color w:val="auto"/>
                <w:sz w:val="24"/>
              </w:rPr>
            </w:pPr>
            <w:r>
              <w:rPr>
                <w:bCs/>
                <w:color w:val="auto"/>
                <w:sz w:val="24"/>
              </w:rPr>
              <w:t>（</w:t>
            </w:r>
            <w:r>
              <w:rPr>
                <w:rFonts w:hint="eastAsia"/>
                <w:bCs/>
                <w:color w:val="auto"/>
                <w:sz w:val="24"/>
              </w:rPr>
              <w:t>3</w:t>
            </w:r>
            <w:r>
              <w:rPr>
                <w:bCs/>
                <w:color w:val="auto"/>
                <w:sz w:val="24"/>
              </w:rPr>
              <w:t>）无组织废气控制措施</w:t>
            </w:r>
          </w:p>
          <w:p>
            <w:pPr>
              <w:spacing w:line="360" w:lineRule="auto"/>
              <w:ind w:firstLine="480" w:firstLineChars="200"/>
              <w:rPr>
                <w:bCs/>
                <w:color w:val="auto"/>
                <w:sz w:val="24"/>
              </w:rPr>
            </w:pPr>
            <w:r>
              <w:rPr>
                <w:bCs/>
                <w:color w:val="auto"/>
                <w:sz w:val="24"/>
              </w:rPr>
              <w:t>针对本项目无组织排放废气，采取以下措施：</w:t>
            </w:r>
          </w:p>
          <w:p>
            <w:pPr>
              <w:spacing w:line="360" w:lineRule="auto"/>
              <w:ind w:firstLine="480" w:firstLineChars="200"/>
              <w:rPr>
                <w:bCs/>
                <w:color w:val="auto"/>
                <w:sz w:val="24"/>
              </w:rPr>
            </w:pPr>
            <w:r>
              <w:rPr>
                <w:bCs/>
                <w:color w:val="auto"/>
                <w:sz w:val="24"/>
              </w:rPr>
              <w:t>①企业应切实做到废气收集措施安装及管理，合理设计送排风系统，确保废气设施有效收集废气，以减少无组织废气的排放。同时对于车间内逸散的粉尘，在自然沉降后，应及时</w:t>
            </w:r>
            <w:r>
              <w:rPr>
                <w:rFonts w:hint="eastAsia"/>
                <w:bCs/>
                <w:color w:val="auto"/>
                <w:sz w:val="24"/>
              </w:rPr>
              <w:t>清扫</w:t>
            </w:r>
            <w:r>
              <w:rPr>
                <w:bCs/>
                <w:color w:val="auto"/>
                <w:sz w:val="24"/>
              </w:rPr>
              <w:t>。</w:t>
            </w:r>
          </w:p>
          <w:p>
            <w:pPr>
              <w:spacing w:line="360" w:lineRule="auto"/>
              <w:ind w:firstLine="480" w:firstLineChars="200"/>
              <w:rPr>
                <w:bCs/>
                <w:color w:val="auto"/>
                <w:sz w:val="24"/>
              </w:rPr>
            </w:pPr>
            <w:r>
              <w:rPr>
                <w:bCs/>
                <w:color w:val="auto"/>
                <w:sz w:val="24"/>
              </w:rPr>
              <w:t>②加强生产管理，规范操作，使设备设施处于正常工作状态，减少生产、控制、输送等过程中的废气散发。</w:t>
            </w:r>
          </w:p>
          <w:p>
            <w:pPr>
              <w:spacing w:line="360" w:lineRule="auto"/>
              <w:ind w:firstLine="480" w:firstLineChars="200"/>
              <w:rPr>
                <w:color w:val="auto"/>
                <w:sz w:val="24"/>
                <w:szCs w:val="24"/>
              </w:rPr>
            </w:pPr>
            <w:r>
              <w:rPr>
                <w:color w:val="auto"/>
                <w:sz w:val="24"/>
                <w:szCs w:val="24"/>
              </w:rPr>
              <w:t>综上所述，本项目采取的废气处理措施是可行的，能处理后可达标排放，对周围环境影响较小。</w:t>
            </w:r>
          </w:p>
          <w:p>
            <w:pPr>
              <w:adjustRightInd w:val="0"/>
              <w:snapToGrid w:val="0"/>
              <w:spacing w:line="360" w:lineRule="auto"/>
              <w:ind w:firstLine="482" w:firstLineChars="200"/>
              <w:jc w:val="left"/>
              <w:rPr>
                <w:b/>
                <w:color w:val="auto"/>
                <w:sz w:val="24"/>
              </w:rPr>
            </w:pPr>
            <w:r>
              <w:rPr>
                <w:b/>
                <w:color w:val="auto"/>
                <w:sz w:val="24"/>
              </w:rPr>
              <w:t>1.5非正常工况下大气环境影响分析</w:t>
            </w:r>
          </w:p>
          <w:p>
            <w:pPr>
              <w:adjustRightInd w:val="0"/>
              <w:snapToGrid w:val="0"/>
              <w:spacing w:line="360" w:lineRule="auto"/>
              <w:ind w:firstLine="480" w:firstLineChars="200"/>
              <w:rPr>
                <w:b/>
                <w:color w:val="auto"/>
                <w:sz w:val="24"/>
              </w:rPr>
            </w:pPr>
            <w:r>
              <w:rPr>
                <w:color w:val="auto"/>
                <w:sz w:val="24"/>
                <w:szCs w:val="22"/>
              </w:rPr>
              <w:t>非正常排放是指生产设备在开、停车状态，检修状态或者部分设备未能完全运行的状态下污染物的排放情况。</w:t>
            </w:r>
          </w:p>
          <w:p>
            <w:pPr>
              <w:tabs>
                <w:tab w:val="left" w:pos="0"/>
              </w:tabs>
              <w:spacing w:before="60" w:beforeLines="25" w:line="360" w:lineRule="auto"/>
              <w:jc w:val="center"/>
              <w:rPr>
                <w:b/>
                <w:color w:val="auto"/>
                <w:sz w:val="24"/>
              </w:rPr>
            </w:pPr>
            <w:r>
              <w:rPr>
                <w:b/>
                <w:color w:val="auto"/>
                <w:sz w:val="24"/>
              </w:rPr>
              <w:t>表4-</w:t>
            </w:r>
            <w:r>
              <w:rPr>
                <w:rFonts w:hint="eastAsia"/>
                <w:b/>
                <w:color w:val="auto"/>
                <w:sz w:val="24"/>
              </w:rPr>
              <w:t>10</w:t>
            </w:r>
            <w:r>
              <w:rPr>
                <w:b/>
                <w:color w:val="auto"/>
                <w:sz w:val="24"/>
              </w:rPr>
              <w:t>非正常工况废气排放参数表</w:t>
            </w:r>
          </w:p>
          <w:tbl>
            <w:tblPr>
              <w:tblStyle w:val="23"/>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892"/>
              <w:gridCol w:w="1421"/>
              <w:gridCol w:w="832"/>
              <w:gridCol w:w="1116"/>
              <w:gridCol w:w="973"/>
              <w:gridCol w:w="975"/>
              <w:gridCol w:w="978"/>
              <w:gridCol w:w="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3" w:hRule="atLeast"/>
                <w:jc w:val="center"/>
              </w:trPr>
              <w:tc>
                <w:tcPr>
                  <w:tcW w:w="546" w:type="pct"/>
                  <w:noWrap/>
                  <w:vAlign w:val="center"/>
                </w:tcPr>
                <w:p>
                  <w:pPr>
                    <w:jc w:val="center"/>
                    <w:rPr>
                      <w:bCs/>
                      <w:color w:val="auto"/>
                    </w:rPr>
                  </w:pPr>
                  <w:r>
                    <w:rPr>
                      <w:bCs/>
                      <w:color w:val="auto"/>
                    </w:rPr>
                    <w:t>非正常排放源</w:t>
                  </w:r>
                </w:p>
              </w:tc>
              <w:tc>
                <w:tcPr>
                  <w:tcW w:w="870" w:type="pct"/>
                  <w:noWrap/>
                  <w:vAlign w:val="center"/>
                </w:tcPr>
                <w:p>
                  <w:pPr>
                    <w:jc w:val="center"/>
                    <w:rPr>
                      <w:bCs/>
                      <w:color w:val="auto"/>
                    </w:rPr>
                  </w:pPr>
                  <w:r>
                    <w:rPr>
                      <w:bCs/>
                      <w:color w:val="auto"/>
                    </w:rPr>
                    <w:t>非正常排放原因</w:t>
                  </w:r>
                </w:p>
              </w:tc>
              <w:tc>
                <w:tcPr>
                  <w:tcW w:w="509" w:type="pct"/>
                  <w:noWrap/>
                  <w:vAlign w:val="center"/>
                </w:tcPr>
                <w:p>
                  <w:pPr>
                    <w:jc w:val="center"/>
                    <w:rPr>
                      <w:bCs/>
                      <w:color w:val="auto"/>
                    </w:rPr>
                  </w:pPr>
                  <w:r>
                    <w:rPr>
                      <w:bCs/>
                      <w:color w:val="auto"/>
                    </w:rPr>
                    <w:t>污染物</w:t>
                  </w:r>
                </w:p>
              </w:tc>
              <w:tc>
                <w:tcPr>
                  <w:tcW w:w="683" w:type="pct"/>
                  <w:noWrap/>
                  <w:vAlign w:val="center"/>
                </w:tcPr>
                <w:p>
                  <w:pPr>
                    <w:jc w:val="center"/>
                    <w:rPr>
                      <w:bCs/>
                      <w:color w:val="auto"/>
                    </w:rPr>
                  </w:pPr>
                  <w:r>
                    <w:rPr>
                      <w:bCs/>
                      <w:color w:val="auto"/>
                    </w:rPr>
                    <w:t>非正常排放浓度（m</w:t>
                  </w:r>
                  <w:r>
                    <w:rPr>
                      <w:color w:val="auto"/>
                    </w:rPr>
                    <w:t>g/m</w:t>
                  </w:r>
                  <w:r>
                    <w:rPr>
                      <w:color w:val="auto"/>
                      <w:vertAlign w:val="superscript"/>
                    </w:rPr>
                    <w:t>3</w:t>
                  </w:r>
                  <w:r>
                    <w:rPr>
                      <w:bCs/>
                      <w:color w:val="auto"/>
                    </w:rPr>
                    <w:t>）</w:t>
                  </w:r>
                </w:p>
              </w:tc>
              <w:tc>
                <w:tcPr>
                  <w:tcW w:w="595" w:type="pct"/>
                  <w:noWrap/>
                  <w:vAlign w:val="center"/>
                </w:tcPr>
                <w:p>
                  <w:pPr>
                    <w:jc w:val="center"/>
                    <w:rPr>
                      <w:bCs/>
                      <w:color w:val="auto"/>
                    </w:rPr>
                  </w:pPr>
                  <w:r>
                    <w:rPr>
                      <w:bCs/>
                      <w:color w:val="auto"/>
                    </w:rPr>
                    <w:t>非正常排放速率/（kg/h）</w:t>
                  </w:r>
                </w:p>
              </w:tc>
              <w:tc>
                <w:tcPr>
                  <w:tcW w:w="596" w:type="pct"/>
                  <w:noWrap/>
                  <w:vAlign w:val="center"/>
                </w:tcPr>
                <w:p>
                  <w:pPr>
                    <w:jc w:val="center"/>
                    <w:rPr>
                      <w:bCs/>
                      <w:color w:val="auto"/>
                    </w:rPr>
                  </w:pPr>
                  <w:r>
                    <w:rPr>
                      <w:bCs/>
                      <w:color w:val="auto"/>
                    </w:rPr>
                    <w:t>单次持续时间/h</w:t>
                  </w:r>
                </w:p>
              </w:tc>
              <w:tc>
                <w:tcPr>
                  <w:tcW w:w="598" w:type="pct"/>
                  <w:noWrap/>
                  <w:vAlign w:val="center"/>
                </w:tcPr>
                <w:p>
                  <w:pPr>
                    <w:jc w:val="center"/>
                    <w:rPr>
                      <w:bCs/>
                      <w:color w:val="auto"/>
                    </w:rPr>
                  </w:pPr>
                  <w:r>
                    <w:rPr>
                      <w:color w:val="auto"/>
                      <w:kern w:val="0"/>
                    </w:rPr>
                    <w:t>排放量（kg/a）</w:t>
                  </w:r>
                </w:p>
              </w:tc>
              <w:tc>
                <w:tcPr>
                  <w:tcW w:w="598" w:type="pct"/>
                  <w:noWrap/>
                  <w:vAlign w:val="center"/>
                </w:tcPr>
                <w:p>
                  <w:pPr>
                    <w:jc w:val="center"/>
                    <w:rPr>
                      <w:bCs/>
                      <w:color w:val="auto"/>
                    </w:rPr>
                  </w:pPr>
                  <w:r>
                    <w:rPr>
                      <w:bCs/>
                      <w:color w:val="auto"/>
                    </w:rPr>
                    <w:t>年发生频次/次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92" w:hRule="atLeast"/>
                <w:jc w:val="center"/>
              </w:trPr>
              <w:tc>
                <w:tcPr>
                  <w:tcW w:w="546" w:type="pct"/>
                  <w:noWrap/>
                  <w:vAlign w:val="center"/>
                </w:tcPr>
                <w:p>
                  <w:pPr>
                    <w:jc w:val="center"/>
                    <w:rPr>
                      <w:color w:val="auto"/>
                    </w:rPr>
                  </w:pPr>
                  <w:r>
                    <w:rPr>
                      <w:color w:val="auto"/>
                    </w:rPr>
                    <w:t>DA001</w:t>
                  </w:r>
                </w:p>
              </w:tc>
              <w:tc>
                <w:tcPr>
                  <w:tcW w:w="870" w:type="pct"/>
                  <w:noWrap/>
                  <w:vAlign w:val="center"/>
                </w:tcPr>
                <w:p>
                  <w:pPr>
                    <w:jc w:val="center"/>
                    <w:rPr>
                      <w:color w:val="auto"/>
                    </w:rPr>
                  </w:pPr>
                  <w:r>
                    <w:rPr>
                      <w:color w:val="auto"/>
                    </w:rPr>
                    <w:t>开、停车或检修时，</w:t>
                  </w:r>
                  <w:r>
                    <w:rPr>
                      <w:rFonts w:hint="eastAsia"/>
                      <w:color w:val="auto"/>
                    </w:rPr>
                    <w:t>除尘器</w:t>
                  </w:r>
                  <w:r>
                    <w:rPr>
                      <w:color w:val="auto"/>
                    </w:rPr>
                    <w:t>未及时运行</w:t>
                  </w:r>
                </w:p>
              </w:tc>
              <w:tc>
                <w:tcPr>
                  <w:tcW w:w="509" w:type="pct"/>
                  <w:noWrap/>
                  <w:vAlign w:val="center"/>
                </w:tcPr>
                <w:p>
                  <w:pPr>
                    <w:jc w:val="center"/>
                    <w:rPr>
                      <w:color w:val="auto"/>
                    </w:rPr>
                  </w:pPr>
                  <w:r>
                    <w:rPr>
                      <w:rFonts w:hint="eastAsia"/>
                      <w:color w:val="auto"/>
                    </w:rPr>
                    <w:t>颗粒物</w:t>
                  </w:r>
                </w:p>
              </w:tc>
              <w:tc>
                <w:tcPr>
                  <w:tcW w:w="683" w:type="pct"/>
                  <w:noWrap/>
                  <w:vAlign w:val="center"/>
                </w:tcPr>
                <w:p>
                  <w:pPr>
                    <w:jc w:val="center"/>
                    <w:rPr>
                      <w:rFonts w:hint="default" w:eastAsia="宋体"/>
                      <w:color w:val="auto"/>
                      <w:lang w:val="en-US" w:eastAsia="zh-CN"/>
                    </w:rPr>
                  </w:pPr>
                  <w:r>
                    <w:rPr>
                      <w:rFonts w:hint="eastAsia"/>
                      <w:color w:val="auto"/>
                      <w:lang w:val="en-US" w:eastAsia="zh-CN"/>
                    </w:rPr>
                    <w:t>67.5</w:t>
                  </w:r>
                </w:p>
              </w:tc>
              <w:tc>
                <w:tcPr>
                  <w:tcW w:w="595" w:type="pct"/>
                  <w:noWrap/>
                  <w:vAlign w:val="center"/>
                </w:tcPr>
                <w:p>
                  <w:pPr>
                    <w:jc w:val="center"/>
                    <w:rPr>
                      <w:rFonts w:hint="default" w:eastAsia="宋体"/>
                      <w:color w:val="auto"/>
                      <w:lang w:val="en-US" w:eastAsia="zh-CN"/>
                    </w:rPr>
                  </w:pPr>
                  <w:r>
                    <w:rPr>
                      <w:rFonts w:hint="eastAsia"/>
                      <w:color w:val="auto"/>
                      <w:lang w:val="en-US" w:eastAsia="zh-CN"/>
                    </w:rPr>
                    <w:t>1.6875</w:t>
                  </w:r>
                </w:p>
              </w:tc>
              <w:tc>
                <w:tcPr>
                  <w:tcW w:w="596" w:type="pct"/>
                  <w:noWrap/>
                  <w:vAlign w:val="center"/>
                </w:tcPr>
                <w:p>
                  <w:pPr>
                    <w:jc w:val="center"/>
                    <w:rPr>
                      <w:color w:val="auto"/>
                    </w:rPr>
                  </w:pPr>
                  <w:r>
                    <w:rPr>
                      <w:rFonts w:hint="eastAsia"/>
                      <w:color w:val="auto"/>
                    </w:rPr>
                    <w:t>0.5</w:t>
                  </w:r>
                </w:p>
              </w:tc>
              <w:tc>
                <w:tcPr>
                  <w:tcW w:w="598" w:type="pct"/>
                  <w:noWrap/>
                  <w:vAlign w:val="center"/>
                </w:tcPr>
                <w:p>
                  <w:pPr>
                    <w:jc w:val="center"/>
                    <w:rPr>
                      <w:rFonts w:hint="default" w:eastAsia="宋体"/>
                      <w:color w:val="auto"/>
                      <w:lang w:val="en-US" w:eastAsia="zh-CN"/>
                    </w:rPr>
                  </w:pPr>
                  <w:r>
                    <w:rPr>
                      <w:rFonts w:hint="eastAsia"/>
                      <w:color w:val="auto"/>
                      <w:lang w:val="en-US" w:eastAsia="zh-CN"/>
                    </w:rPr>
                    <w:t>8.10</w:t>
                  </w:r>
                </w:p>
              </w:tc>
              <w:tc>
                <w:tcPr>
                  <w:tcW w:w="598" w:type="pct"/>
                  <w:noWrap/>
                  <w:vAlign w:val="center"/>
                </w:tcPr>
                <w:p>
                  <w:pPr>
                    <w:jc w:val="center"/>
                    <w:rPr>
                      <w:color w:val="auto"/>
                    </w:rPr>
                  </w:pPr>
                  <w:r>
                    <w:rPr>
                      <w:color w:val="auto"/>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3" w:hRule="atLeast"/>
                <w:jc w:val="center"/>
              </w:trPr>
              <w:tc>
                <w:tcPr>
                  <w:tcW w:w="546" w:type="pct"/>
                  <w:noWrap/>
                  <w:vAlign w:val="center"/>
                </w:tcPr>
                <w:p>
                  <w:pPr>
                    <w:jc w:val="center"/>
                    <w:rPr>
                      <w:color w:val="auto"/>
                    </w:rPr>
                  </w:pPr>
                  <w:r>
                    <w:rPr>
                      <w:color w:val="auto"/>
                    </w:rPr>
                    <w:t>DA002</w:t>
                  </w:r>
                </w:p>
              </w:tc>
              <w:tc>
                <w:tcPr>
                  <w:tcW w:w="870" w:type="pct"/>
                  <w:noWrap/>
                  <w:vAlign w:val="center"/>
                </w:tcPr>
                <w:p>
                  <w:pPr>
                    <w:jc w:val="center"/>
                    <w:rPr>
                      <w:color w:val="auto"/>
                    </w:rPr>
                  </w:pPr>
                  <w:r>
                    <w:rPr>
                      <w:color w:val="auto"/>
                    </w:rPr>
                    <w:t>开、停车或检修时，除尘器未及时运行</w:t>
                  </w:r>
                </w:p>
              </w:tc>
              <w:tc>
                <w:tcPr>
                  <w:tcW w:w="509" w:type="pct"/>
                  <w:noWrap/>
                  <w:vAlign w:val="center"/>
                </w:tcPr>
                <w:p>
                  <w:pPr>
                    <w:jc w:val="center"/>
                    <w:rPr>
                      <w:color w:val="auto"/>
                    </w:rPr>
                  </w:pPr>
                  <w:r>
                    <w:rPr>
                      <w:rFonts w:hint="eastAsia"/>
                      <w:color w:val="auto"/>
                    </w:rPr>
                    <w:t>颗粒物</w:t>
                  </w:r>
                </w:p>
              </w:tc>
              <w:tc>
                <w:tcPr>
                  <w:tcW w:w="683" w:type="pct"/>
                  <w:noWrap/>
                  <w:vAlign w:val="center"/>
                </w:tcPr>
                <w:p>
                  <w:pPr>
                    <w:jc w:val="center"/>
                    <w:rPr>
                      <w:rFonts w:hint="default" w:eastAsia="宋体"/>
                      <w:color w:val="auto"/>
                      <w:lang w:val="en-US" w:eastAsia="zh-CN"/>
                    </w:rPr>
                  </w:pPr>
                  <w:r>
                    <w:rPr>
                      <w:rFonts w:hint="eastAsia"/>
                      <w:color w:val="auto"/>
                      <w:lang w:val="en-US" w:eastAsia="zh-CN"/>
                    </w:rPr>
                    <w:t>55.6</w:t>
                  </w:r>
                </w:p>
              </w:tc>
              <w:tc>
                <w:tcPr>
                  <w:tcW w:w="595" w:type="pct"/>
                  <w:noWrap/>
                  <w:vAlign w:val="center"/>
                </w:tcPr>
                <w:p>
                  <w:pPr>
                    <w:jc w:val="center"/>
                    <w:rPr>
                      <w:rFonts w:hint="default" w:eastAsia="宋体"/>
                      <w:color w:val="auto"/>
                      <w:lang w:val="en-US" w:eastAsia="zh-CN"/>
                    </w:rPr>
                  </w:pPr>
                  <w:r>
                    <w:rPr>
                      <w:rFonts w:hint="eastAsia"/>
                      <w:color w:val="auto"/>
                      <w:lang w:val="en-US" w:eastAsia="zh-CN"/>
                    </w:rPr>
                    <w:t>1.3900</w:t>
                  </w:r>
                </w:p>
              </w:tc>
              <w:tc>
                <w:tcPr>
                  <w:tcW w:w="596" w:type="pct"/>
                  <w:noWrap/>
                  <w:vAlign w:val="center"/>
                </w:tcPr>
                <w:p>
                  <w:pPr>
                    <w:jc w:val="center"/>
                    <w:rPr>
                      <w:color w:val="auto"/>
                    </w:rPr>
                  </w:pPr>
                  <w:r>
                    <w:rPr>
                      <w:color w:val="auto"/>
                    </w:rPr>
                    <w:t>0.5</w:t>
                  </w:r>
                </w:p>
              </w:tc>
              <w:tc>
                <w:tcPr>
                  <w:tcW w:w="598" w:type="pct"/>
                  <w:noWrap/>
                  <w:vAlign w:val="center"/>
                </w:tcPr>
                <w:p>
                  <w:pPr>
                    <w:jc w:val="center"/>
                    <w:rPr>
                      <w:rFonts w:hint="default" w:eastAsia="宋体"/>
                      <w:color w:val="auto"/>
                      <w:lang w:val="en-US" w:eastAsia="zh-CN"/>
                    </w:rPr>
                  </w:pPr>
                  <w:r>
                    <w:rPr>
                      <w:rFonts w:hint="eastAsia"/>
                      <w:color w:val="auto"/>
                      <w:lang w:val="en-US" w:eastAsia="zh-CN"/>
                    </w:rPr>
                    <w:t>4.17</w:t>
                  </w:r>
                </w:p>
              </w:tc>
              <w:tc>
                <w:tcPr>
                  <w:tcW w:w="598" w:type="pct"/>
                  <w:noWrap/>
                  <w:vAlign w:val="center"/>
                </w:tcPr>
                <w:p>
                  <w:pPr>
                    <w:jc w:val="center"/>
                    <w:rPr>
                      <w:color w:val="auto"/>
                    </w:rPr>
                  </w:pPr>
                  <w:r>
                    <w:rPr>
                      <w:color w:val="auto"/>
                    </w:rPr>
                    <w:t>≤1</w:t>
                  </w:r>
                </w:p>
              </w:tc>
            </w:tr>
          </w:tbl>
          <w:p>
            <w:pPr>
              <w:adjustRightInd w:val="0"/>
              <w:snapToGrid w:val="0"/>
              <w:spacing w:line="360" w:lineRule="auto"/>
              <w:ind w:firstLine="480" w:firstLineChars="200"/>
              <w:rPr>
                <w:bCs/>
                <w:color w:val="auto"/>
                <w:sz w:val="24"/>
              </w:rPr>
            </w:pPr>
            <w:r>
              <w:rPr>
                <w:bCs/>
                <w:color w:val="auto"/>
                <w:sz w:val="24"/>
              </w:rPr>
              <w:t>由上表可知，非正常工况下，DA001</w:t>
            </w:r>
            <w:r>
              <w:rPr>
                <w:rFonts w:hint="eastAsia"/>
                <w:bCs/>
                <w:color w:val="auto"/>
                <w:sz w:val="24"/>
                <w:lang w:eastAsia="zh-CN"/>
              </w:rPr>
              <w:t>、</w:t>
            </w:r>
            <w:r>
              <w:rPr>
                <w:rFonts w:hint="eastAsia"/>
                <w:bCs/>
                <w:color w:val="auto"/>
                <w:sz w:val="24"/>
                <w:lang w:val="en-US" w:eastAsia="zh-CN"/>
              </w:rPr>
              <w:t>DA002</w:t>
            </w:r>
            <w:r>
              <w:rPr>
                <w:bCs/>
                <w:color w:val="auto"/>
                <w:sz w:val="24"/>
              </w:rPr>
              <w:t>排放的</w:t>
            </w:r>
            <w:r>
              <w:rPr>
                <w:rFonts w:hint="eastAsia"/>
                <w:bCs/>
                <w:color w:val="auto"/>
                <w:sz w:val="24"/>
              </w:rPr>
              <w:t>颗粒物</w:t>
            </w:r>
            <w:r>
              <w:rPr>
                <w:bCs/>
                <w:color w:val="auto"/>
                <w:sz w:val="24"/>
              </w:rPr>
              <w:t>浓度</w:t>
            </w:r>
            <w:r>
              <w:rPr>
                <w:rFonts w:hint="eastAsia"/>
                <w:bCs/>
                <w:color w:val="auto"/>
                <w:sz w:val="24"/>
                <w:lang w:eastAsia="zh-CN"/>
              </w:rPr>
              <w:t>均</w:t>
            </w:r>
            <w:r>
              <w:rPr>
                <w:rFonts w:hint="eastAsia"/>
                <w:bCs/>
                <w:color w:val="auto"/>
                <w:sz w:val="24"/>
              </w:rPr>
              <w:t>已</w:t>
            </w:r>
            <w:r>
              <w:rPr>
                <w:bCs/>
                <w:color w:val="auto"/>
                <w:sz w:val="24"/>
              </w:rPr>
              <w:t>超标，会造成环境污染。为防止生产废气非正常工况排放，企业必须加强废气处理设施的管理，定期检修，确保废气处理设施正常运行，在废气处理设施停止运行或出现故障时，产生废气的各工序也必须相应停止生产。为杜绝废气非正常排放，应采取以下措施确保废气达标排放：</w:t>
            </w:r>
          </w:p>
          <w:p>
            <w:pPr>
              <w:adjustRightInd w:val="0"/>
              <w:snapToGrid w:val="0"/>
              <w:spacing w:line="360" w:lineRule="auto"/>
              <w:ind w:firstLine="480" w:firstLineChars="200"/>
              <w:rPr>
                <w:bCs/>
                <w:color w:val="auto"/>
                <w:sz w:val="24"/>
              </w:rPr>
            </w:pPr>
            <w:r>
              <w:rPr>
                <w:rFonts w:hint="eastAsia"/>
                <w:bCs/>
                <w:color w:val="auto"/>
                <w:sz w:val="24"/>
              </w:rPr>
              <w:t>①</w:t>
            </w:r>
            <w:r>
              <w:rPr>
                <w:bCs/>
                <w:color w:val="auto"/>
                <w:sz w:val="24"/>
              </w:rPr>
              <w:t>安排专人负责环保设备的日常维护和管理，每隔固定时间检查、汇报情况，及时发现废气处理设备的隐患，确保废气处理系统正常运行；</w:t>
            </w:r>
          </w:p>
          <w:p>
            <w:pPr>
              <w:adjustRightInd w:val="0"/>
              <w:snapToGrid w:val="0"/>
              <w:spacing w:line="360" w:lineRule="auto"/>
              <w:ind w:firstLine="480" w:firstLineChars="200"/>
              <w:rPr>
                <w:bCs/>
                <w:color w:val="auto"/>
                <w:sz w:val="24"/>
              </w:rPr>
            </w:pPr>
            <w:r>
              <w:rPr>
                <w:bCs/>
                <w:color w:val="auto"/>
                <w:sz w:val="24"/>
              </w:rPr>
              <w:t>②建立健全的环保管理机构，对环保管理人员和技术人员进行岗位培训，委托具有专业资质的环境检测单位对项目排放的各类污染物进行定期检测；</w:t>
            </w:r>
          </w:p>
          <w:p>
            <w:pPr>
              <w:adjustRightInd w:val="0"/>
              <w:snapToGrid w:val="0"/>
              <w:spacing w:line="360" w:lineRule="auto"/>
              <w:ind w:firstLine="480" w:firstLineChars="200"/>
              <w:rPr>
                <w:bCs/>
                <w:color w:val="auto"/>
                <w:sz w:val="24"/>
              </w:rPr>
            </w:pPr>
            <w:r>
              <w:rPr>
                <w:bCs/>
                <w:color w:val="auto"/>
                <w:sz w:val="24"/>
              </w:rPr>
              <w:t>③应定期维修、检修废气净化装置，以保持废气处理装置的净化能力和净化容量；</w:t>
            </w:r>
          </w:p>
          <w:p>
            <w:pPr>
              <w:adjustRightInd w:val="0"/>
              <w:snapToGrid w:val="0"/>
              <w:spacing w:line="360" w:lineRule="auto"/>
              <w:ind w:firstLine="480" w:firstLineChars="200"/>
              <w:rPr>
                <w:b/>
                <w:bCs/>
                <w:color w:val="auto"/>
                <w:sz w:val="24"/>
                <w:szCs w:val="24"/>
              </w:rPr>
            </w:pPr>
            <w:r>
              <w:rPr>
                <w:bCs/>
                <w:color w:val="auto"/>
                <w:sz w:val="24"/>
              </w:rPr>
              <w:t>④生产加工前开启相应的废气处理设备，生产停止一段时间后再关闭相应废气处理设施，杜绝废气突然排放的情况。</w:t>
            </w:r>
          </w:p>
          <w:p>
            <w:pPr>
              <w:spacing w:line="360" w:lineRule="auto"/>
              <w:ind w:firstLine="482" w:firstLineChars="200"/>
              <w:rPr>
                <w:color w:val="auto"/>
                <w:sz w:val="24"/>
                <w:szCs w:val="24"/>
              </w:rPr>
            </w:pPr>
            <w:r>
              <w:rPr>
                <w:b/>
                <w:bCs/>
                <w:color w:val="auto"/>
                <w:sz w:val="24"/>
                <w:szCs w:val="24"/>
              </w:rPr>
              <w:t>1.6废气污染物监测计划</w:t>
            </w:r>
          </w:p>
          <w:p>
            <w:pPr>
              <w:spacing w:line="360" w:lineRule="auto"/>
              <w:ind w:firstLine="480" w:firstLineChars="200"/>
              <w:rPr>
                <w:rStyle w:val="79"/>
                <w:color w:val="auto"/>
                <w:sz w:val="24"/>
                <w:szCs w:val="24"/>
              </w:rPr>
            </w:pPr>
            <w:r>
              <w:rPr>
                <w:color w:val="auto"/>
                <w:sz w:val="24"/>
                <w:szCs w:val="24"/>
              </w:rPr>
              <w:t xml:space="preserve">项目营运期的大气环境监测按《环境监测技术规范》和《污染源监测管理办法》，同时参考《排污许可证申请与核发技术规范 总则》、《排污单位自行监测技术指南 总则》（HJ 819-2017）、《排污许可证申请与核发技术规范 </w:t>
            </w:r>
            <w:r>
              <w:rPr>
                <w:rFonts w:hint="eastAsia"/>
                <w:color w:val="auto"/>
                <w:sz w:val="24"/>
                <w:szCs w:val="24"/>
              </w:rPr>
              <w:t>农副食品加工工业—饲料加工、植物油加工工业</w:t>
            </w:r>
            <w:r>
              <w:rPr>
                <w:color w:val="auto"/>
                <w:sz w:val="24"/>
                <w:szCs w:val="24"/>
              </w:rPr>
              <w:t xml:space="preserve">》（HJ </w:t>
            </w:r>
            <w:r>
              <w:rPr>
                <w:rFonts w:hint="eastAsia"/>
                <w:color w:val="auto"/>
                <w:sz w:val="24"/>
                <w:szCs w:val="24"/>
              </w:rPr>
              <w:t>1110</w:t>
            </w:r>
            <w:r>
              <w:rPr>
                <w:color w:val="auto"/>
                <w:sz w:val="24"/>
                <w:szCs w:val="24"/>
              </w:rPr>
              <w:t>-20</w:t>
            </w:r>
            <w:r>
              <w:rPr>
                <w:rFonts w:hint="eastAsia"/>
                <w:color w:val="auto"/>
                <w:sz w:val="24"/>
                <w:szCs w:val="24"/>
              </w:rPr>
              <w:t>20</w:t>
            </w:r>
            <w:r>
              <w:rPr>
                <w:color w:val="auto"/>
                <w:sz w:val="24"/>
                <w:szCs w:val="24"/>
              </w:rPr>
              <w:t>）</w:t>
            </w:r>
            <w:r>
              <w:rPr>
                <w:rFonts w:hint="eastAsia"/>
                <w:color w:val="auto"/>
                <w:sz w:val="24"/>
                <w:szCs w:val="24"/>
              </w:rPr>
              <w:t>、《</w:t>
            </w:r>
            <w:r>
              <w:rPr>
                <w:color w:val="auto"/>
                <w:sz w:val="24"/>
                <w:szCs w:val="24"/>
              </w:rPr>
              <w:t>排污许可证申请与核发技术规范</w:t>
            </w:r>
            <w:r>
              <w:rPr>
                <w:rFonts w:hint="eastAsia"/>
                <w:color w:val="auto"/>
                <w:sz w:val="24"/>
                <w:szCs w:val="24"/>
              </w:rPr>
              <w:t xml:space="preserve"> 锅炉》、《排污单位自行监测技术指南 火力发电及锅炉》（HJ 820-2017）</w:t>
            </w:r>
            <w:r>
              <w:rPr>
                <w:color w:val="auto"/>
                <w:sz w:val="24"/>
                <w:szCs w:val="24"/>
              </w:rPr>
              <w:t>等文件，具体监测工作可委托有资质单位进行，执行本项目环境影响评价中的标准，营运期大气环境监测计划如下：</w:t>
            </w:r>
          </w:p>
          <w:p>
            <w:pPr>
              <w:widowControl/>
              <w:tabs>
                <w:tab w:val="left" w:pos="420"/>
              </w:tabs>
              <w:spacing w:line="360" w:lineRule="auto"/>
              <w:jc w:val="center"/>
              <w:rPr>
                <w:rStyle w:val="79"/>
                <w:color w:val="auto"/>
                <w:sz w:val="24"/>
                <w:szCs w:val="24"/>
              </w:rPr>
            </w:pPr>
            <w:r>
              <w:rPr>
                <w:rStyle w:val="79"/>
                <w:color w:val="auto"/>
                <w:sz w:val="24"/>
                <w:szCs w:val="24"/>
              </w:rPr>
              <w:t>表4-</w:t>
            </w:r>
            <w:r>
              <w:rPr>
                <w:rStyle w:val="79"/>
                <w:rFonts w:hint="eastAsia"/>
                <w:color w:val="auto"/>
                <w:sz w:val="24"/>
                <w:szCs w:val="24"/>
              </w:rPr>
              <w:t>11</w:t>
            </w:r>
            <w:r>
              <w:rPr>
                <w:rStyle w:val="79"/>
                <w:color w:val="auto"/>
                <w:sz w:val="24"/>
                <w:szCs w:val="24"/>
              </w:rPr>
              <w:t xml:space="preserve">  废气污染物自行监测计划</w:t>
            </w:r>
          </w:p>
          <w:tbl>
            <w:tblPr>
              <w:tblStyle w:val="23"/>
              <w:tblW w:w="82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28"/>
              <w:gridCol w:w="1161"/>
              <w:gridCol w:w="1576"/>
              <w:gridCol w:w="1260"/>
              <w:gridCol w:w="899"/>
              <w:gridCol w:w="2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2" w:hRule="atLeast"/>
                <w:tblHeader/>
                <w:jc w:val="center"/>
              </w:trPr>
              <w:tc>
                <w:tcPr>
                  <w:tcW w:w="528" w:type="dxa"/>
                  <w:tcBorders>
                    <w:top w:val="single" w:color="auto" w:sz="4" w:space="0"/>
                    <w:left w:val="single" w:color="auto" w:sz="4" w:space="0"/>
                    <w:bottom w:val="single" w:color="auto" w:sz="4" w:space="0"/>
                    <w:right w:val="single" w:color="auto" w:sz="4" w:space="0"/>
                  </w:tcBorders>
                  <w:vAlign w:val="center"/>
                </w:tcPr>
                <w:p>
                  <w:pPr>
                    <w:pStyle w:val="53"/>
                    <w:spacing w:before="24" w:after="24" w:line="240" w:lineRule="auto"/>
                    <w:rPr>
                      <w:rFonts w:ascii="Times New Roman"/>
                      <w:b/>
                      <w:bCs/>
                      <w:color w:val="auto"/>
                    </w:rPr>
                  </w:pPr>
                  <w:r>
                    <w:rPr>
                      <w:rFonts w:ascii="Times New Roman"/>
                      <w:b/>
                      <w:bCs/>
                      <w:color w:val="auto"/>
                    </w:rPr>
                    <w:t>序号</w:t>
                  </w:r>
                </w:p>
              </w:tc>
              <w:tc>
                <w:tcPr>
                  <w:tcW w:w="1161" w:type="dxa"/>
                  <w:tcBorders>
                    <w:top w:val="single" w:color="auto" w:sz="4" w:space="0"/>
                    <w:left w:val="single" w:color="auto" w:sz="4" w:space="0"/>
                    <w:bottom w:val="single" w:color="auto" w:sz="4" w:space="0"/>
                    <w:right w:val="single" w:color="auto" w:sz="4" w:space="0"/>
                  </w:tcBorders>
                  <w:vAlign w:val="center"/>
                </w:tcPr>
                <w:p>
                  <w:pPr>
                    <w:pStyle w:val="53"/>
                    <w:spacing w:before="24" w:after="24" w:line="240" w:lineRule="auto"/>
                    <w:rPr>
                      <w:rFonts w:ascii="Times New Roman"/>
                      <w:b/>
                      <w:bCs/>
                      <w:color w:val="auto"/>
                    </w:rPr>
                  </w:pPr>
                  <w:r>
                    <w:rPr>
                      <w:rFonts w:ascii="Times New Roman"/>
                      <w:b/>
                      <w:bCs/>
                      <w:color w:val="auto"/>
                    </w:rPr>
                    <w:t>排放口编号/监测点位</w:t>
                  </w:r>
                </w:p>
              </w:tc>
              <w:tc>
                <w:tcPr>
                  <w:tcW w:w="1576" w:type="dxa"/>
                  <w:tcBorders>
                    <w:top w:val="single" w:color="auto" w:sz="4" w:space="0"/>
                    <w:left w:val="single" w:color="auto" w:sz="4" w:space="0"/>
                    <w:bottom w:val="single" w:color="auto" w:sz="4" w:space="0"/>
                    <w:right w:val="single" w:color="auto" w:sz="4" w:space="0"/>
                  </w:tcBorders>
                  <w:vAlign w:val="center"/>
                </w:tcPr>
                <w:p>
                  <w:pPr>
                    <w:pStyle w:val="53"/>
                    <w:spacing w:before="24" w:after="24" w:line="240" w:lineRule="auto"/>
                    <w:rPr>
                      <w:rFonts w:ascii="Times New Roman"/>
                      <w:b/>
                      <w:bCs/>
                      <w:color w:val="auto"/>
                    </w:rPr>
                  </w:pPr>
                  <w:r>
                    <w:rPr>
                      <w:rFonts w:ascii="Times New Roman"/>
                      <w:b/>
                      <w:bCs/>
                      <w:color w:val="auto"/>
                    </w:rPr>
                    <w:t>排放口名称/监测点位名称</w:t>
                  </w:r>
                </w:p>
              </w:tc>
              <w:tc>
                <w:tcPr>
                  <w:tcW w:w="1260" w:type="dxa"/>
                  <w:tcBorders>
                    <w:top w:val="single" w:color="auto" w:sz="4" w:space="0"/>
                    <w:left w:val="single" w:color="auto" w:sz="4" w:space="0"/>
                    <w:bottom w:val="single" w:color="auto" w:sz="4" w:space="0"/>
                    <w:right w:val="single" w:color="auto" w:sz="4" w:space="0"/>
                  </w:tcBorders>
                  <w:vAlign w:val="center"/>
                </w:tcPr>
                <w:p>
                  <w:pPr>
                    <w:pStyle w:val="53"/>
                    <w:spacing w:before="24" w:after="24" w:line="240" w:lineRule="auto"/>
                    <w:rPr>
                      <w:rFonts w:ascii="Times New Roman"/>
                      <w:b/>
                      <w:bCs/>
                      <w:color w:val="auto"/>
                    </w:rPr>
                  </w:pPr>
                  <w:r>
                    <w:rPr>
                      <w:rFonts w:ascii="Times New Roman"/>
                      <w:b/>
                      <w:bCs/>
                      <w:color w:val="auto"/>
                    </w:rPr>
                    <w:t>污染物名称</w:t>
                  </w:r>
                </w:p>
              </w:tc>
              <w:tc>
                <w:tcPr>
                  <w:tcW w:w="899" w:type="dxa"/>
                  <w:tcBorders>
                    <w:top w:val="single" w:color="auto" w:sz="4" w:space="0"/>
                    <w:left w:val="single" w:color="auto" w:sz="4" w:space="0"/>
                    <w:bottom w:val="single" w:color="auto" w:sz="4" w:space="0"/>
                    <w:right w:val="single" w:color="auto" w:sz="4" w:space="0"/>
                  </w:tcBorders>
                  <w:vAlign w:val="center"/>
                </w:tcPr>
                <w:p>
                  <w:pPr>
                    <w:pStyle w:val="53"/>
                    <w:spacing w:before="24" w:after="24" w:line="240" w:lineRule="auto"/>
                    <w:rPr>
                      <w:rFonts w:ascii="Times New Roman"/>
                      <w:b/>
                      <w:bCs/>
                      <w:color w:val="auto"/>
                    </w:rPr>
                  </w:pPr>
                  <w:r>
                    <w:rPr>
                      <w:rFonts w:ascii="Times New Roman"/>
                      <w:b/>
                      <w:bCs/>
                      <w:color w:val="auto"/>
                    </w:rPr>
                    <w:t>监测频次</w:t>
                  </w:r>
                </w:p>
              </w:tc>
              <w:tc>
                <w:tcPr>
                  <w:tcW w:w="2873" w:type="dxa"/>
                  <w:tcBorders>
                    <w:top w:val="single" w:color="auto" w:sz="4" w:space="0"/>
                    <w:left w:val="single" w:color="auto" w:sz="4" w:space="0"/>
                    <w:bottom w:val="single" w:color="auto" w:sz="4" w:space="0"/>
                    <w:right w:val="single" w:color="auto" w:sz="4" w:space="0"/>
                  </w:tcBorders>
                  <w:vAlign w:val="center"/>
                </w:tcPr>
                <w:p>
                  <w:pPr>
                    <w:pStyle w:val="53"/>
                    <w:spacing w:before="24" w:after="24" w:line="240" w:lineRule="auto"/>
                    <w:rPr>
                      <w:rFonts w:ascii="Times New Roman"/>
                      <w:b/>
                      <w:bCs/>
                      <w:color w:val="auto"/>
                    </w:rPr>
                  </w:pPr>
                  <w:r>
                    <w:rPr>
                      <w:rFonts w:ascii="Times New Roman"/>
                      <w:b/>
                      <w:bCs/>
                      <w:color w:val="auto"/>
                    </w:rPr>
                    <w:t>执行标准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2" w:hRule="atLeast"/>
                <w:tblHeader/>
                <w:jc w:val="center"/>
              </w:trPr>
              <w:tc>
                <w:tcPr>
                  <w:tcW w:w="528" w:type="dxa"/>
                  <w:tcBorders>
                    <w:top w:val="single" w:color="auto" w:sz="4" w:space="0"/>
                    <w:left w:val="single" w:color="auto" w:sz="4" w:space="0"/>
                    <w:bottom w:val="single" w:color="auto" w:sz="4" w:space="0"/>
                    <w:right w:val="single" w:color="auto" w:sz="4" w:space="0"/>
                  </w:tcBorders>
                  <w:vAlign w:val="center"/>
                </w:tcPr>
                <w:p>
                  <w:pPr>
                    <w:pStyle w:val="53"/>
                    <w:spacing w:before="24" w:after="24" w:line="240" w:lineRule="auto"/>
                    <w:rPr>
                      <w:rFonts w:ascii="Times New Roman"/>
                      <w:color w:val="auto"/>
                    </w:rPr>
                  </w:pPr>
                  <w:r>
                    <w:rPr>
                      <w:rFonts w:ascii="Times New Roman"/>
                      <w:color w:val="auto"/>
                    </w:rPr>
                    <w:t>1</w:t>
                  </w:r>
                </w:p>
              </w:tc>
              <w:tc>
                <w:tcPr>
                  <w:tcW w:w="1161" w:type="dxa"/>
                  <w:tcBorders>
                    <w:top w:val="single" w:color="auto" w:sz="4" w:space="0"/>
                    <w:left w:val="single" w:color="auto" w:sz="4" w:space="0"/>
                    <w:bottom w:val="single" w:color="auto" w:sz="4" w:space="0"/>
                    <w:right w:val="single" w:color="auto" w:sz="4" w:space="0"/>
                  </w:tcBorders>
                  <w:vAlign w:val="center"/>
                </w:tcPr>
                <w:p>
                  <w:pPr>
                    <w:pStyle w:val="53"/>
                    <w:spacing w:before="24" w:after="24" w:line="240" w:lineRule="auto"/>
                    <w:rPr>
                      <w:rFonts w:ascii="Times New Roman"/>
                      <w:color w:val="auto"/>
                    </w:rPr>
                  </w:pPr>
                  <w:r>
                    <w:rPr>
                      <w:rFonts w:ascii="Times New Roman"/>
                      <w:color w:val="auto"/>
                    </w:rPr>
                    <w:t>DA001</w:t>
                  </w:r>
                </w:p>
              </w:tc>
              <w:tc>
                <w:tcPr>
                  <w:tcW w:w="1576" w:type="dxa"/>
                  <w:tcBorders>
                    <w:top w:val="single" w:color="auto" w:sz="4" w:space="0"/>
                    <w:left w:val="single" w:color="auto" w:sz="4" w:space="0"/>
                    <w:bottom w:val="single" w:color="auto" w:sz="4" w:space="0"/>
                    <w:right w:val="single" w:color="auto" w:sz="4" w:space="0"/>
                  </w:tcBorders>
                  <w:vAlign w:val="center"/>
                </w:tcPr>
                <w:p>
                  <w:pPr>
                    <w:pStyle w:val="53"/>
                    <w:spacing w:before="24" w:after="24" w:line="240" w:lineRule="auto"/>
                    <w:rPr>
                      <w:rFonts w:ascii="Times New Roman"/>
                      <w:color w:val="auto"/>
                    </w:rPr>
                  </w:pPr>
                  <w:r>
                    <w:rPr>
                      <w:rFonts w:hint="eastAsia" w:ascii="Times New Roman"/>
                      <w:color w:val="auto"/>
                      <w:lang w:eastAsia="zh-CN"/>
                    </w:rPr>
                    <w:t>猪饲料</w:t>
                  </w:r>
                  <w:r>
                    <w:rPr>
                      <w:rFonts w:hint="eastAsia" w:ascii="Times New Roman"/>
                      <w:color w:val="auto"/>
                    </w:rPr>
                    <w:t>生产废气</w:t>
                  </w:r>
                  <w:r>
                    <w:rPr>
                      <w:rFonts w:ascii="Times New Roman"/>
                      <w:color w:val="auto"/>
                    </w:rPr>
                    <w:t>排放口</w:t>
                  </w:r>
                </w:p>
              </w:tc>
              <w:tc>
                <w:tcPr>
                  <w:tcW w:w="1260" w:type="dxa"/>
                  <w:tcBorders>
                    <w:top w:val="single" w:color="auto" w:sz="4" w:space="0"/>
                    <w:left w:val="single" w:color="auto" w:sz="4" w:space="0"/>
                    <w:bottom w:val="single" w:color="auto" w:sz="4" w:space="0"/>
                    <w:right w:val="single" w:color="auto" w:sz="4" w:space="0"/>
                  </w:tcBorders>
                  <w:vAlign w:val="center"/>
                </w:tcPr>
                <w:p>
                  <w:pPr>
                    <w:pStyle w:val="53"/>
                    <w:spacing w:before="24" w:after="24" w:line="240" w:lineRule="auto"/>
                    <w:rPr>
                      <w:rFonts w:ascii="Times New Roman"/>
                      <w:color w:val="auto"/>
                    </w:rPr>
                  </w:pPr>
                  <w:r>
                    <w:rPr>
                      <w:rFonts w:hint="eastAsia" w:ascii="Times New Roman"/>
                      <w:color w:val="auto"/>
                    </w:rPr>
                    <w:t>颗粒物</w:t>
                  </w:r>
                </w:p>
              </w:tc>
              <w:tc>
                <w:tcPr>
                  <w:tcW w:w="899" w:type="dxa"/>
                  <w:tcBorders>
                    <w:top w:val="single" w:color="auto" w:sz="4" w:space="0"/>
                    <w:left w:val="single" w:color="auto" w:sz="4" w:space="0"/>
                    <w:bottom w:val="single" w:color="auto" w:sz="4" w:space="0"/>
                    <w:right w:val="single" w:color="auto" w:sz="4" w:space="0"/>
                  </w:tcBorders>
                  <w:vAlign w:val="center"/>
                </w:tcPr>
                <w:p>
                  <w:pPr>
                    <w:pStyle w:val="53"/>
                    <w:spacing w:before="24" w:after="24" w:line="240" w:lineRule="auto"/>
                    <w:rPr>
                      <w:rFonts w:ascii="Times New Roman"/>
                      <w:color w:val="auto"/>
                    </w:rPr>
                  </w:pPr>
                  <w:r>
                    <w:rPr>
                      <w:rFonts w:ascii="Times New Roman"/>
                      <w:color w:val="auto"/>
                    </w:rPr>
                    <w:t>1次/年</w:t>
                  </w:r>
                </w:p>
              </w:tc>
              <w:tc>
                <w:tcPr>
                  <w:tcW w:w="2873" w:type="dxa"/>
                  <w:vMerge w:val="restart"/>
                  <w:tcBorders>
                    <w:top w:val="single" w:color="auto" w:sz="4" w:space="0"/>
                    <w:left w:val="single" w:color="auto" w:sz="4" w:space="0"/>
                    <w:right w:val="single" w:color="auto" w:sz="4" w:space="0"/>
                  </w:tcBorders>
                  <w:vAlign w:val="center"/>
                </w:tcPr>
                <w:p>
                  <w:pPr>
                    <w:pStyle w:val="53"/>
                    <w:spacing w:before="24" w:after="24" w:line="240" w:lineRule="auto"/>
                    <w:rPr>
                      <w:rFonts w:ascii="Times New Roman"/>
                      <w:color w:val="auto"/>
                    </w:rPr>
                  </w:pPr>
                  <w:r>
                    <w:rPr>
                      <w:rFonts w:ascii="Times New Roman"/>
                      <w:color w:val="auto"/>
                    </w:rPr>
                    <w:t>《大气污染物综合排放标准》（GB 16297-1996）中表2 新污染源大气污染物排放限值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7" w:hRule="atLeast"/>
                <w:tblHeader/>
                <w:jc w:val="center"/>
              </w:trPr>
              <w:tc>
                <w:tcPr>
                  <w:tcW w:w="528" w:type="dxa"/>
                  <w:tcBorders>
                    <w:top w:val="single" w:color="auto" w:sz="4" w:space="0"/>
                    <w:left w:val="single" w:color="auto" w:sz="4" w:space="0"/>
                    <w:bottom w:val="single" w:color="auto" w:sz="4" w:space="0"/>
                    <w:right w:val="single" w:color="auto" w:sz="4" w:space="0"/>
                  </w:tcBorders>
                  <w:vAlign w:val="center"/>
                </w:tcPr>
                <w:p>
                  <w:pPr>
                    <w:pStyle w:val="53"/>
                    <w:spacing w:before="24" w:after="24" w:line="240" w:lineRule="auto"/>
                    <w:rPr>
                      <w:rFonts w:ascii="Times New Roman"/>
                      <w:color w:val="auto"/>
                    </w:rPr>
                  </w:pPr>
                  <w:r>
                    <w:rPr>
                      <w:rFonts w:ascii="Times New Roman"/>
                      <w:color w:val="auto"/>
                    </w:rPr>
                    <w:t>2</w:t>
                  </w:r>
                </w:p>
              </w:tc>
              <w:tc>
                <w:tcPr>
                  <w:tcW w:w="1161" w:type="dxa"/>
                  <w:tcBorders>
                    <w:top w:val="single" w:color="auto" w:sz="4" w:space="0"/>
                    <w:left w:val="single" w:color="auto" w:sz="4" w:space="0"/>
                    <w:bottom w:val="single" w:color="auto" w:sz="4" w:space="0"/>
                    <w:right w:val="single" w:color="auto" w:sz="4" w:space="0"/>
                  </w:tcBorders>
                  <w:vAlign w:val="center"/>
                </w:tcPr>
                <w:p>
                  <w:pPr>
                    <w:pStyle w:val="53"/>
                    <w:spacing w:before="24" w:after="24" w:line="240" w:lineRule="auto"/>
                    <w:rPr>
                      <w:rFonts w:ascii="Times New Roman"/>
                      <w:color w:val="auto"/>
                    </w:rPr>
                  </w:pPr>
                  <w:r>
                    <w:rPr>
                      <w:rFonts w:ascii="Times New Roman"/>
                      <w:color w:val="auto"/>
                    </w:rPr>
                    <w:t>DA002</w:t>
                  </w:r>
                </w:p>
              </w:tc>
              <w:tc>
                <w:tcPr>
                  <w:tcW w:w="1576" w:type="dxa"/>
                  <w:tcBorders>
                    <w:top w:val="single" w:color="auto" w:sz="4" w:space="0"/>
                    <w:left w:val="single" w:color="auto" w:sz="4" w:space="0"/>
                    <w:bottom w:val="single" w:color="auto" w:sz="4" w:space="0"/>
                    <w:right w:val="single" w:color="auto" w:sz="4" w:space="0"/>
                  </w:tcBorders>
                  <w:vAlign w:val="center"/>
                </w:tcPr>
                <w:p>
                  <w:pPr>
                    <w:pStyle w:val="53"/>
                    <w:spacing w:before="24" w:after="24" w:line="240" w:lineRule="auto"/>
                    <w:rPr>
                      <w:rFonts w:ascii="Times New Roman"/>
                      <w:color w:val="auto"/>
                    </w:rPr>
                  </w:pPr>
                  <w:r>
                    <w:rPr>
                      <w:rFonts w:hint="eastAsia" w:ascii="Times New Roman"/>
                      <w:color w:val="auto"/>
                      <w:lang w:eastAsia="zh-CN"/>
                    </w:rPr>
                    <w:t>反刍饲料</w:t>
                  </w:r>
                  <w:r>
                    <w:rPr>
                      <w:rFonts w:hint="eastAsia" w:ascii="Times New Roman"/>
                      <w:color w:val="auto"/>
                    </w:rPr>
                    <w:t>生产废气</w:t>
                  </w:r>
                  <w:r>
                    <w:rPr>
                      <w:rFonts w:ascii="Times New Roman"/>
                      <w:color w:val="auto"/>
                    </w:rPr>
                    <w:t>排</w:t>
                  </w:r>
                  <w:r>
                    <w:rPr>
                      <w:rFonts w:hint="eastAsia" w:ascii="Times New Roman"/>
                      <w:color w:val="auto"/>
                    </w:rPr>
                    <w:t>放</w:t>
                  </w:r>
                  <w:r>
                    <w:rPr>
                      <w:rFonts w:ascii="Times New Roman"/>
                      <w:color w:val="auto"/>
                    </w:rPr>
                    <w:t>口</w:t>
                  </w:r>
                </w:p>
              </w:tc>
              <w:tc>
                <w:tcPr>
                  <w:tcW w:w="1260" w:type="dxa"/>
                  <w:tcBorders>
                    <w:top w:val="single" w:color="auto" w:sz="4" w:space="0"/>
                    <w:left w:val="single" w:color="auto" w:sz="4" w:space="0"/>
                    <w:bottom w:val="single" w:color="auto" w:sz="4" w:space="0"/>
                    <w:right w:val="single" w:color="auto" w:sz="4" w:space="0"/>
                  </w:tcBorders>
                  <w:vAlign w:val="center"/>
                </w:tcPr>
                <w:p>
                  <w:pPr>
                    <w:pStyle w:val="53"/>
                    <w:spacing w:before="24" w:after="24" w:line="240" w:lineRule="auto"/>
                    <w:rPr>
                      <w:rFonts w:ascii="Times New Roman"/>
                      <w:color w:val="auto"/>
                    </w:rPr>
                  </w:pPr>
                  <w:r>
                    <w:rPr>
                      <w:rFonts w:hint="eastAsia" w:ascii="Times New Roman"/>
                      <w:color w:val="auto"/>
                    </w:rPr>
                    <w:t>颗粒物</w:t>
                  </w:r>
                </w:p>
              </w:tc>
              <w:tc>
                <w:tcPr>
                  <w:tcW w:w="899" w:type="dxa"/>
                  <w:tcBorders>
                    <w:top w:val="single" w:color="auto" w:sz="4" w:space="0"/>
                    <w:left w:val="single" w:color="auto" w:sz="4" w:space="0"/>
                    <w:bottom w:val="single" w:color="auto" w:sz="4" w:space="0"/>
                    <w:right w:val="single" w:color="auto" w:sz="4" w:space="0"/>
                  </w:tcBorders>
                  <w:vAlign w:val="center"/>
                </w:tcPr>
                <w:p>
                  <w:pPr>
                    <w:pStyle w:val="53"/>
                    <w:spacing w:before="24" w:after="24" w:line="240" w:lineRule="auto"/>
                    <w:rPr>
                      <w:rFonts w:ascii="Times New Roman"/>
                      <w:color w:val="auto"/>
                    </w:rPr>
                  </w:pPr>
                  <w:r>
                    <w:rPr>
                      <w:rFonts w:ascii="Times New Roman"/>
                      <w:color w:val="auto"/>
                    </w:rPr>
                    <w:t>1次/年</w:t>
                  </w:r>
                </w:p>
              </w:tc>
              <w:tc>
                <w:tcPr>
                  <w:tcW w:w="2873" w:type="dxa"/>
                  <w:vMerge w:val="continue"/>
                  <w:tcBorders>
                    <w:left w:val="single" w:color="auto" w:sz="4" w:space="0"/>
                    <w:right w:val="single" w:color="auto" w:sz="4" w:space="0"/>
                  </w:tcBorders>
                  <w:vAlign w:val="center"/>
                </w:tcPr>
                <w:p>
                  <w:pPr>
                    <w:pStyle w:val="53"/>
                    <w:spacing w:before="24" w:after="24" w:line="240" w:lineRule="auto"/>
                    <w:rPr>
                      <w:rFonts w:ascii="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72" w:hRule="atLeast"/>
                <w:tblHeader/>
                <w:jc w:val="center"/>
              </w:trPr>
              <w:tc>
                <w:tcPr>
                  <w:tcW w:w="528" w:type="dxa"/>
                  <w:vMerge w:val="restart"/>
                  <w:tcBorders>
                    <w:top w:val="single" w:color="auto" w:sz="4" w:space="0"/>
                    <w:left w:val="single" w:color="auto" w:sz="4" w:space="0"/>
                    <w:right w:val="single" w:color="auto" w:sz="4" w:space="0"/>
                  </w:tcBorders>
                  <w:vAlign w:val="center"/>
                </w:tcPr>
                <w:p>
                  <w:pPr>
                    <w:pStyle w:val="53"/>
                    <w:spacing w:before="24" w:after="24" w:line="240" w:lineRule="auto"/>
                    <w:rPr>
                      <w:rFonts w:ascii="Times New Roman"/>
                      <w:color w:val="auto"/>
                    </w:rPr>
                  </w:pPr>
                  <w:r>
                    <w:rPr>
                      <w:rFonts w:hint="eastAsia" w:ascii="Times New Roman"/>
                      <w:color w:val="auto"/>
                    </w:rPr>
                    <w:t>3</w:t>
                  </w:r>
                </w:p>
              </w:tc>
              <w:tc>
                <w:tcPr>
                  <w:tcW w:w="1161" w:type="dxa"/>
                  <w:vMerge w:val="restart"/>
                  <w:tcBorders>
                    <w:top w:val="single" w:color="auto" w:sz="4" w:space="0"/>
                    <w:left w:val="single" w:color="auto" w:sz="4" w:space="0"/>
                    <w:right w:val="single" w:color="auto" w:sz="4" w:space="0"/>
                  </w:tcBorders>
                  <w:vAlign w:val="center"/>
                </w:tcPr>
                <w:p>
                  <w:pPr>
                    <w:pStyle w:val="53"/>
                    <w:spacing w:before="24" w:after="24" w:line="240" w:lineRule="auto"/>
                    <w:rPr>
                      <w:rFonts w:ascii="Times New Roman"/>
                      <w:color w:val="auto"/>
                    </w:rPr>
                  </w:pPr>
                  <w:r>
                    <w:rPr>
                      <w:rFonts w:ascii="Times New Roman"/>
                      <w:color w:val="auto"/>
                    </w:rPr>
                    <w:t>DA00</w:t>
                  </w:r>
                  <w:r>
                    <w:rPr>
                      <w:rFonts w:hint="eastAsia" w:ascii="Times New Roman"/>
                      <w:color w:val="auto"/>
                    </w:rPr>
                    <w:t>3</w:t>
                  </w:r>
                </w:p>
              </w:tc>
              <w:tc>
                <w:tcPr>
                  <w:tcW w:w="1576" w:type="dxa"/>
                  <w:vMerge w:val="restart"/>
                  <w:tcBorders>
                    <w:top w:val="single" w:color="auto" w:sz="4" w:space="0"/>
                    <w:left w:val="single" w:color="auto" w:sz="4" w:space="0"/>
                    <w:right w:val="single" w:color="auto" w:sz="4" w:space="0"/>
                  </w:tcBorders>
                  <w:vAlign w:val="center"/>
                </w:tcPr>
                <w:p>
                  <w:pPr>
                    <w:pStyle w:val="53"/>
                    <w:spacing w:before="24" w:after="24" w:line="240" w:lineRule="auto"/>
                    <w:rPr>
                      <w:rFonts w:ascii="Times New Roman"/>
                      <w:color w:val="auto"/>
                    </w:rPr>
                  </w:pPr>
                  <w:r>
                    <w:rPr>
                      <w:rFonts w:hint="eastAsia" w:ascii="Times New Roman"/>
                      <w:color w:val="auto"/>
                    </w:rPr>
                    <w:t>锅炉废气排放口</w:t>
                  </w:r>
                </w:p>
              </w:tc>
              <w:tc>
                <w:tcPr>
                  <w:tcW w:w="1260" w:type="dxa"/>
                  <w:tcBorders>
                    <w:top w:val="single" w:color="auto" w:sz="4" w:space="0"/>
                    <w:left w:val="single" w:color="auto" w:sz="4" w:space="0"/>
                    <w:bottom w:val="single" w:color="auto" w:sz="4" w:space="0"/>
                    <w:right w:val="single" w:color="auto" w:sz="4" w:space="0"/>
                  </w:tcBorders>
                  <w:vAlign w:val="center"/>
                </w:tcPr>
                <w:p>
                  <w:pPr>
                    <w:pStyle w:val="53"/>
                    <w:spacing w:before="24" w:after="24" w:line="240" w:lineRule="auto"/>
                    <w:rPr>
                      <w:rFonts w:ascii="Times New Roman"/>
                      <w:color w:val="auto"/>
                    </w:rPr>
                  </w:pPr>
                  <w:r>
                    <w:rPr>
                      <w:rFonts w:hint="eastAsia" w:ascii="Times New Roman"/>
                      <w:color w:val="auto"/>
                    </w:rPr>
                    <w:t>NO</w:t>
                  </w:r>
                  <w:r>
                    <w:rPr>
                      <w:rFonts w:hint="eastAsia" w:ascii="Times New Roman"/>
                      <w:color w:val="auto"/>
                      <w:vertAlign w:val="subscript"/>
                    </w:rPr>
                    <w:t>X</w:t>
                  </w:r>
                </w:p>
              </w:tc>
              <w:tc>
                <w:tcPr>
                  <w:tcW w:w="899" w:type="dxa"/>
                  <w:tcBorders>
                    <w:top w:val="single" w:color="auto" w:sz="4" w:space="0"/>
                    <w:left w:val="single" w:color="auto" w:sz="4" w:space="0"/>
                    <w:bottom w:val="single" w:color="auto" w:sz="4" w:space="0"/>
                    <w:right w:val="single" w:color="auto" w:sz="4" w:space="0"/>
                  </w:tcBorders>
                  <w:vAlign w:val="center"/>
                </w:tcPr>
                <w:p>
                  <w:pPr>
                    <w:pStyle w:val="53"/>
                    <w:spacing w:before="24" w:after="24" w:line="240" w:lineRule="auto"/>
                    <w:rPr>
                      <w:rFonts w:ascii="Times New Roman"/>
                      <w:color w:val="auto"/>
                    </w:rPr>
                  </w:pPr>
                  <w:r>
                    <w:rPr>
                      <w:rFonts w:ascii="Times New Roman"/>
                      <w:color w:val="auto"/>
                    </w:rPr>
                    <w:t>1次/</w:t>
                  </w:r>
                  <w:r>
                    <w:rPr>
                      <w:rFonts w:hint="eastAsia" w:ascii="Times New Roman"/>
                      <w:color w:val="auto"/>
                    </w:rPr>
                    <w:t>月</w:t>
                  </w:r>
                </w:p>
              </w:tc>
              <w:tc>
                <w:tcPr>
                  <w:tcW w:w="2873" w:type="dxa"/>
                  <w:vMerge w:val="restart"/>
                  <w:tcBorders>
                    <w:left w:val="single" w:color="auto" w:sz="4" w:space="0"/>
                    <w:right w:val="single" w:color="auto" w:sz="4" w:space="0"/>
                  </w:tcBorders>
                  <w:vAlign w:val="center"/>
                </w:tcPr>
                <w:p>
                  <w:pPr>
                    <w:pStyle w:val="53"/>
                    <w:spacing w:before="24" w:after="24" w:line="240" w:lineRule="auto"/>
                    <w:rPr>
                      <w:rFonts w:ascii="Times New Roman"/>
                      <w:color w:val="auto"/>
                    </w:rPr>
                  </w:pPr>
                  <w:r>
                    <w:rPr>
                      <w:rFonts w:ascii="Times New Roman"/>
                      <w:color w:val="auto"/>
                    </w:rPr>
                    <w:t>《锅炉大气污染物排放</w:t>
                  </w:r>
                  <w:r>
                    <w:rPr>
                      <w:rFonts w:hint="eastAsia" w:ascii="Times New Roman"/>
                      <w:color w:val="auto"/>
                    </w:rPr>
                    <w:t>标准</w:t>
                  </w:r>
                  <w:r>
                    <w:rPr>
                      <w:rFonts w:ascii="Times New Roman"/>
                      <w:color w:val="auto"/>
                    </w:rPr>
                    <w:t>》（GB13271-2014）中燃气锅炉特别排放限值标准和皖大气办〔2020〕2号《安徽省大气办关于印发〈安徽省2020年大气污染防治重点工作任务〉的通知》中相关要求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72" w:hRule="atLeast"/>
                <w:tblHeader/>
                <w:jc w:val="center"/>
              </w:trPr>
              <w:tc>
                <w:tcPr>
                  <w:tcW w:w="528" w:type="dxa"/>
                  <w:vMerge w:val="continue"/>
                  <w:tcBorders>
                    <w:left w:val="single" w:color="auto" w:sz="4" w:space="0"/>
                    <w:bottom w:val="single" w:color="auto" w:sz="4" w:space="0"/>
                    <w:right w:val="single" w:color="auto" w:sz="4" w:space="0"/>
                  </w:tcBorders>
                  <w:vAlign w:val="center"/>
                </w:tcPr>
                <w:p>
                  <w:pPr>
                    <w:pStyle w:val="53"/>
                    <w:spacing w:before="24" w:after="24" w:line="240" w:lineRule="auto"/>
                    <w:rPr>
                      <w:color w:val="auto"/>
                    </w:rPr>
                  </w:pPr>
                </w:p>
              </w:tc>
              <w:tc>
                <w:tcPr>
                  <w:tcW w:w="1161" w:type="dxa"/>
                  <w:vMerge w:val="continue"/>
                  <w:tcBorders>
                    <w:left w:val="single" w:color="auto" w:sz="4" w:space="0"/>
                    <w:bottom w:val="single" w:color="auto" w:sz="4" w:space="0"/>
                    <w:right w:val="single" w:color="auto" w:sz="4" w:space="0"/>
                  </w:tcBorders>
                  <w:vAlign w:val="center"/>
                </w:tcPr>
                <w:p>
                  <w:pPr>
                    <w:pStyle w:val="53"/>
                    <w:spacing w:before="24" w:after="24" w:line="240" w:lineRule="auto"/>
                    <w:rPr>
                      <w:color w:val="auto"/>
                    </w:rPr>
                  </w:pPr>
                </w:p>
              </w:tc>
              <w:tc>
                <w:tcPr>
                  <w:tcW w:w="1576" w:type="dxa"/>
                  <w:vMerge w:val="continue"/>
                  <w:tcBorders>
                    <w:left w:val="single" w:color="auto" w:sz="4" w:space="0"/>
                    <w:bottom w:val="single" w:color="auto" w:sz="4" w:space="0"/>
                    <w:right w:val="single" w:color="auto" w:sz="4" w:space="0"/>
                  </w:tcBorders>
                  <w:vAlign w:val="center"/>
                </w:tcPr>
                <w:p>
                  <w:pPr>
                    <w:pStyle w:val="53"/>
                    <w:spacing w:before="24" w:after="24" w:line="240" w:lineRule="auto"/>
                    <w:rPr>
                      <w:color w:val="auto"/>
                    </w:rPr>
                  </w:pPr>
                </w:p>
              </w:tc>
              <w:tc>
                <w:tcPr>
                  <w:tcW w:w="1260" w:type="dxa"/>
                  <w:tcBorders>
                    <w:top w:val="single" w:color="auto" w:sz="4" w:space="0"/>
                    <w:left w:val="single" w:color="auto" w:sz="4" w:space="0"/>
                    <w:bottom w:val="single" w:color="auto" w:sz="4" w:space="0"/>
                    <w:right w:val="single" w:color="auto" w:sz="4" w:space="0"/>
                  </w:tcBorders>
                  <w:vAlign w:val="center"/>
                </w:tcPr>
                <w:p>
                  <w:pPr>
                    <w:pStyle w:val="53"/>
                    <w:spacing w:before="24" w:after="24" w:line="240" w:lineRule="auto"/>
                    <w:rPr>
                      <w:rFonts w:ascii="Times New Roman"/>
                      <w:color w:val="auto"/>
                    </w:rPr>
                  </w:pPr>
                  <w:r>
                    <w:rPr>
                      <w:rFonts w:hint="eastAsia" w:ascii="Times New Roman"/>
                      <w:color w:val="auto"/>
                    </w:rPr>
                    <w:t>颗粒物、SO</w:t>
                  </w:r>
                  <w:r>
                    <w:rPr>
                      <w:rFonts w:hint="eastAsia" w:ascii="Times New Roman"/>
                      <w:color w:val="auto"/>
                      <w:vertAlign w:val="subscript"/>
                    </w:rPr>
                    <w:t>2</w:t>
                  </w:r>
                </w:p>
              </w:tc>
              <w:tc>
                <w:tcPr>
                  <w:tcW w:w="899" w:type="dxa"/>
                  <w:tcBorders>
                    <w:top w:val="single" w:color="auto" w:sz="4" w:space="0"/>
                    <w:left w:val="single" w:color="auto" w:sz="4" w:space="0"/>
                    <w:bottom w:val="single" w:color="auto" w:sz="4" w:space="0"/>
                    <w:right w:val="single" w:color="auto" w:sz="4" w:space="0"/>
                  </w:tcBorders>
                  <w:vAlign w:val="center"/>
                </w:tcPr>
                <w:p>
                  <w:pPr>
                    <w:pStyle w:val="53"/>
                    <w:spacing w:before="24" w:after="24" w:line="240" w:lineRule="auto"/>
                    <w:rPr>
                      <w:rFonts w:ascii="Times New Roman"/>
                      <w:color w:val="auto"/>
                    </w:rPr>
                  </w:pPr>
                  <w:r>
                    <w:rPr>
                      <w:rFonts w:ascii="Times New Roman"/>
                      <w:color w:val="auto"/>
                    </w:rPr>
                    <w:t>1次/年</w:t>
                  </w:r>
                </w:p>
              </w:tc>
              <w:tc>
                <w:tcPr>
                  <w:tcW w:w="2873" w:type="dxa"/>
                  <w:vMerge w:val="continue"/>
                  <w:tcBorders>
                    <w:left w:val="single" w:color="auto" w:sz="4" w:space="0"/>
                    <w:right w:val="single" w:color="auto" w:sz="4" w:space="0"/>
                  </w:tcBorders>
                  <w:vAlign w:val="center"/>
                </w:tcPr>
                <w:p>
                  <w:pPr>
                    <w:pStyle w:val="53"/>
                    <w:spacing w:before="24" w:after="24" w:line="240" w:lineRule="auto"/>
                    <w:rPr>
                      <w:rFonts w:ascii="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4" w:hRule="atLeast"/>
                <w:tblHeader/>
                <w:jc w:val="center"/>
              </w:trPr>
              <w:tc>
                <w:tcPr>
                  <w:tcW w:w="528" w:type="dxa"/>
                  <w:tcBorders>
                    <w:top w:val="single" w:color="auto" w:sz="4" w:space="0"/>
                    <w:left w:val="single" w:color="auto" w:sz="4" w:space="0"/>
                    <w:bottom w:val="single" w:color="auto" w:sz="4" w:space="0"/>
                    <w:right w:val="single" w:color="auto" w:sz="4" w:space="0"/>
                  </w:tcBorders>
                  <w:vAlign w:val="center"/>
                </w:tcPr>
                <w:p>
                  <w:pPr>
                    <w:pStyle w:val="53"/>
                    <w:spacing w:before="24" w:after="24" w:line="240" w:lineRule="auto"/>
                    <w:rPr>
                      <w:rFonts w:ascii="Times New Roman"/>
                      <w:color w:val="auto"/>
                    </w:rPr>
                  </w:pPr>
                  <w:r>
                    <w:rPr>
                      <w:rFonts w:hint="eastAsia" w:ascii="Times New Roman"/>
                      <w:color w:val="auto"/>
                    </w:rPr>
                    <w:t>4</w:t>
                  </w:r>
                </w:p>
              </w:tc>
              <w:tc>
                <w:tcPr>
                  <w:tcW w:w="1161" w:type="dxa"/>
                  <w:tcBorders>
                    <w:top w:val="single" w:color="auto" w:sz="4" w:space="0"/>
                    <w:left w:val="single" w:color="auto" w:sz="4" w:space="0"/>
                    <w:bottom w:val="single" w:color="auto" w:sz="4" w:space="0"/>
                    <w:right w:val="single" w:color="auto" w:sz="4" w:space="0"/>
                  </w:tcBorders>
                  <w:vAlign w:val="center"/>
                </w:tcPr>
                <w:p>
                  <w:pPr>
                    <w:pStyle w:val="53"/>
                    <w:spacing w:before="24" w:after="24" w:line="240" w:lineRule="auto"/>
                    <w:rPr>
                      <w:rFonts w:ascii="Times New Roman"/>
                      <w:color w:val="auto"/>
                    </w:rPr>
                  </w:pPr>
                  <w:r>
                    <w:rPr>
                      <w:rFonts w:ascii="Times New Roman"/>
                      <w:color w:val="auto"/>
                    </w:rPr>
                    <w:t>厂界</w:t>
                  </w:r>
                </w:p>
              </w:tc>
              <w:tc>
                <w:tcPr>
                  <w:tcW w:w="1576" w:type="dxa"/>
                  <w:tcBorders>
                    <w:top w:val="single" w:color="auto" w:sz="4" w:space="0"/>
                    <w:left w:val="single" w:color="auto" w:sz="4" w:space="0"/>
                    <w:bottom w:val="single" w:color="auto" w:sz="4" w:space="0"/>
                    <w:right w:val="single" w:color="auto" w:sz="4" w:space="0"/>
                  </w:tcBorders>
                  <w:vAlign w:val="center"/>
                </w:tcPr>
                <w:p>
                  <w:pPr>
                    <w:pStyle w:val="53"/>
                    <w:spacing w:before="24" w:after="24" w:line="240" w:lineRule="auto"/>
                    <w:rPr>
                      <w:rFonts w:ascii="Times New Roman"/>
                      <w:color w:val="auto"/>
                    </w:rPr>
                  </w:pPr>
                  <w:r>
                    <w:rPr>
                      <w:rFonts w:ascii="Times New Roman"/>
                      <w:color w:val="auto"/>
                    </w:rPr>
                    <w:t>/</w:t>
                  </w:r>
                </w:p>
              </w:tc>
              <w:tc>
                <w:tcPr>
                  <w:tcW w:w="1260" w:type="dxa"/>
                  <w:tcBorders>
                    <w:top w:val="single" w:color="auto" w:sz="4" w:space="0"/>
                    <w:left w:val="single" w:color="auto" w:sz="4" w:space="0"/>
                    <w:right w:val="single" w:color="auto" w:sz="4" w:space="0"/>
                  </w:tcBorders>
                  <w:vAlign w:val="center"/>
                </w:tcPr>
                <w:p>
                  <w:pPr>
                    <w:pStyle w:val="53"/>
                    <w:spacing w:before="24" w:after="24" w:line="240" w:lineRule="auto"/>
                    <w:rPr>
                      <w:rFonts w:ascii="Times New Roman"/>
                      <w:color w:val="auto"/>
                    </w:rPr>
                  </w:pPr>
                  <w:r>
                    <w:rPr>
                      <w:rFonts w:ascii="Times New Roman"/>
                      <w:color w:val="auto"/>
                    </w:rPr>
                    <w:t>颗粒物</w:t>
                  </w:r>
                </w:p>
              </w:tc>
              <w:tc>
                <w:tcPr>
                  <w:tcW w:w="899" w:type="dxa"/>
                  <w:tcBorders>
                    <w:top w:val="single" w:color="auto" w:sz="4" w:space="0"/>
                    <w:left w:val="single" w:color="auto" w:sz="4" w:space="0"/>
                    <w:bottom w:val="single" w:color="auto" w:sz="4" w:space="0"/>
                    <w:right w:val="single" w:color="auto" w:sz="4" w:space="0"/>
                  </w:tcBorders>
                  <w:vAlign w:val="center"/>
                </w:tcPr>
                <w:p>
                  <w:pPr>
                    <w:pStyle w:val="53"/>
                    <w:spacing w:before="24" w:after="24" w:line="240" w:lineRule="auto"/>
                    <w:rPr>
                      <w:rFonts w:ascii="Times New Roman"/>
                      <w:color w:val="auto"/>
                    </w:rPr>
                  </w:pPr>
                  <w:r>
                    <w:rPr>
                      <w:rFonts w:ascii="Times New Roman"/>
                      <w:color w:val="auto"/>
                    </w:rPr>
                    <w:t>1次/年</w:t>
                  </w:r>
                </w:p>
              </w:tc>
              <w:tc>
                <w:tcPr>
                  <w:tcW w:w="2873" w:type="dxa"/>
                  <w:tcBorders>
                    <w:left w:val="single" w:color="auto" w:sz="4" w:space="0"/>
                    <w:right w:val="single" w:color="auto" w:sz="4" w:space="0"/>
                  </w:tcBorders>
                  <w:vAlign w:val="center"/>
                </w:tcPr>
                <w:p>
                  <w:pPr>
                    <w:pStyle w:val="53"/>
                    <w:spacing w:before="24" w:after="24" w:line="240" w:lineRule="auto"/>
                    <w:rPr>
                      <w:rFonts w:ascii="Times New Roman"/>
                      <w:color w:val="auto"/>
                    </w:rPr>
                  </w:pPr>
                  <w:r>
                    <w:rPr>
                      <w:rFonts w:ascii="Times New Roman"/>
                      <w:color w:val="auto"/>
                    </w:rPr>
                    <w:t>《大气污染物综合排放标准》（GB 16297-1996）中表2 新污染源大气污染物排放限值</w:t>
                  </w:r>
                </w:p>
              </w:tc>
            </w:tr>
          </w:tbl>
          <w:p>
            <w:pPr>
              <w:numPr>
                <w:ilvl w:val="0"/>
                <w:numId w:val="3"/>
              </w:numPr>
              <w:spacing w:line="360" w:lineRule="auto"/>
              <w:ind w:firstLine="482" w:firstLineChars="200"/>
              <w:rPr>
                <w:b/>
                <w:bCs/>
                <w:color w:val="auto"/>
                <w:sz w:val="24"/>
                <w:szCs w:val="24"/>
              </w:rPr>
            </w:pPr>
            <w:r>
              <w:rPr>
                <w:b/>
                <w:bCs/>
                <w:color w:val="auto"/>
                <w:sz w:val="24"/>
                <w:szCs w:val="24"/>
              </w:rPr>
              <w:t>废水</w:t>
            </w:r>
          </w:p>
          <w:p>
            <w:pPr>
              <w:pStyle w:val="78"/>
              <w:ind w:firstLine="482"/>
              <w:jc w:val="both"/>
              <w:rPr>
                <w:b/>
                <w:bCs/>
                <w:color w:val="auto"/>
                <w:sz w:val="24"/>
                <w:szCs w:val="24"/>
              </w:rPr>
            </w:pPr>
            <w:r>
              <w:rPr>
                <w:b/>
                <w:bCs/>
                <w:color w:val="auto"/>
                <w:sz w:val="24"/>
                <w:szCs w:val="24"/>
              </w:rPr>
              <w:t>2.1废水排放情况及污染防治措施</w:t>
            </w:r>
          </w:p>
          <w:p>
            <w:pPr>
              <w:pStyle w:val="78"/>
              <w:ind w:firstLine="480"/>
              <w:jc w:val="both"/>
              <w:rPr>
                <w:color w:val="auto"/>
                <w:sz w:val="24"/>
                <w:szCs w:val="24"/>
              </w:rPr>
            </w:pPr>
            <w:r>
              <w:rPr>
                <w:color w:val="auto"/>
                <w:sz w:val="24"/>
                <w:szCs w:val="24"/>
              </w:rPr>
              <w:t>根据工程分析，项目废水主要为职工生活污水</w:t>
            </w:r>
            <w:r>
              <w:rPr>
                <w:rFonts w:hint="eastAsia"/>
                <w:color w:val="auto"/>
                <w:sz w:val="24"/>
                <w:szCs w:val="24"/>
              </w:rPr>
              <w:t>、食堂废水和</w:t>
            </w:r>
            <w:r>
              <w:rPr>
                <w:rFonts w:hint="eastAsia"/>
                <w:color w:val="auto"/>
                <w:sz w:val="24"/>
                <w:szCs w:val="24"/>
                <w:lang w:eastAsia="zh-CN"/>
              </w:rPr>
              <w:t>纯水制备废水</w:t>
            </w:r>
            <w:r>
              <w:rPr>
                <w:color w:val="auto"/>
                <w:sz w:val="24"/>
                <w:szCs w:val="24"/>
              </w:rPr>
              <w:t>。</w:t>
            </w:r>
          </w:p>
          <w:p>
            <w:pPr>
              <w:spacing w:line="360" w:lineRule="auto"/>
              <w:ind w:firstLine="480" w:firstLineChars="200"/>
              <w:rPr>
                <w:rStyle w:val="79"/>
                <w:color w:val="auto"/>
                <w:sz w:val="24"/>
                <w:szCs w:val="24"/>
              </w:rPr>
            </w:pPr>
            <w:r>
              <w:rPr>
                <w:rFonts w:hint="eastAsia"/>
                <w:color w:val="auto"/>
                <w:sz w:val="24"/>
              </w:rPr>
              <w:t>本</w:t>
            </w:r>
            <w:r>
              <w:rPr>
                <w:color w:val="auto"/>
                <w:sz w:val="24"/>
              </w:rPr>
              <w:t>项目食堂废水</w:t>
            </w:r>
            <w:r>
              <w:rPr>
                <w:rFonts w:hint="eastAsia"/>
                <w:color w:val="auto"/>
                <w:sz w:val="24"/>
              </w:rPr>
              <w:t>（240t</w:t>
            </w:r>
            <w:r>
              <w:rPr>
                <w:color w:val="auto"/>
                <w:sz w:val="24"/>
              </w:rPr>
              <w:t>/</w:t>
            </w:r>
            <w:r>
              <w:rPr>
                <w:rFonts w:hint="eastAsia"/>
                <w:color w:val="auto"/>
                <w:sz w:val="24"/>
              </w:rPr>
              <w:t>a）</w:t>
            </w:r>
            <w:r>
              <w:rPr>
                <w:color w:val="auto"/>
                <w:sz w:val="24"/>
              </w:rPr>
              <w:t>经隔油池</w:t>
            </w:r>
            <w:r>
              <w:rPr>
                <w:rFonts w:hint="eastAsia"/>
                <w:color w:val="auto"/>
                <w:sz w:val="24"/>
              </w:rPr>
              <w:t>预</w:t>
            </w:r>
            <w:r>
              <w:rPr>
                <w:color w:val="auto"/>
                <w:sz w:val="24"/>
              </w:rPr>
              <w:t>处理后，与</w:t>
            </w:r>
            <w:r>
              <w:rPr>
                <w:rFonts w:hint="eastAsia"/>
                <w:color w:val="auto"/>
                <w:sz w:val="24"/>
              </w:rPr>
              <w:t>生活污水（1440t</w:t>
            </w:r>
            <w:r>
              <w:rPr>
                <w:color w:val="auto"/>
                <w:sz w:val="24"/>
              </w:rPr>
              <w:t>/</w:t>
            </w:r>
            <w:r>
              <w:rPr>
                <w:rFonts w:hint="eastAsia"/>
                <w:color w:val="auto"/>
                <w:sz w:val="24"/>
              </w:rPr>
              <w:t>a）一同</w:t>
            </w:r>
            <w:r>
              <w:rPr>
                <w:color w:val="auto"/>
                <w:sz w:val="24"/>
              </w:rPr>
              <w:t>经化粪池处理</w:t>
            </w:r>
            <w:r>
              <w:rPr>
                <w:rFonts w:hint="eastAsia"/>
                <w:color w:val="auto"/>
                <w:sz w:val="24"/>
              </w:rPr>
              <w:t>后纳管</w:t>
            </w:r>
            <w:r>
              <w:rPr>
                <w:color w:val="auto"/>
                <w:sz w:val="24"/>
              </w:rPr>
              <w:t>，</w:t>
            </w:r>
            <w:r>
              <w:rPr>
                <w:rFonts w:hint="eastAsia"/>
                <w:color w:val="auto"/>
                <w:sz w:val="24"/>
                <w:lang w:eastAsia="zh-CN"/>
              </w:rPr>
              <w:t>纯水制备废水</w:t>
            </w:r>
            <w:r>
              <w:rPr>
                <w:rFonts w:hint="eastAsia"/>
                <w:color w:val="auto"/>
                <w:sz w:val="24"/>
              </w:rPr>
              <w:t>（</w:t>
            </w:r>
            <w:r>
              <w:rPr>
                <w:rFonts w:hint="eastAsia"/>
                <w:color w:val="auto"/>
                <w:sz w:val="24"/>
                <w:lang w:eastAsia="zh-CN"/>
              </w:rPr>
              <w:t>226</w:t>
            </w:r>
            <w:r>
              <w:rPr>
                <w:rFonts w:hint="eastAsia"/>
                <w:color w:val="auto"/>
                <w:sz w:val="24"/>
                <w:lang w:val="en-US" w:eastAsia="zh-CN"/>
              </w:rPr>
              <w:t>2</w:t>
            </w:r>
            <w:r>
              <w:rPr>
                <w:rFonts w:hint="eastAsia"/>
                <w:color w:val="auto"/>
                <w:sz w:val="24"/>
              </w:rPr>
              <w:t>t</w:t>
            </w:r>
            <w:r>
              <w:rPr>
                <w:color w:val="auto"/>
                <w:sz w:val="24"/>
              </w:rPr>
              <w:t>/</w:t>
            </w:r>
            <w:r>
              <w:rPr>
                <w:rFonts w:hint="eastAsia"/>
                <w:color w:val="auto"/>
                <w:sz w:val="24"/>
              </w:rPr>
              <w:t>a）中污染物浓度满足宿州市经济技术开发区污水处理厂接管标准，可直接纳管排入区域污水管网</w:t>
            </w:r>
            <w:r>
              <w:rPr>
                <w:color w:val="auto"/>
                <w:sz w:val="24"/>
              </w:rPr>
              <w:t>，</w:t>
            </w:r>
            <w:r>
              <w:rPr>
                <w:rFonts w:hint="eastAsia"/>
                <w:color w:val="auto"/>
                <w:sz w:val="24"/>
              </w:rPr>
              <w:t>所有废水均进入宿州市经济技术开发区污水处理厂集中处理，处理达标后排入运粮河。</w:t>
            </w:r>
          </w:p>
          <w:p>
            <w:pPr>
              <w:widowControl/>
              <w:tabs>
                <w:tab w:val="left" w:pos="420"/>
              </w:tabs>
              <w:spacing w:line="360" w:lineRule="auto"/>
              <w:jc w:val="center"/>
              <w:rPr>
                <w:rStyle w:val="79"/>
                <w:color w:val="auto"/>
                <w:sz w:val="24"/>
                <w:szCs w:val="24"/>
              </w:rPr>
            </w:pPr>
            <w:r>
              <w:rPr>
                <w:rStyle w:val="79"/>
                <w:color w:val="auto"/>
                <w:sz w:val="24"/>
                <w:szCs w:val="24"/>
              </w:rPr>
              <w:t>4-1</w:t>
            </w:r>
            <w:r>
              <w:rPr>
                <w:rStyle w:val="79"/>
                <w:rFonts w:hint="eastAsia"/>
                <w:color w:val="auto"/>
                <w:sz w:val="24"/>
                <w:szCs w:val="24"/>
              </w:rPr>
              <w:t>2</w:t>
            </w:r>
            <w:r>
              <w:rPr>
                <w:rStyle w:val="79"/>
                <w:color w:val="auto"/>
                <w:sz w:val="24"/>
                <w:szCs w:val="24"/>
              </w:rPr>
              <w:t xml:space="preserve">  本项目废水产排情况一览表</w:t>
            </w:r>
          </w:p>
          <w:tbl>
            <w:tblPr>
              <w:tblStyle w:val="23"/>
              <w:tblW w:w="8198" w:type="dxa"/>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223"/>
              <w:gridCol w:w="1162"/>
              <w:gridCol w:w="1161"/>
              <w:gridCol w:w="1166"/>
              <w:gridCol w:w="1161"/>
              <w:gridCol w:w="1161"/>
              <w:gridCol w:w="11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0" w:hRule="atLeast"/>
              </w:trPr>
              <w:tc>
                <w:tcPr>
                  <w:tcW w:w="745" w:type="pct"/>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color w:val="auto"/>
                    </w:rPr>
                  </w:pPr>
                  <w:r>
                    <w:rPr>
                      <w:color w:val="auto"/>
                      <w:kern w:val="0"/>
                    </w:rPr>
                    <w:t>污染源名称</w:t>
                  </w:r>
                </w:p>
              </w:tc>
              <w:tc>
                <w:tcPr>
                  <w:tcW w:w="708" w:type="pct"/>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color w:val="auto"/>
                    </w:rPr>
                  </w:pPr>
                  <w:r>
                    <w:rPr>
                      <w:color w:val="auto"/>
                      <w:kern w:val="0"/>
                    </w:rPr>
                    <w:t>污染物名称</w:t>
                  </w:r>
                </w:p>
              </w:tc>
              <w:tc>
                <w:tcPr>
                  <w:tcW w:w="1419" w:type="pct"/>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color w:val="auto"/>
                    </w:rPr>
                  </w:pPr>
                  <w:r>
                    <w:rPr>
                      <w:color w:val="auto"/>
                      <w:kern w:val="0"/>
                    </w:rPr>
                    <w:t>本项目产生情况</w:t>
                  </w:r>
                </w:p>
              </w:tc>
              <w:tc>
                <w:tcPr>
                  <w:tcW w:w="708" w:type="pc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color w:val="auto"/>
                    </w:rPr>
                  </w:pPr>
                  <w:r>
                    <w:rPr>
                      <w:color w:val="auto"/>
                      <w:kern w:val="0"/>
                    </w:rPr>
                    <w:t>拟采取的</w:t>
                  </w:r>
                </w:p>
              </w:tc>
              <w:tc>
                <w:tcPr>
                  <w:tcW w:w="1418" w:type="pct"/>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color w:val="auto"/>
                    </w:rPr>
                  </w:pPr>
                  <w:r>
                    <w:rPr>
                      <w:color w:val="auto"/>
                      <w:kern w:val="0"/>
                    </w:rPr>
                    <w:t>本项目排放情况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8" w:hRule="atLeast"/>
              </w:trPr>
              <w:tc>
                <w:tcPr>
                  <w:tcW w:w="745" w:type="pct"/>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color w:val="auto"/>
                    </w:rPr>
                  </w:pPr>
                </w:p>
              </w:tc>
              <w:tc>
                <w:tcPr>
                  <w:tcW w:w="708" w:type="pct"/>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color w:val="auto"/>
                    </w:rPr>
                  </w:pPr>
                </w:p>
              </w:tc>
              <w:tc>
                <w:tcPr>
                  <w:tcW w:w="708" w:type="pc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color w:val="auto"/>
                    </w:rPr>
                  </w:pPr>
                  <w:r>
                    <w:rPr>
                      <w:color w:val="auto"/>
                      <w:kern w:val="0"/>
                    </w:rPr>
                    <w:t>产生浓度(mg/L)</w:t>
                  </w:r>
                </w:p>
              </w:tc>
              <w:tc>
                <w:tcPr>
                  <w:tcW w:w="710" w:type="pc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color w:val="auto"/>
                      <w:kern w:val="0"/>
                    </w:rPr>
                  </w:pPr>
                  <w:r>
                    <w:rPr>
                      <w:color w:val="auto"/>
                      <w:kern w:val="0"/>
                    </w:rPr>
                    <w:t>产生量</w:t>
                  </w:r>
                </w:p>
                <w:p>
                  <w:pPr>
                    <w:widowControl/>
                    <w:jc w:val="center"/>
                    <w:textAlignment w:val="center"/>
                    <w:rPr>
                      <w:color w:val="auto"/>
                    </w:rPr>
                  </w:pPr>
                  <w:r>
                    <w:rPr>
                      <w:color w:val="auto"/>
                      <w:kern w:val="0"/>
                    </w:rPr>
                    <w:t>(t/a)</w:t>
                  </w:r>
                </w:p>
              </w:tc>
              <w:tc>
                <w:tcPr>
                  <w:tcW w:w="708" w:type="pc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color w:val="auto"/>
                    </w:rPr>
                  </w:pPr>
                  <w:r>
                    <w:rPr>
                      <w:color w:val="auto"/>
                      <w:kern w:val="0"/>
                    </w:rPr>
                    <w:t>处理方式</w:t>
                  </w:r>
                </w:p>
              </w:tc>
              <w:tc>
                <w:tcPr>
                  <w:tcW w:w="708" w:type="pc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color w:val="auto"/>
                    </w:rPr>
                  </w:pPr>
                  <w:r>
                    <w:rPr>
                      <w:color w:val="auto"/>
                      <w:kern w:val="0"/>
                    </w:rPr>
                    <w:t>排放浓度(mg/L)</w:t>
                  </w:r>
                </w:p>
              </w:tc>
              <w:tc>
                <w:tcPr>
                  <w:tcW w:w="710" w:type="pc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color w:val="auto"/>
                      <w:kern w:val="0"/>
                    </w:rPr>
                  </w:pPr>
                  <w:r>
                    <w:rPr>
                      <w:color w:val="auto"/>
                      <w:kern w:val="0"/>
                    </w:rPr>
                    <w:t>排放量</w:t>
                  </w:r>
                </w:p>
                <w:p>
                  <w:pPr>
                    <w:widowControl/>
                    <w:jc w:val="center"/>
                    <w:textAlignment w:val="center"/>
                    <w:rPr>
                      <w:color w:val="auto"/>
                    </w:rPr>
                  </w:pPr>
                  <w:r>
                    <w:rPr>
                      <w:color w:val="auto"/>
                      <w:kern w:val="0"/>
                    </w:rP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2" w:hRule="atLeast"/>
              </w:trPr>
              <w:tc>
                <w:tcPr>
                  <w:tcW w:w="745" w:type="pct"/>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color w:val="auto"/>
                    </w:rPr>
                  </w:pPr>
                  <w:r>
                    <w:rPr>
                      <w:color w:val="auto"/>
                      <w:kern w:val="0"/>
                    </w:rPr>
                    <w:t>生活污水</w:t>
                  </w:r>
                </w:p>
              </w:tc>
              <w:tc>
                <w:tcPr>
                  <w:tcW w:w="708" w:type="pc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color w:val="auto"/>
                    </w:rPr>
                  </w:pPr>
                  <w:r>
                    <w:rPr>
                      <w:color w:val="auto"/>
                      <w:kern w:val="0"/>
                    </w:rPr>
                    <w:t>水量</w:t>
                  </w:r>
                  <w:r>
                    <w:rPr>
                      <w:color w:val="auto"/>
                      <w:kern w:val="0"/>
                      <w:lang w:eastAsia="en-US"/>
                    </w:rPr>
                    <w:t>(</w:t>
                  </w:r>
                  <w:r>
                    <w:rPr>
                      <w:color w:val="auto"/>
                      <w:kern w:val="0"/>
                    </w:rPr>
                    <w:t>t</w:t>
                  </w:r>
                  <w:r>
                    <w:rPr>
                      <w:color w:val="auto"/>
                      <w:kern w:val="0"/>
                      <w:lang w:eastAsia="en-US"/>
                    </w:rPr>
                    <w:t>/a)</w:t>
                  </w:r>
                </w:p>
              </w:tc>
              <w:tc>
                <w:tcPr>
                  <w:tcW w:w="1419" w:type="pct"/>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color w:val="auto"/>
                    </w:rPr>
                  </w:pPr>
                  <w:r>
                    <w:rPr>
                      <w:color w:val="auto"/>
                    </w:rPr>
                    <w:t>1440</w:t>
                  </w:r>
                </w:p>
              </w:tc>
              <w:tc>
                <w:tcPr>
                  <w:tcW w:w="708" w:type="pct"/>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color w:val="auto"/>
                    </w:rPr>
                  </w:pPr>
                  <w:r>
                    <w:rPr>
                      <w:color w:val="auto"/>
                    </w:rPr>
                    <w:t>化粪池</w:t>
                  </w:r>
                </w:p>
              </w:tc>
              <w:tc>
                <w:tcPr>
                  <w:tcW w:w="1418" w:type="pct"/>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color w:val="auto"/>
                    </w:rPr>
                  </w:pPr>
                  <w:r>
                    <w:rPr>
                      <w:rFonts w:hint="eastAsia"/>
                      <w:color w:val="auto"/>
                    </w:rPr>
                    <w:t>1440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1" w:hRule="atLeast"/>
              </w:trPr>
              <w:tc>
                <w:tcPr>
                  <w:tcW w:w="745" w:type="pct"/>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color w:val="auto"/>
                    </w:rPr>
                  </w:pPr>
                </w:p>
              </w:tc>
              <w:tc>
                <w:tcPr>
                  <w:tcW w:w="708" w:type="pc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color w:val="auto"/>
                    </w:rPr>
                  </w:pPr>
                  <w:r>
                    <w:rPr>
                      <w:color w:val="auto"/>
                      <w:kern w:val="0"/>
                    </w:rPr>
                    <w:t>COD</w:t>
                  </w:r>
                </w:p>
              </w:tc>
              <w:tc>
                <w:tcPr>
                  <w:tcW w:w="708" w:type="pc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center"/>
                    <w:rPr>
                      <w:color w:val="auto"/>
                    </w:rPr>
                  </w:pPr>
                  <w:r>
                    <w:rPr>
                      <w:color w:val="auto"/>
                    </w:rPr>
                    <w:t>300</w:t>
                  </w:r>
                </w:p>
              </w:tc>
              <w:tc>
                <w:tcPr>
                  <w:tcW w:w="710" w:type="pc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color w:val="auto"/>
                    </w:rPr>
                  </w:pPr>
                  <w:r>
                    <w:rPr>
                      <w:rFonts w:hint="eastAsia"/>
                      <w:color w:val="auto"/>
                    </w:rPr>
                    <w:t>0.432</w:t>
                  </w:r>
                </w:p>
              </w:tc>
              <w:tc>
                <w:tcPr>
                  <w:tcW w:w="708" w:type="pct"/>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color w:val="auto"/>
                    </w:rPr>
                  </w:pPr>
                </w:p>
              </w:tc>
              <w:tc>
                <w:tcPr>
                  <w:tcW w:w="708" w:type="pc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color w:val="auto"/>
                      <w:kern w:val="0"/>
                    </w:rPr>
                  </w:pPr>
                  <w:r>
                    <w:rPr>
                      <w:color w:val="auto"/>
                      <w:kern w:val="0"/>
                    </w:rPr>
                    <w:t>250</w:t>
                  </w:r>
                </w:p>
              </w:tc>
              <w:tc>
                <w:tcPr>
                  <w:tcW w:w="710" w:type="pc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color w:val="auto"/>
                      <w:kern w:val="0"/>
                    </w:rPr>
                  </w:pPr>
                  <w:r>
                    <w:rPr>
                      <w:rFonts w:hint="eastAsia"/>
                      <w:color w:val="auto"/>
                      <w:kern w:val="0"/>
                    </w:rPr>
                    <w:t>0.360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1" w:hRule="atLeast"/>
              </w:trPr>
              <w:tc>
                <w:tcPr>
                  <w:tcW w:w="745" w:type="pct"/>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color w:val="auto"/>
                    </w:rPr>
                  </w:pPr>
                </w:p>
              </w:tc>
              <w:tc>
                <w:tcPr>
                  <w:tcW w:w="708" w:type="pc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color w:val="auto"/>
                    </w:rPr>
                  </w:pPr>
                  <w:r>
                    <w:rPr>
                      <w:color w:val="auto"/>
                      <w:kern w:val="0"/>
                    </w:rPr>
                    <w:t>BOD</w:t>
                  </w:r>
                  <w:r>
                    <w:rPr>
                      <w:b/>
                      <w:bCs/>
                      <w:color w:val="auto"/>
                      <w:kern w:val="0"/>
                      <w:vertAlign w:val="subscript"/>
                    </w:rPr>
                    <w:t>5</w:t>
                  </w:r>
                </w:p>
              </w:tc>
              <w:tc>
                <w:tcPr>
                  <w:tcW w:w="708" w:type="pc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center"/>
                    <w:rPr>
                      <w:color w:val="auto"/>
                    </w:rPr>
                  </w:pPr>
                  <w:r>
                    <w:rPr>
                      <w:color w:val="auto"/>
                    </w:rPr>
                    <w:t>200</w:t>
                  </w:r>
                </w:p>
              </w:tc>
              <w:tc>
                <w:tcPr>
                  <w:tcW w:w="710" w:type="pc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color w:val="auto"/>
                    </w:rPr>
                  </w:pPr>
                  <w:r>
                    <w:rPr>
                      <w:rFonts w:hint="eastAsia"/>
                      <w:color w:val="auto"/>
                    </w:rPr>
                    <w:t>0.288</w:t>
                  </w:r>
                </w:p>
              </w:tc>
              <w:tc>
                <w:tcPr>
                  <w:tcW w:w="708" w:type="pct"/>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color w:val="auto"/>
                    </w:rPr>
                  </w:pPr>
                </w:p>
              </w:tc>
              <w:tc>
                <w:tcPr>
                  <w:tcW w:w="708" w:type="pc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color w:val="auto"/>
                      <w:kern w:val="0"/>
                    </w:rPr>
                  </w:pPr>
                  <w:r>
                    <w:rPr>
                      <w:color w:val="auto"/>
                      <w:kern w:val="0"/>
                    </w:rPr>
                    <w:t>1</w:t>
                  </w:r>
                  <w:r>
                    <w:rPr>
                      <w:rFonts w:hint="eastAsia"/>
                      <w:color w:val="auto"/>
                      <w:kern w:val="0"/>
                    </w:rPr>
                    <w:t>5</w:t>
                  </w:r>
                  <w:r>
                    <w:rPr>
                      <w:color w:val="auto"/>
                      <w:kern w:val="0"/>
                    </w:rPr>
                    <w:t>0</w:t>
                  </w:r>
                </w:p>
              </w:tc>
              <w:tc>
                <w:tcPr>
                  <w:tcW w:w="710" w:type="pc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color w:val="auto"/>
                      <w:kern w:val="0"/>
                    </w:rPr>
                  </w:pPr>
                  <w:r>
                    <w:rPr>
                      <w:rFonts w:hint="eastAsia"/>
                      <w:color w:val="auto"/>
                      <w:kern w:val="0"/>
                    </w:rPr>
                    <w:t>0.216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1" w:hRule="atLeast"/>
              </w:trPr>
              <w:tc>
                <w:tcPr>
                  <w:tcW w:w="745" w:type="pct"/>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color w:val="auto"/>
                    </w:rPr>
                  </w:pPr>
                </w:p>
              </w:tc>
              <w:tc>
                <w:tcPr>
                  <w:tcW w:w="708" w:type="pc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color w:val="auto"/>
                    </w:rPr>
                  </w:pPr>
                  <w:r>
                    <w:rPr>
                      <w:color w:val="auto"/>
                      <w:kern w:val="0"/>
                    </w:rPr>
                    <w:t>NH</w:t>
                  </w:r>
                  <w:r>
                    <w:rPr>
                      <w:b/>
                      <w:bCs/>
                      <w:color w:val="auto"/>
                      <w:kern w:val="0"/>
                      <w:vertAlign w:val="subscript"/>
                    </w:rPr>
                    <w:t>3</w:t>
                  </w:r>
                  <w:r>
                    <w:rPr>
                      <w:b/>
                      <w:bCs/>
                      <w:color w:val="auto"/>
                      <w:kern w:val="0"/>
                    </w:rPr>
                    <w:t>-</w:t>
                  </w:r>
                  <w:r>
                    <w:rPr>
                      <w:color w:val="auto"/>
                      <w:kern w:val="0"/>
                    </w:rPr>
                    <w:t>N</w:t>
                  </w:r>
                </w:p>
              </w:tc>
              <w:tc>
                <w:tcPr>
                  <w:tcW w:w="708" w:type="pc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center"/>
                    <w:rPr>
                      <w:color w:val="auto"/>
                    </w:rPr>
                  </w:pPr>
                  <w:r>
                    <w:rPr>
                      <w:rFonts w:hint="eastAsia"/>
                      <w:color w:val="auto"/>
                    </w:rPr>
                    <w:t>40</w:t>
                  </w:r>
                </w:p>
              </w:tc>
              <w:tc>
                <w:tcPr>
                  <w:tcW w:w="710" w:type="pc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color w:val="auto"/>
                    </w:rPr>
                  </w:pPr>
                  <w:r>
                    <w:rPr>
                      <w:rFonts w:hint="eastAsia"/>
                      <w:color w:val="auto"/>
                    </w:rPr>
                    <w:t>0.058</w:t>
                  </w:r>
                </w:p>
              </w:tc>
              <w:tc>
                <w:tcPr>
                  <w:tcW w:w="708" w:type="pct"/>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color w:val="auto"/>
                    </w:rPr>
                  </w:pPr>
                </w:p>
              </w:tc>
              <w:tc>
                <w:tcPr>
                  <w:tcW w:w="708" w:type="pc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color w:val="auto"/>
                      <w:kern w:val="0"/>
                    </w:rPr>
                  </w:pPr>
                  <w:r>
                    <w:rPr>
                      <w:rFonts w:hint="eastAsia"/>
                      <w:color w:val="auto"/>
                      <w:kern w:val="0"/>
                    </w:rPr>
                    <w:t>35</w:t>
                  </w:r>
                </w:p>
              </w:tc>
              <w:tc>
                <w:tcPr>
                  <w:tcW w:w="710" w:type="pc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color w:val="auto"/>
                      <w:kern w:val="0"/>
                    </w:rPr>
                  </w:pPr>
                  <w:r>
                    <w:rPr>
                      <w:rFonts w:hint="eastAsia"/>
                      <w:color w:val="auto"/>
                      <w:kern w:val="0"/>
                    </w:rPr>
                    <w:t>0.050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6" w:hRule="atLeast"/>
              </w:trPr>
              <w:tc>
                <w:tcPr>
                  <w:tcW w:w="745" w:type="pct"/>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color w:val="auto"/>
                    </w:rPr>
                  </w:pPr>
                </w:p>
              </w:tc>
              <w:tc>
                <w:tcPr>
                  <w:tcW w:w="708" w:type="pc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color w:val="auto"/>
                    </w:rPr>
                  </w:pPr>
                  <w:r>
                    <w:rPr>
                      <w:color w:val="auto"/>
                      <w:kern w:val="0"/>
                    </w:rPr>
                    <w:t>SS</w:t>
                  </w:r>
                </w:p>
              </w:tc>
              <w:tc>
                <w:tcPr>
                  <w:tcW w:w="708" w:type="pc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center"/>
                    <w:rPr>
                      <w:color w:val="auto"/>
                    </w:rPr>
                  </w:pPr>
                  <w:r>
                    <w:rPr>
                      <w:rFonts w:hint="eastAsia"/>
                      <w:color w:val="auto"/>
                    </w:rPr>
                    <w:t>150</w:t>
                  </w:r>
                </w:p>
              </w:tc>
              <w:tc>
                <w:tcPr>
                  <w:tcW w:w="710" w:type="pc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color w:val="auto"/>
                    </w:rPr>
                  </w:pPr>
                  <w:r>
                    <w:rPr>
                      <w:rFonts w:hint="eastAsia"/>
                      <w:color w:val="auto"/>
                    </w:rPr>
                    <w:t>0.216</w:t>
                  </w:r>
                </w:p>
              </w:tc>
              <w:tc>
                <w:tcPr>
                  <w:tcW w:w="708" w:type="pct"/>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color w:val="auto"/>
                    </w:rPr>
                  </w:pPr>
                </w:p>
              </w:tc>
              <w:tc>
                <w:tcPr>
                  <w:tcW w:w="708" w:type="pc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color w:val="auto"/>
                      <w:kern w:val="0"/>
                    </w:rPr>
                  </w:pPr>
                  <w:r>
                    <w:rPr>
                      <w:rFonts w:hint="eastAsia"/>
                      <w:color w:val="auto"/>
                      <w:kern w:val="0"/>
                    </w:rPr>
                    <w:t>100</w:t>
                  </w:r>
                </w:p>
              </w:tc>
              <w:tc>
                <w:tcPr>
                  <w:tcW w:w="710" w:type="pc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color w:val="auto"/>
                      <w:kern w:val="0"/>
                    </w:rPr>
                  </w:pPr>
                  <w:r>
                    <w:rPr>
                      <w:rFonts w:hint="eastAsia"/>
                      <w:color w:val="auto"/>
                      <w:kern w:val="0"/>
                    </w:rPr>
                    <w:t>0.144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7" w:hRule="atLeast"/>
              </w:trPr>
              <w:tc>
                <w:tcPr>
                  <w:tcW w:w="745" w:type="pct"/>
                  <w:vMerge w:val="restart"/>
                  <w:tcBorders>
                    <w:top w:val="single" w:color="auto" w:sz="4" w:space="0"/>
                    <w:left w:val="single" w:color="auto" w:sz="4" w:space="0"/>
                    <w:right w:val="single" w:color="auto" w:sz="4" w:space="0"/>
                  </w:tcBorders>
                  <w:tcMar>
                    <w:top w:w="15" w:type="dxa"/>
                    <w:left w:w="15" w:type="dxa"/>
                    <w:right w:w="15" w:type="dxa"/>
                  </w:tcMar>
                  <w:vAlign w:val="center"/>
                </w:tcPr>
                <w:p>
                  <w:pPr>
                    <w:jc w:val="center"/>
                    <w:rPr>
                      <w:color w:val="auto"/>
                    </w:rPr>
                  </w:pPr>
                  <w:r>
                    <w:rPr>
                      <w:color w:val="auto"/>
                    </w:rPr>
                    <w:t>食堂废水</w:t>
                  </w:r>
                </w:p>
              </w:tc>
              <w:tc>
                <w:tcPr>
                  <w:tcW w:w="708" w:type="pc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color w:val="auto"/>
                      <w:kern w:val="0"/>
                    </w:rPr>
                  </w:pPr>
                  <w:r>
                    <w:rPr>
                      <w:color w:val="auto"/>
                      <w:kern w:val="0"/>
                    </w:rPr>
                    <w:t>水量</w:t>
                  </w:r>
                  <w:r>
                    <w:rPr>
                      <w:color w:val="auto"/>
                      <w:kern w:val="0"/>
                      <w:lang w:eastAsia="en-US"/>
                    </w:rPr>
                    <w:t>(</w:t>
                  </w:r>
                  <w:r>
                    <w:rPr>
                      <w:color w:val="auto"/>
                      <w:kern w:val="0"/>
                    </w:rPr>
                    <w:t>t</w:t>
                  </w:r>
                  <w:r>
                    <w:rPr>
                      <w:color w:val="auto"/>
                      <w:kern w:val="0"/>
                      <w:lang w:eastAsia="en-US"/>
                    </w:rPr>
                    <w:t>/a)</w:t>
                  </w:r>
                </w:p>
              </w:tc>
              <w:tc>
                <w:tcPr>
                  <w:tcW w:w="1419" w:type="pct"/>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color w:val="auto"/>
                    </w:rPr>
                  </w:pPr>
                  <w:r>
                    <w:rPr>
                      <w:color w:val="auto"/>
                    </w:rPr>
                    <w:t>240</w:t>
                  </w:r>
                </w:p>
              </w:tc>
              <w:tc>
                <w:tcPr>
                  <w:tcW w:w="708" w:type="pct"/>
                  <w:vMerge w:val="restart"/>
                  <w:tcBorders>
                    <w:top w:val="single" w:color="auto" w:sz="4" w:space="0"/>
                    <w:left w:val="single" w:color="auto" w:sz="4" w:space="0"/>
                    <w:right w:val="single" w:color="auto" w:sz="4" w:space="0"/>
                  </w:tcBorders>
                  <w:tcMar>
                    <w:top w:w="15" w:type="dxa"/>
                    <w:left w:w="15" w:type="dxa"/>
                    <w:right w:w="15" w:type="dxa"/>
                  </w:tcMar>
                  <w:vAlign w:val="center"/>
                </w:tcPr>
                <w:p>
                  <w:pPr>
                    <w:jc w:val="center"/>
                    <w:rPr>
                      <w:color w:val="auto"/>
                    </w:rPr>
                  </w:pPr>
                  <w:r>
                    <w:rPr>
                      <w:color w:val="auto"/>
                    </w:rPr>
                    <w:t>隔油池+化粪池</w:t>
                  </w:r>
                </w:p>
              </w:tc>
              <w:tc>
                <w:tcPr>
                  <w:tcW w:w="1418" w:type="pct"/>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color w:val="auto"/>
                      <w:kern w:val="0"/>
                    </w:rPr>
                  </w:pPr>
                  <w:r>
                    <w:rPr>
                      <w:rFonts w:hint="eastAsia"/>
                      <w:color w:val="auto"/>
                      <w:kern w:val="0"/>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6" w:hRule="atLeast"/>
              </w:trPr>
              <w:tc>
                <w:tcPr>
                  <w:tcW w:w="745" w:type="pct"/>
                  <w:vMerge w:val="continue"/>
                  <w:tcBorders>
                    <w:left w:val="single" w:color="auto" w:sz="4" w:space="0"/>
                    <w:right w:val="single" w:color="auto" w:sz="4" w:space="0"/>
                  </w:tcBorders>
                  <w:tcMar>
                    <w:top w:w="15" w:type="dxa"/>
                    <w:left w:w="15" w:type="dxa"/>
                    <w:right w:w="15" w:type="dxa"/>
                  </w:tcMar>
                  <w:vAlign w:val="center"/>
                </w:tcPr>
                <w:p>
                  <w:pPr>
                    <w:jc w:val="center"/>
                    <w:rPr>
                      <w:color w:val="auto"/>
                    </w:rPr>
                  </w:pPr>
                </w:p>
              </w:tc>
              <w:tc>
                <w:tcPr>
                  <w:tcW w:w="708" w:type="pc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color w:val="auto"/>
                      <w:kern w:val="0"/>
                    </w:rPr>
                  </w:pPr>
                  <w:r>
                    <w:rPr>
                      <w:color w:val="auto"/>
                      <w:kern w:val="0"/>
                    </w:rPr>
                    <w:t>COD</w:t>
                  </w:r>
                </w:p>
              </w:tc>
              <w:tc>
                <w:tcPr>
                  <w:tcW w:w="708" w:type="pc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center"/>
                    <w:rPr>
                      <w:color w:val="auto"/>
                      <w:kern w:val="0"/>
                    </w:rPr>
                  </w:pPr>
                  <w:r>
                    <w:rPr>
                      <w:color w:val="auto"/>
                    </w:rPr>
                    <w:t>300</w:t>
                  </w:r>
                </w:p>
              </w:tc>
              <w:tc>
                <w:tcPr>
                  <w:tcW w:w="710" w:type="pc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color w:val="auto"/>
                    </w:rPr>
                  </w:pPr>
                  <w:r>
                    <w:rPr>
                      <w:rFonts w:hint="eastAsia"/>
                      <w:color w:val="auto"/>
                    </w:rPr>
                    <w:t>0.072</w:t>
                  </w:r>
                </w:p>
              </w:tc>
              <w:tc>
                <w:tcPr>
                  <w:tcW w:w="708" w:type="pct"/>
                  <w:vMerge w:val="continue"/>
                  <w:tcBorders>
                    <w:left w:val="single" w:color="auto" w:sz="4" w:space="0"/>
                    <w:right w:val="single" w:color="auto" w:sz="4" w:space="0"/>
                  </w:tcBorders>
                  <w:tcMar>
                    <w:top w:w="15" w:type="dxa"/>
                    <w:left w:w="15" w:type="dxa"/>
                    <w:right w:w="15" w:type="dxa"/>
                  </w:tcMar>
                  <w:vAlign w:val="center"/>
                </w:tcPr>
                <w:p>
                  <w:pPr>
                    <w:jc w:val="center"/>
                    <w:rPr>
                      <w:color w:val="auto"/>
                    </w:rPr>
                  </w:pPr>
                </w:p>
              </w:tc>
              <w:tc>
                <w:tcPr>
                  <w:tcW w:w="708" w:type="pc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color w:val="auto"/>
                      <w:kern w:val="0"/>
                    </w:rPr>
                  </w:pPr>
                  <w:r>
                    <w:rPr>
                      <w:rFonts w:hint="eastAsia"/>
                      <w:color w:val="auto"/>
                      <w:kern w:val="0"/>
                    </w:rPr>
                    <w:t>250</w:t>
                  </w:r>
                </w:p>
              </w:tc>
              <w:tc>
                <w:tcPr>
                  <w:tcW w:w="710" w:type="pc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color w:val="auto"/>
                      <w:kern w:val="0"/>
                    </w:rPr>
                  </w:pPr>
                  <w:r>
                    <w:rPr>
                      <w:rFonts w:hint="eastAsia"/>
                      <w:color w:val="auto"/>
                      <w:kern w:val="0"/>
                    </w:rPr>
                    <w:t>0.060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6" w:hRule="atLeast"/>
              </w:trPr>
              <w:tc>
                <w:tcPr>
                  <w:tcW w:w="745" w:type="pct"/>
                  <w:vMerge w:val="continue"/>
                  <w:tcBorders>
                    <w:left w:val="single" w:color="auto" w:sz="4" w:space="0"/>
                    <w:right w:val="single" w:color="auto" w:sz="4" w:space="0"/>
                  </w:tcBorders>
                  <w:tcMar>
                    <w:top w:w="15" w:type="dxa"/>
                    <w:left w:w="15" w:type="dxa"/>
                    <w:right w:w="15" w:type="dxa"/>
                  </w:tcMar>
                  <w:vAlign w:val="center"/>
                </w:tcPr>
                <w:p>
                  <w:pPr>
                    <w:jc w:val="center"/>
                    <w:rPr>
                      <w:color w:val="auto"/>
                    </w:rPr>
                  </w:pPr>
                </w:p>
              </w:tc>
              <w:tc>
                <w:tcPr>
                  <w:tcW w:w="708" w:type="pc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color w:val="auto"/>
                      <w:kern w:val="0"/>
                    </w:rPr>
                  </w:pPr>
                  <w:r>
                    <w:rPr>
                      <w:color w:val="auto"/>
                      <w:kern w:val="0"/>
                    </w:rPr>
                    <w:t>BOD</w:t>
                  </w:r>
                  <w:r>
                    <w:rPr>
                      <w:b/>
                      <w:bCs/>
                      <w:color w:val="auto"/>
                      <w:kern w:val="0"/>
                      <w:vertAlign w:val="subscript"/>
                    </w:rPr>
                    <w:t>5</w:t>
                  </w:r>
                </w:p>
              </w:tc>
              <w:tc>
                <w:tcPr>
                  <w:tcW w:w="708" w:type="pc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center"/>
                    <w:rPr>
                      <w:color w:val="auto"/>
                      <w:kern w:val="0"/>
                    </w:rPr>
                  </w:pPr>
                  <w:r>
                    <w:rPr>
                      <w:color w:val="auto"/>
                    </w:rPr>
                    <w:t>200</w:t>
                  </w:r>
                </w:p>
              </w:tc>
              <w:tc>
                <w:tcPr>
                  <w:tcW w:w="710" w:type="pc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color w:val="auto"/>
                    </w:rPr>
                  </w:pPr>
                  <w:r>
                    <w:rPr>
                      <w:rFonts w:hint="eastAsia"/>
                      <w:color w:val="auto"/>
                    </w:rPr>
                    <w:t>0.048</w:t>
                  </w:r>
                </w:p>
              </w:tc>
              <w:tc>
                <w:tcPr>
                  <w:tcW w:w="708" w:type="pct"/>
                  <w:vMerge w:val="continue"/>
                  <w:tcBorders>
                    <w:left w:val="single" w:color="auto" w:sz="4" w:space="0"/>
                    <w:right w:val="single" w:color="auto" w:sz="4" w:space="0"/>
                  </w:tcBorders>
                  <w:tcMar>
                    <w:top w:w="15" w:type="dxa"/>
                    <w:left w:w="15" w:type="dxa"/>
                    <w:right w:w="15" w:type="dxa"/>
                  </w:tcMar>
                  <w:vAlign w:val="center"/>
                </w:tcPr>
                <w:p>
                  <w:pPr>
                    <w:jc w:val="center"/>
                    <w:rPr>
                      <w:color w:val="auto"/>
                    </w:rPr>
                  </w:pPr>
                </w:p>
              </w:tc>
              <w:tc>
                <w:tcPr>
                  <w:tcW w:w="708" w:type="pc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color w:val="auto"/>
                      <w:kern w:val="0"/>
                    </w:rPr>
                  </w:pPr>
                  <w:r>
                    <w:rPr>
                      <w:rFonts w:hint="eastAsia"/>
                      <w:color w:val="auto"/>
                      <w:kern w:val="0"/>
                    </w:rPr>
                    <w:t>150</w:t>
                  </w:r>
                </w:p>
              </w:tc>
              <w:tc>
                <w:tcPr>
                  <w:tcW w:w="710" w:type="pc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color w:val="auto"/>
                      <w:kern w:val="0"/>
                    </w:rPr>
                  </w:pPr>
                  <w:r>
                    <w:rPr>
                      <w:rFonts w:hint="eastAsia"/>
                      <w:color w:val="auto"/>
                      <w:kern w:val="0"/>
                    </w:rPr>
                    <w:t>0.036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6" w:hRule="atLeast"/>
              </w:trPr>
              <w:tc>
                <w:tcPr>
                  <w:tcW w:w="745" w:type="pct"/>
                  <w:vMerge w:val="continue"/>
                  <w:tcBorders>
                    <w:left w:val="single" w:color="auto" w:sz="4" w:space="0"/>
                    <w:right w:val="single" w:color="auto" w:sz="4" w:space="0"/>
                  </w:tcBorders>
                  <w:tcMar>
                    <w:top w:w="15" w:type="dxa"/>
                    <w:left w:w="15" w:type="dxa"/>
                    <w:right w:w="15" w:type="dxa"/>
                  </w:tcMar>
                  <w:vAlign w:val="center"/>
                </w:tcPr>
                <w:p>
                  <w:pPr>
                    <w:jc w:val="center"/>
                    <w:rPr>
                      <w:color w:val="auto"/>
                    </w:rPr>
                  </w:pPr>
                </w:p>
              </w:tc>
              <w:tc>
                <w:tcPr>
                  <w:tcW w:w="708" w:type="pc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color w:val="auto"/>
                      <w:kern w:val="0"/>
                    </w:rPr>
                  </w:pPr>
                  <w:r>
                    <w:rPr>
                      <w:color w:val="auto"/>
                      <w:kern w:val="0"/>
                    </w:rPr>
                    <w:t>NH</w:t>
                  </w:r>
                  <w:r>
                    <w:rPr>
                      <w:b/>
                      <w:bCs/>
                      <w:color w:val="auto"/>
                      <w:kern w:val="0"/>
                      <w:vertAlign w:val="subscript"/>
                    </w:rPr>
                    <w:t>3</w:t>
                  </w:r>
                  <w:r>
                    <w:rPr>
                      <w:b/>
                      <w:bCs/>
                      <w:color w:val="auto"/>
                      <w:kern w:val="0"/>
                    </w:rPr>
                    <w:t>-</w:t>
                  </w:r>
                  <w:r>
                    <w:rPr>
                      <w:color w:val="auto"/>
                      <w:kern w:val="0"/>
                    </w:rPr>
                    <w:t>N</w:t>
                  </w:r>
                </w:p>
              </w:tc>
              <w:tc>
                <w:tcPr>
                  <w:tcW w:w="708" w:type="pc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center"/>
                    <w:rPr>
                      <w:color w:val="auto"/>
                      <w:kern w:val="0"/>
                    </w:rPr>
                  </w:pPr>
                  <w:r>
                    <w:rPr>
                      <w:rFonts w:hint="eastAsia"/>
                      <w:color w:val="auto"/>
                    </w:rPr>
                    <w:t>40</w:t>
                  </w:r>
                </w:p>
              </w:tc>
              <w:tc>
                <w:tcPr>
                  <w:tcW w:w="710" w:type="pc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color w:val="auto"/>
                    </w:rPr>
                  </w:pPr>
                  <w:r>
                    <w:rPr>
                      <w:rFonts w:hint="eastAsia"/>
                      <w:color w:val="auto"/>
                    </w:rPr>
                    <w:t>0.010</w:t>
                  </w:r>
                </w:p>
              </w:tc>
              <w:tc>
                <w:tcPr>
                  <w:tcW w:w="708" w:type="pct"/>
                  <w:vMerge w:val="continue"/>
                  <w:tcBorders>
                    <w:left w:val="single" w:color="auto" w:sz="4" w:space="0"/>
                    <w:right w:val="single" w:color="auto" w:sz="4" w:space="0"/>
                  </w:tcBorders>
                  <w:tcMar>
                    <w:top w:w="15" w:type="dxa"/>
                    <w:left w:w="15" w:type="dxa"/>
                    <w:right w:w="15" w:type="dxa"/>
                  </w:tcMar>
                  <w:vAlign w:val="center"/>
                </w:tcPr>
                <w:p>
                  <w:pPr>
                    <w:jc w:val="center"/>
                    <w:rPr>
                      <w:color w:val="auto"/>
                    </w:rPr>
                  </w:pPr>
                </w:p>
              </w:tc>
              <w:tc>
                <w:tcPr>
                  <w:tcW w:w="708" w:type="pc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color w:val="auto"/>
                      <w:kern w:val="0"/>
                    </w:rPr>
                  </w:pPr>
                  <w:r>
                    <w:rPr>
                      <w:rFonts w:hint="eastAsia"/>
                      <w:color w:val="auto"/>
                      <w:kern w:val="0"/>
                    </w:rPr>
                    <w:t>35</w:t>
                  </w:r>
                </w:p>
              </w:tc>
              <w:tc>
                <w:tcPr>
                  <w:tcW w:w="710" w:type="pc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color w:val="auto"/>
                      <w:kern w:val="0"/>
                    </w:rPr>
                  </w:pPr>
                  <w:r>
                    <w:rPr>
                      <w:rFonts w:hint="eastAsia"/>
                      <w:color w:val="auto"/>
                      <w:kern w:val="0"/>
                    </w:rPr>
                    <w:t>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1" w:hRule="atLeast"/>
              </w:trPr>
              <w:tc>
                <w:tcPr>
                  <w:tcW w:w="745" w:type="pct"/>
                  <w:vMerge w:val="continue"/>
                  <w:tcBorders>
                    <w:left w:val="single" w:color="auto" w:sz="4" w:space="0"/>
                    <w:right w:val="single" w:color="auto" w:sz="4" w:space="0"/>
                  </w:tcBorders>
                  <w:tcMar>
                    <w:top w:w="15" w:type="dxa"/>
                    <w:left w:w="15" w:type="dxa"/>
                    <w:right w:w="15" w:type="dxa"/>
                  </w:tcMar>
                  <w:vAlign w:val="center"/>
                </w:tcPr>
                <w:p>
                  <w:pPr>
                    <w:jc w:val="center"/>
                    <w:rPr>
                      <w:color w:val="auto"/>
                    </w:rPr>
                  </w:pPr>
                </w:p>
              </w:tc>
              <w:tc>
                <w:tcPr>
                  <w:tcW w:w="708" w:type="pc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color w:val="auto"/>
                      <w:kern w:val="0"/>
                    </w:rPr>
                  </w:pPr>
                  <w:r>
                    <w:rPr>
                      <w:color w:val="auto"/>
                      <w:kern w:val="0"/>
                    </w:rPr>
                    <w:t>SS</w:t>
                  </w:r>
                </w:p>
              </w:tc>
              <w:tc>
                <w:tcPr>
                  <w:tcW w:w="708" w:type="pc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adjustRightInd w:val="0"/>
                    <w:snapToGrid w:val="0"/>
                    <w:jc w:val="center"/>
                    <w:rPr>
                      <w:color w:val="auto"/>
                      <w:kern w:val="0"/>
                    </w:rPr>
                  </w:pPr>
                  <w:r>
                    <w:rPr>
                      <w:rFonts w:hint="eastAsia"/>
                      <w:color w:val="auto"/>
                      <w:kern w:val="0"/>
                    </w:rPr>
                    <w:t>150</w:t>
                  </w:r>
                </w:p>
              </w:tc>
              <w:tc>
                <w:tcPr>
                  <w:tcW w:w="710" w:type="pc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color w:val="auto"/>
                    </w:rPr>
                  </w:pPr>
                  <w:r>
                    <w:rPr>
                      <w:rFonts w:hint="eastAsia"/>
                      <w:color w:val="auto"/>
                    </w:rPr>
                    <w:t>0.036</w:t>
                  </w:r>
                </w:p>
              </w:tc>
              <w:tc>
                <w:tcPr>
                  <w:tcW w:w="708" w:type="pct"/>
                  <w:vMerge w:val="continue"/>
                  <w:tcBorders>
                    <w:left w:val="single" w:color="auto" w:sz="4" w:space="0"/>
                    <w:right w:val="single" w:color="auto" w:sz="4" w:space="0"/>
                  </w:tcBorders>
                  <w:tcMar>
                    <w:top w:w="15" w:type="dxa"/>
                    <w:left w:w="15" w:type="dxa"/>
                    <w:right w:w="15" w:type="dxa"/>
                  </w:tcMar>
                  <w:vAlign w:val="center"/>
                </w:tcPr>
                <w:p>
                  <w:pPr>
                    <w:jc w:val="center"/>
                    <w:rPr>
                      <w:color w:val="auto"/>
                    </w:rPr>
                  </w:pPr>
                </w:p>
              </w:tc>
              <w:tc>
                <w:tcPr>
                  <w:tcW w:w="708" w:type="pc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color w:val="auto"/>
                      <w:kern w:val="0"/>
                    </w:rPr>
                  </w:pPr>
                  <w:r>
                    <w:rPr>
                      <w:rFonts w:hint="eastAsia"/>
                      <w:color w:val="auto"/>
                      <w:kern w:val="0"/>
                    </w:rPr>
                    <w:t>100</w:t>
                  </w:r>
                </w:p>
              </w:tc>
              <w:tc>
                <w:tcPr>
                  <w:tcW w:w="710" w:type="pc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color w:val="auto"/>
                      <w:kern w:val="0"/>
                    </w:rPr>
                  </w:pPr>
                  <w:r>
                    <w:rPr>
                      <w:rFonts w:hint="eastAsia"/>
                      <w:color w:val="auto"/>
                      <w:kern w:val="0"/>
                    </w:rPr>
                    <w:t>0.024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745" w:type="pct"/>
                  <w:vMerge w:val="continue"/>
                  <w:tcBorders>
                    <w:left w:val="single" w:color="auto" w:sz="4" w:space="0"/>
                    <w:bottom w:val="single" w:color="auto" w:sz="4" w:space="0"/>
                    <w:right w:val="single" w:color="auto" w:sz="4" w:space="0"/>
                  </w:tcBorders>
                  <w:tcMar>
                    <w:top w:w="15" w:type="dxa"/>
                    <w:left w:w="15" w:type="dxa"/>
                    <w:right w:w="15" w:type="dxa"/>
                  </w:tcMar>
                  <w:vAlign w:val="center"/>
                </w:tcPr>
                <w:p>
                  <w:pPr>
                    <w:jc w:val="center"/>
                    <w:rPr>
                      <w:color w:val="auto"/>
                    </w:rPr>
                  </w:pPr>
                </w:p>
              </w:tc>
              <w:tc>
                <w:tcPr>
                  <w:tcW w:w="708" w:type="pc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color w:val="auto"/>
                      <w:kern w:val="0"/>
                    </w:rPr>
                  </w:pPr>
                  <w:r>
                    <w:rPr>
                      <w:color w:val="auto"/>
                      <w:kern w:val="0"/>
                    </w:rPr>
                    <w:t>动植物油</w:t>
                  </w:r>
                </w:p>
              </w:tc>
              <w:tc>
                <w:tcPr>
                  <w:tcW w:w="708" w:type="pc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color w:val="auto"/>
                      <w:kern w:val="0"/>
                    </w:rPr>
                  </w:pPr>
                  <w:r>
                    <w:rPr>
                      <w:rFonts w:hint="eastAsia"/>
                      <w:color w:val="auto"/>
                      <w:kern w:val="0"/>
                    </w:rPr>
                    <w:t>40</w:t>
                  </w:r>
                </w:p>
              </w:tc>
              <w:tc>
                <w:tcPr>
                  <w:tcW w:w="710" w:type="pc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color w:val="auto"/>
                    </w:rPr>
                  </w:pPr>
                  <w:r>
                    <w:rPr>
                      <w:rFonts w:hint="eastAsia"/>
                      <w:color w:val="auto"/>
                    </w:rPr>
                    <w:t>0.010</w:t>
                  </w:r>
                </w:p>
              </w:tc>
              <w:tc>
                <w:tcPr>
                  <w:tcW w:w="708" w:type="pct"/>
                  <w:vMerge w:val="continue"/>
                  <w:tcBorders>
                    <w:left w:val="single" w:color="auto" w:sz="4" w:space="0"/>
                    <w:bottom w:val="single" w:color="auto" w:sz="4" w:space="0"/>
                    <w:right w:val="single" w:color="auto" w:sz="4" w:space="0"/>
                  </w:tcBorders>
                  <w:tcMar>
                    <w:top w:w="15" w:type="dxa"/>
                    <w:left w:w="15" w:type="dxa"/>
                    <w:right w:w="15" w:type="dxa"/>
                  </w:tcMar>
                  <w:vAlign w:val="center"/>
                </w:tcPr>
                <w:p>
                  <w:pPr>
                    <w:jc w:val="center"/>
                    <w:rPr>
                      <w:color w:val="auto"/>
                    </w:rPr>
                  </w:pPr>
                </w:p>
              </w:tc>
              <w:tc>
                <w:tcPr>
                  <w:tcW w:w="708" w:type="pc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color w:val="auto"/>
                      <w:kern w:val="0"/>
                    </w:rPr>
                  </w:pPr>
                  <w:r>
                    <w:rPr>
                      <w:rFonts w:hint="eastAsia"/>
                      <w:color w:val="auto"/>
                      <w:kern w:val="0"/>
                    </w:rPr>
                    <w:t>35</w:t>
                  </w:r>
                </w:p>
              </w:tc>
              <w:tc>
                <w:tcPr>
                  <w:tcW w:w="710" w:type="pc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color w:val="auto"/>
                      <w:kern w:val="0"/>
                    </w:rPr>
                  </w:pPr>
                  <w:r>
                    <w:rPr>
                      <w:rFonts w:hint="eastAsia"/>
                      <w:color w:val="auto"/>
                      <w:kern w:val="0"/>
                    </w:rPr>
                    <w:t>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2" w:hRule="atLeast"/>
              </w:trPr>
              <w:tc>
                <w:tcPr>
                  <w:tcW w:w="745" w:type="pct"/>
                  <w:vMerge w:val="restart"/>
                  <w:tcBorders>
                    <w:top w:val="single" w:color="auto" w:sz="4" w:space="0"/>
                    <w:left w:val="single" w:color="auto" w:sz="4" w:space="0"/>
                    <w:right w:val="single" w:color="auto" w:sz="4" w:space="0"/>
                  </w:tcBorders>
                  <w:tcMar>
                    <w:top w:w="15" w:type="dxa"/>
                    <w:left w:w="15" w:type="dxa"/>
                    <w:right w:w="15" w:type="dxa"/>
                  </w:tcMar>
                  <w:vAlign w:val="center"/>
                </w:tcPr>
                <w:p>
                  <w:pPr>
                    <w:jc w:val="center"/>
                    <w:rPr>
                      <w:rFonts w:hint="eastAsia" w:eastAsia="宋体"/>
                      <w:color w:val="auto"/>
                      <w:lang w:eastAsia="zh-CN"/>
                    </w:rPr>
                  </w:pPr>
                  <w:r>
                    <w:rPr>
                      <w:rFonts w:hint="eastAsia"/>
                      <w:color w:val="auto"/>
                      <w:lang w:eastAsia="zh-CN"/>
                    </w:rPr>
                    <w:t>纯水制备废水</w:t>
                  </w:r>
                </w:p>
              </w:tc>
              <w:tc>
                <w:tcPr>
                  <w:tcW w:w="1162"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color w:val="auto"/>
                      <w:kern w:val="0"/>
                    </w:rPr>
                  </w:pPr>
                  <w:r>
                    <w:rPr>
                      <w:color w:val="auto"/>
                      <w:kern w:val="0"/>
                    </w:rPr>
                    <w:t>水量</w:t>
                  </w:r>
                  <w:r>
                    <w:rPr>
                      <w:color w:val="auto"/>
                      <w:kern w:val="0"/>
                      <w:lang w:eastAsia="en-US"/>
                    </w:rPr>
                    <w:t>(</w:t>
                  </w:r>
                  <w:r>
                    <w:rPr>
                      <w:color w:val="auto"/>
                      <w:kern w:val="0"/>
                    </w:rPr>
                    <w:t>t</w:t>
                  </w:r>
                  <w:r>
                    <w:rPr>
                      <w:color w:val="auto"/>
                      <w:kern w:val="0"/>
                      <w:lang w:eastAsia="en-US"/>
                    </w:rPr>
                    <w:t>/a)</w:t>
                  </w:r>
                </w:p>
              </w:tc>
              <w:tc>
                <w:tcPr>
                  <w:tcW w:w="2327"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eastAsia="宋体"/>
                      <w:color w:val="auto"/>
                      <w:lang w:val="en-US" w:eastAsia="zh-CN"/>
                    </w:rPr>
                  </w:pPr>
                  <w:r>
                    <w:rPr>
                      <w:color w:val="auto"/>
                    </w:rPr>
                    <w:t>226</w:t>
                  </w:r>
                  <w:r>
                    <w:rPr>
                      <w:rFonts w:hint="eastAsia"/>
                      <w:color w:val="auto"/>
                      <w:lang w:val="en-US" w:eastAsia="zh-CN"/>
                    </w:rPr>
                    <w:t>2</w:t>
                  </w:r>
                </w:p>
              </w:tc>
              <w:tc>
                <w:tcPr>
                  <w:tcW w:w="708" w:type="pct"/>
                  <w:vMerge w:val="restart"/>
                  <w:tcBorders>
                    <w:top w:val="single" w:color="auto" w:sz="4" w:space="0"/>
                    <w:left w:val="single" w:color="auto" w:sz="4" w:space="0"/>
                    <w:right w:val="single" w:color="auto" w:sz="4" w:space="0"/>
                  </w:tcBorders>
                  <w:tcMar>
                    <w:top w:w="15" w:type="dxa"/>
                    <w:left w:w="15" w:type="dxa"/>
                    <w:right w:w="15" w:type="dxa"/>
                  </w:tcMar>
                  <w:vAlign w:val="center"/>
                </w:tcPr>
                <w:p>
                  <w:pPr>
                    <w:jc w:val="center"/>
                    <w:rPr>
                      <w:color w:val="auto"/>
                    </w:rPr>
                  </w:pPr>
                  <w:r>
                    <w:rPr>
                      <w:color w:val="auto"/>
                    </w:rPr>
                    <w:t>/</w:t>
                  </w:r>
                </w:p>
              </w:tc>
              <w:tc>
                <w:tcPr>
                  <w:tcW w:w="2325"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hint="eastAsia" w:eastAsia="宋体"/>
                      <w:color w:val="auto"/>
                      <w:kern w:val="0"/>
                      <w:lang w:val="en-US" w:eastAsia="zh-CN"/>
                    </w:rPr>
                  </w:pPr>
                  <w:r>
                    <w:rPr>
                      <w:rFonts w:hint="eastAsia"/>
                      <w:color w:val="auto"/>
                      <w:kern w:val="0"/>
                    </w:rPr>
                    <w:t>226</w:t>
                  </w:r>
                  <w:r>
                    <w:rPr>
                      <w:rFonts w:hint="eastAsia"/>
                      <w:color w:val="auto"/>
                      <w:kern w:val="0"/>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1" w:hRule="atLeast"/>
              </w:trPr>
              <w:tc>
                <w:tcPr>
                  <w:tcW w:w="745" w:type="pct"/>
                  <w:vMerge w:val="continue"/>
                  <w:tcBorders>
                    <w:left w:val="single" w:color="auto" w:sz="4" w:space="0"/>
                    <w:right w:val="single" w:color="auto" w:sz="4" w:space="0"/>
                  </w:tcBorders>
                  <w:tcMar>
                    <w:top w:w="15" w:type="dxa"/>
                    <w:left w:w="15" w:type="dxa"/>
                    <w:right w:w="15" w:type="dxa"/>
                  </w:tcMar>
                  <w:vAlign w:val="center"/>
                </w:tcPr>
                <w:p>
                  <w:pPr>
                    <w:jc w:val="center"/>
                    <w:rPr>
                      <w:color w:val="auto"/>
                    </w:rPr>
                  </w:pPr>
                </w:p>
              </w:tc>
              <w:tc>
                <w:tcPr>
                  <w:tcW w:w="1162"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color w:val="auto"/>
                      <w:kern w:val="0"/>
                    </w:rPr>
                  </w:pPr>
                  <w:r>
                    <w:rPr>
                      <w:color w:val="auto"/>
                      <w:kern w:val="0"/>
                    </w:rPr>
                    <w:t>COD</w:t>
                  </w:r>
                </w:p>
              </w:tc>
              <w:tc>
                <w:tcPr>
                  <w:tcW w:w="1161"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color w:val="auto"/>
                      <w:kern w:val="0"/>
                    </w:rPr>
                  </w:pPr>
                  <w:r>
                    <w:rPr>
                      <w:color w:val="auto"/>
                    </w:rPr>
                    <w:t>16.05</w:t>
                  </w:r>
                </w:p>
              </w:tc>
              <w:tc>
                <w:tcPr>
                  <w:tcW w:w="116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color w:val="auto"/>
                    </w:rPr>
                  </w:pPr>
                  <w:r>
                    <w:rPr>
                      <w:rFonts w:hint="eastAsia"/>
                      <w:color w:val="auto"/>
                    </w:rPr>
                    <w:t>0.036</w:t>
                  </w:r>
                </w:p>
              </w:tc>
              <w:tc>
                <w:tcPr>
                  <w:tcW w:w="708" w:type="pct"/>
                  <w:vMerge w:val="continue"/>
                  <w:tcBorders>
                    <w:left w:val="single" w:color="auto" w:sz="4" w:space="0"/>
                    <w:right w:val="single" w:color="auto" w:sz="4" w:space="0"/>
                  </w:tcBorders>
                  <w:tcMar>
                    <w:top w:w="15" w:type="dxa"/>
                    <w:left w:w="15" w:type="dxa"/>
                    <w:right w:w="15" w:type="dxa"/>
                  </w:tcMar>
                  <w:vAlign w:val="center"/>
                </w:tcPr>
                <w:p>
                  <w:pPr>
                    <w:jc w:val="center"/>
                    <w:rPr>
                      <w:color w:val="auto"/>
                    </w:rPr>
                  </w:pPr>
                </w:p>
              </w:tc>
              <w:tc>
                <w:tcPr>
                  <w:tcW w:w="1161"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color w:val="auto"/>
                      <w:kern w:val="0"/>
                    </w:rPr>
                  </w:pPr>
                  <w:r>
                    <w:rPr>
                      <w:color w:val="auto"/>
                    </w:rPr>
                    <w:t>16.05</w:t>
                  </w:r>
                </w:p>
              </w:tc>
              <w:tc>
                <w:tcPr>
                  <w:tcW w:w="11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color w:val="auto"/>
                      <w:kern w:val="0"/>
                    </w:rPr>
                  </w:pPr>
                  <w:r>
                    <w:rPr>
                      <w:rFonts w:hint="eastAsia"/>
                      <w:color w:val="auto"/>
                    </w:rPr>
                    <w:t>0.036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1" w:hRule="atLeast"/>
              </w:trPr>
              <w:tc>
                <w:tcPr>
                  <w:tcW w:w="745" w:type="pct"/>
                  <w:vMerge w:val="continue"/>
                  <w:tcBorders>
                    <w:left w:val="single" w:color="auto" w:sz="4" w:space="0"/>
                    <w:bottom w:val="single" w:color="auto" w:sz="4" w:space="0"/>
                    <w:right w:val="single" w:color="auto" w:sz="4" w:space="0"/>
                  </w:tcBorders>
                  <w:tcMar>
                    <w:top w:w="15" w:type="dxa"/>
                    <w:left w:w="15" w:type="dxa"/>
                    <w:right w:w="15" w:type="dxa"/>
                  </w:tcMar>
                  <w:vAlign w:val="center"/>
                </w:tcPr>
                <w:p>
                  <w:pPr>
                    <w:jc w:val="center"/>
                    <w:rPr>
                      <w:color w:val="auto"/>
                    </w:rPr>
                  </w:pPr>
                </w:p>
              </w:tc>
              <w:tc>
                <w:tcPr>
                  <w:tcW w:w="1162"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color w:val="auto"/>
                      <w:kern w:val="0"/>
                    </w:rPr>
                  </w:pPr>
                  <w:r>
                    <w:rPr>
                      <w:color w:val="auto"/>
                      <w:kern w:val="0"/>
                    </w:rPr>
                    <w:t>SS</w:t>
                  </w:r>
                </w:p>
              </w:tc>
              <w:tc>
                <w:tcPr>
                  <w:tcW w:w="1161"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color w:val="auto"/>
                      <w:kern w:val="0"/>
                    </w:rPr>
                  </w:pPr>
                  <w:r>
                    <w:rPr>
                      <w:color w:val="auto"/>
                      <w:kern w:val="0"/>
                    </w:rPr>
                    <w:t>60</w:t>
                  </w:r>
                </w:p>
              </w:tc>
              <w:tc>
                <w:tcPr>
                  <w:tcW w:w="116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color w:val="auto"/>
                    </w:rPr>
                  </w:pPr>
                  <w:r>
                    <w:rPr>
                      <w:rFonts w:hint="eastAsia"/>
                      <w:color w:val="auto"/>
                    </w:rPr>
                    <w:t>0.136</w:t>
                  </w:r>
                </w:p>
              </w:tc>
              <w:tc>
                <w:tcPr>
                  <w:tcW w:w="708" w:type="pct"/>
                  <w:vMerge w:val="continue"/>
                  <w:tcBorders>
                    <w:left w:val="single" w:color="auto" w:sz="4" w:space="0"/>
                    <w:bottom w:val="single" w:color="auto" w:sz="4" w:space="0"/>
                    <w:right w:val="single" w:color="auto" w:sz="4" w:space="0"/>
                  </w:tcBorders>
                  <w:tcMar>
                    <w:top w:w="15" w:type="dxa"/>
                    <w:left w:w="15" w:type="dxa"/>
                    <w:right w:w="15" w:type="dxa"/>
                  </w:tcMar>
                  <w:vAlign w:val="center"/>
                </w:tcPr>
                <w:p>
                  <w:pPr>
                    <w:jc w:val="center"/>
                    <w:rPr>
                      <w:color w:val="auto"/>
                    </w:rPr>
                  </w:pPr>
                </w:p>
              </w:tc>
              <w:tc>
                <w:tcPr>
                  <w:tcW w:w="1161"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color w:val="auto"/>
                      <w:kern w:val="0"/>
                    </w:rPr>
                  </w:pPr>
                  <w:r>
                    <w:rPr>
                      <w:color w:val="auto"/>
                      <w:kern w:val="0"/>
                    </w:rPr>
                    <w:t>60</w:t>
                  </w:r>
                </w:p>
              </w:tc>
              <w:tc>
                <w:tcPr>
                  <w:tcW w:w="11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color w:val="auto"/>
                      <w:kern w:val="0"/>
                    </w:rPr>
                  </w:pPr>
                  <w:r>
                    <w:rPr>
                      <w:rFonts w:hint="eastAsia"/>
                      <w:color w:val="auto"/>
                    </w:rPr>
                    <w:t>0.136</w:t>
                  </w:r>
                </w:p>
              </w:tc>
            </w:tr>
          </w:tbl>
          <w:p>
            <w:pPr>
              <w:pStyle w:val="78"/>
              <w:ind w:firstLine="482"/>
              <w:jc w:val="both"/>
              <w:rPr>
                <w:b/>
                <w:bCs/>
                <w:color w:val="auto"/>
                <w:sz w:val="24"/>
                <w:szCs w:val="24"/>
              </w:rPr>
            </w:pPr>
            <w:r>
              <w:rPr>
                <w:b/>
                <w:bCs/>
                <w:color w:val="auto"/>
                <w:sz w:val="24"/>
                <w:szCs w:val="24"/>
              </w:rPr>
              <w:t>2.2依托</w:t>
            </w:r>
            <w:r>
              <w:rPr>
                <w:rFonts w:hint="eastAsia"/>
                <w:b/>
                <w:bCs/>
                <w:color w:val="auto"/>
                <w:sz w:val="24"/>
                <w:szCs w:val="24"/>
              </w:rPr>
              <w:t>宿州市经济技术开发区污水处理厂</w:t>
            </w:r>
            <w:r>
              <w:rPr>
                <w:b/>
                <w:bCs/>
                <w:color w:val="auto"/>
                <w:sz w:val="24"/>
                <w:szCs w:val="24"/>
              </w:rPr>
              <w:t>的可行性分析</w:t>
            </w:r>
          </w:p>
          <w:p>
            <w:pPr>
              <w:pStyle w:val="78"/>
              <w:ind w:firstLine="480"/>
              <w:jc w:val="both"/>
              <w:rPr>
                <w:color w:val="auto"/>
                <w:sz w:val="24"/>
                <w:szCs w:val="24"/>
              </w:rPr>
            </w:pPr>
            <w:r>
              <w:rPr>
                <w:color w:val="auto"/>
                <w:sz w:val="24"/>
                <w:szCs w:val="24"/>
              </w:rPr>
              <w:t>①宿州市经济技术开发区污水处理厂概况</w:t>
            </w:r>
          </w:p>
          <w:p>
            <w:pPr>
              <w:pStyle w:val="78"/>
              <w:ind w:firstLine="480"/>
              <w:jc w:val="both"/>
              <w:rPr>
                <w:color w:val="auto"/>
                <w:sz w:val="24"/>
                <w:szCs w:val="24"/>
              </w:rPr>
            </w:pPr>
            <w:r>
              <w:rPr>
                <w:color w:val="auto"/>
                <w:sz w:val="24"/>
                <w:szCs w:val="24"/>
              </w:rPr>
              <w:t>宿州市经济技术开发区污水处理厂采取两套污水处理工艺分别为</w:t>
            </w:r>
            <w:r>
              <w:rPr>
                <w:rFonts w:hint="eastAsia"/>
                <w:color w:val="auto"/>
                <w:sz w:val="24"/>
                <w:szCs w:val="24"/>
              </w:rPr>
              <w:t>：</w:t>
            </w:r>
            <w:r>
              <w:rPr>
                <w:color w:val="auto"/>
                <w:sz w:val="24"/>
                <w:szCs w:val="24"/>
              </w:rPr>
              <w:t>粗细格栅+平流沉砂池+水解池+AO池+混凝沉淀+BAF+紫外消毒</w:t>
            </w:r>
            <w:r>
              <w:rPr>
                <w:rFonts w:hint="eastAsia"/>
                <w:color w:val="auto"/>
                <w:sz w:val="24"/>
                <w:szCs w:val="24"/>
              </w:rPr>
              <w:t>；</w:t>
            </w:r>
            <w:r>
              <w:rPr>
                <w:color w:val="auto"/>
                <w:sz w:val="24"/>
                <w:szCs w:val="24"/>
              </w:rPr>
              <w:t>反应沉淀+兼氧FMBR工艺处理污水。前者处理规模为2</w:t>
            </w:r>
            <w:r>
              <w:rPr>
                <w:rFonts w:hint="eastAsia"/>
                <w:color w:val="auto"/>
                <w:sz w:val="24"/>
                <w:szCs w:val="24"/>
              </w:rPr>
              <w:t>.</w:t>
            </w:r>
            <w:r>
              <w:rPr>
                <w:color w:val="auto"/>
                <w:sz w:val="24"/>
                <w:szCs w:val="24"/>
              </w:rPr>
              <w:t>5万m</w:t>
            </w:r>
            <w:r>
              <w:rPr>
                <w:rFonts w:hint="eastAsia"/>
                <w:color w:val="auto"/>
                <w:sz w:val="24"/>
                <w:szCs w:val="24"/>
                <w:vertAlign w:val="superscript"/>
              </w:rPr>
              <w:t>3</w:t>
            </w:r>
            <w:r>
              <w:rPr>
                <w:color w:val="auto"/>
                <w:sz w:val="24"/>
                <w:szCs w:val="24"/>
              </w:rPr>
              <w:t>/d</w:t>
            </w:r>
            <w:r>
              <w:rPr>
                <w:rFonts w:hint="eastAsia"/>
                <w:color w:val="auto"/>
                <w:sz w:val="24"/>
                <w:szCs w:val="24"/>
              </w:rPr>
              <w:t>，</w:t>
            </w:r>
            <w:r>
              <w:rPr>
                <w:color w:val="auto"/>
                <w:sz w:val="24"/>
                <w:szCs w:val="24"/>
              </w:rPr>
              <w:t>2017年正式投产运行，后者日处理污水2万m</w:t>
            </w:r>
            <w:r>
              <w:rPr>
                <w:rFonts w:hint="eastAsia"/>
                <w:color w:val="auto"/>
                <w:sz w:val="24"/>
                <w:szCs w:val="24"/>
                <w:vertAlign w:val="superscript"/>
              </w:rPr>
              <w:t>3</w:t>
            </w:r>
            <w:r>
              <w:rPr>
                <w:color w:val="auto"/>
                <w:sz w:val="24"/>
                <w:szCs w:val="24"/>
              </w:rPr>
              <w:t>/d。两套污水处理工艺出水水质均可达到《城镇污水处理厂污染物排放标准》</w:t>
            </w:r>
            <w:r>
              <w:rPr>
                <w:rFonts w:hint="eastAsia"/>
                <w:color w:val="auto"/>
                <w:sz w:val="24"/>
                <w:szCs w:val="24"/>
              </w:rPr>
              <w:t>（</w:t>
            </w:r>
            <w:r>
              <w:rPr>
                <w:color w:val="auto"/>
                <w:sz w:val="24"/>
                <w:szCs w:val="24"/>
              </w:rPr>
              <w:t>GB</w:t>
            </w:r>
            <w:r>
              <w:rPr>
                <w:rFonts w:hint="eastAsia"/>
                <w:color w:val="auto"/>
                <w:sz w:val="24"/>
                <w:szCs w:val="24"/>
              </w:rPr>
              <w:t>1</w:t>
            </w:r>
            <w:r>
              <w:rPr>
                <w:color w:val="auto"/>
                <w:sz w:val="24"/>
                <w:szCs w:val="24"/>
              </w:rPr>
              <w:t>8918</w:t>
            </w:r>
            <w:r>
              <w:rPr>
                <w:rFonts w:hint="eastAsia"/>
                <w:color w:val="auto"/>
                <w:sz w:val="24"/>
                <w:szCs w:val="24"/>
              </w:rPr>
              <w:t>-</w:t>
            </w:r>
            <w:r>
              <w:rPr>
                <w:color w:val="auto"/>
                <w:sz w:val="24"/>
                <w:szCs w:val="24"/>
              </w:rPr>
              <w:t>2002</w:t>
            </w:r>
            <w:r>
              <w:rPr>
                <w:rFonts w:hint="eastAsia"/>
                <w:color w:val="auto"/>
                <w:sz w:val="24"/>
                <w:szCs w:val="24"/>
              </w:rPr>
              <w:t>）</w:t>
            </w:r>
            <w:r>
              <w:rPr>
                <w:color w:val="auto"/>
                <w:sz w:val="24"/>
                <w:szCs w:val="24"/>
              </w:rPr>
              <w:t>表</w:t>
            </w:r>
            <w:r>
              <w:rPr>
                <w:rFonts w:hint="eastAsia"/>
                <w:color w:val="auto"/>
                <w:sz w:val="24"/>
                <w:szCs w:val="24"/>
              </w:rPr>
              <w:t>1</w:t>
            </w:r>
            <w:r>
              <w:rPr>
                <w:color w:val="auto"/>
                <w:sz w:val="24"/>
                <w:szCs w:val="24"/>
              </w:rPr>
              <w:t>中</w:t>
            </w:r>
            <w:r>
              <w:rPr>
                <w:rFonts w:hint="eastAsia"/>
                <w:color w:val="auto"/>
                <w:sz w:val="24"/>
                <w:szCs w:val="24"/>
              </w:rPr>
              <w:t>一</w:t>
            </w:r>
            <w:r>
              <w:rPr>
                <w:color w:val="auto"/>
                <w:sz w:val="24"/>
                <w:szCs w:val="24"/>
              </w:rPr>
              <w:t>级A标准。</w:t>
            </w:r>
          </w:p>
          <w:p>
            <w:pPr>
              <w:pStyle w:val="78"/>
              <w:ind w:firstLine="480"/>
              <w:jc w:val="both"/>
              <w:rPr>
                <w:color w:val="auto"/>
                <w:sz w:val="24"/>
                <w:szCs w:val="24"/>
              </w:rPr>
            </w:pPr>
            <w:r>
              <w:rPr>
                <w:color w:val="auto"/>
                <w:sz w:val="24"/>
                <w:szCs w:val="24"/>
              </w:rPr>
              <w:t>②接管可行性分析</w:t>
            </w:r>
          </w:p>
          <w:p>
            <w:pPr>
              <w:adjustRightInd w:val="0"/>
              <w:snapToGrid w:val="0"/>
              <w:spacing w:line="360" w:lineRule="auto"/>
              <w:ind w:firstLine="480" w:firstLineChars="200"/>
              <w:rPr>
                <w:color w:val="auto"/>
                <w:sz w:val="24"/>
                <w:szCs w:val="24"/>
              </w:rPr>
            </w:pPr>
            <w:r>
              <w:rPr>
                <w:color w:val="auto"/>
                <w:sz w:val="24"/>
                <w:szCs w:val="24"/>
              </w:rPr>
              <w:t>本项目位于</w:t>
            </w:r>
            <w:r>
              <w:rPr>
                <w:rFonts w:hint="eastAsia" w:cs="宋体"/>
                <w:color w:val="auto"/>
                <w:kern w:val="0"/>
                <w:sz w:val="24"/>
                <w:szCs w:val="24"/>
              </w:rPr>
              <w:t>宿州市经济技术开发区金泰路</w:t>
            </w:r>
            <w:r>
              <w:rPr>
                <w:color w:val="auto"/>
                <w:sz w:val="24"/>
                <w:szCs w:val="24"/>
              </w:rPr>
              <w:t>，在</w:t>
            </w:r>
            <w:r>
              <w:rPr>
                <w:rFonts w:hint="eastAsia"/>
                <w:color w:val="auto"/>
                <w:sz w:val="24"/>
                <w:szCs w:val="24"/>
              </w:rPr>
              <w:t>宿州市经济技术开发区污水处理厂</w:t>
            </w:r>
            <w:r>
              <w:rPr>
                <w:color w:val="auto"/>
                <w:sz w:val="24"/>
                <w:szCs w:val="24"/>
              </w:rPr>
              <w:t>服务范围内，且区域污水管网已经铺设完善，因此本项目废水就近纳入截污管网进</w:t>
            </w:r>
            <w:r>
              <w:rPr>
                <w:rFonts w:hint="eastAsia"/>
                <w:color w:val="auto"/>
                <w:sz w:val="24"/>
                <w:szCs w:val="24"/>
              </w:rPr>
              <w:t>入宿州市经济技术开发区污水处理厂</w:t>
            </w:r>
            <w:r>
              <w:rPr>
                <w:color w:val="auto"/>
                <w:sz w:val="24"/>
                <w:szCs w:val="24"/>
              </w:rPr>
              <w:t>集中处理更适宜。</w:t>
            </w:r>
          </w:p>
          <w:p>
            <w:pPr>
              <w:pStyle w:val="78"/>
              <w:ind w:firstLine="480"/>
              <w:jc w:val="both"/>
              <w:rPr>
                <w:color w:val="auto"/>
                <w:sz w:val="24"/>
                <w:szCs w:val="24"/>
              </w:rPr>
            </w:pPr>
            <w:r>
              <w:rPr>
                <w:color w:val="auto"/>
                <w:sz w:val="24"/>
                <w:szCs w:val="24"/>
              </w:rPr>
              <w:t>③达标接管的可行性分析</w:t>
            </w:r>
          </w:p>
          <w:p>
            <w:pPr>
              <w:pStyle w:val="78"/>
              <w:ind w:firstLine="480"/>
              <w:jc w:val="both"/>
              <w:rPr>
                <w:color w:val="auto"/>
                <w:sz w:val="24"/>
                <w:szCs w:val="24"/>
              </w:rPr>
            </w:pPr>
            <w:r>
              <w:rPr>
                <w:color w:val="auto"/>
                <w:sz w:val="24"/>
                <w:szCs w:val="24"/>
              </w:rPr>
              <w:t>本项目废水为生活污水</w:t>
            </w:r>
            <w:r>
              <w:rPr>
                <w:rFonts w:hint="eastAsia"/>
                <w:color w:val="auto"/>
                <w:sz w:val="24"/>
                <w:szCs w:val="24"/>
              </w:rPr>
              <w:t>、食堂废水和</w:t>
            </w:r>
            <w:r>
              <w:rPr>
                <w:rFonts w:hint="eastAsia"/>
                <w:color w:val="auto"/>
                <w:sz w:val="24"/>
                <w:szCs w:val="24"/>
                <w:lang w:eastAsia="zh-CN"/>
              </w:rPr>
              <w:t>纯水制备废水</w:t>
            </w:r>
            <w:r>
              <w:rPr>
                <w:color w:val="auto"/>
                <w:sz w:val="24"/>
                <w:szCs w:val="24"/>
              </w:rPr>
              <w:t>，</w:t>
            </w:r>
            <w:r>
              <w:rPr>
                <w:rFonts w:hint="eastAsia"/>
                <w:color w:val="auto"/>
                <w:sz w:val="24"/>
                <w:szCs w:val="24"/>
              </w:rPr>
              <w:t>废水</w:t>
            </w:r>
            <w:r>
              <w:rPr>
                <w:color w:val="auto"/>
                <w:sz w:val="24"/>
                <w:szCs w:val="24"/>
              </w:rPr>
              <w:t>水质简单，</w:t>
            </w:r>
            <w:r>
              <w:rPr>
                <w:rFonts w:ascii="宋体" w:hAnsi="宋体" w:cs="宋体"/>
                <w:color w:val="auto"/>
                <w:sz w:val="24"/>
                <w:szCs w:val="24"/>
              </w:rPr>
              <w:t>食堂废水经隔油池预处理后，与生活污水一同经化粪池处理后</w:t>
            </w:r>
            <w:r>
              <w:rPr>
                <w:color w:val="auto"/>
                <w:sz w:val="24"/>
                <w:szCs w:val="24"/>
              </w:rPr>
              <w:t>可生化性进一步提高，废水排放浓度能够满足</w:t>
            </w:r>
            <w:r>
              <w:rPr>
                <w:rFonts w:ascii="宋体" w:hAnsi="宋体" w:cs="宋体"/>
                <w:color w:val="auto"/>
                <w:sz w:val="24"/>
                <w:szCs w:val="24"/>
              </w:rPr>
              <w:t>宿州市经济技术开发区污水处理厂</w:t>
            </w:r>
            <w:r>
              <w:rPr>
                <w:color w:val="auto"/>
                <w:sz w:val="24"/>
                <w:szCs w:val="24"/>
              </w:rPr>
              <w:t>的接管</w:t>
            </w:r>
            <w:r>
              <w:rPr>
                <w:rFonts w:hint="eastAsia"/>
                <w:color w:val="auto"/>
                <w:sz w:val="24"/>
                <w:szCs w:val="24"/>
              </w:rPr>
              <w:t>标准；</w:t>
            </w:r>
            <w:r>
              <w:rPr>
                <w:rFonts w:hint="eastAsia" w:ascii="宋体" w:hAnsi="宋体" w:cs="宋体"/>
                <w:color w:val="auto"/>
                <w:sz w:val="24"/>
                <w:szCs w:val="24"/>
                <w:lang w:eastAsia="zh-CN"/>
              </w:rPr>
              <w:t>纯水制备废水</w:t>
            </w:r>
            <w:r>
              <w:rPr>
                <w:rFonts w:hint="eastAsia" w:ascii="宋体" w:hAnsi="宋体" w:cs="宋体"/>
                <w:color w:val="auto"/>
                <w:sz w:val="24"/>
                <w:szCs w:val="24"/>
              </w:rPr>
              <w:t>属于清净下水，其废水排放</w:t>
            </w:r>
            <w:r>
              <w:rPr>
                <w:rFonts w:ascii="宋体" w:hAnsi="宋体" w:cs="宋体"/>
                <w:color w:val="auto"/>
                <w:sz w:val="24"/>
                <w:szCs w:val="24"/>
              </w:rPr>
              <w:t>浓度</w:t>
            </w:r>
            <w:r>
              <w:rPr>
                <w:rFonts w:hint="eastAsia" w:ascii="宋体" w:hAnsi="宋体" w:cs="宋体"/>
                <w:color w:val="auto"/>
                <w:sz w:val="24"/>
                <w:szCs w:val="24"/>
              </w:rPr>
              <w:t>也能够</w:t>
            </w:r>
            <w:r>
              <w:rPr>
                <w:rFonts w:ascii="宋体" w:hAnsi="宋体" w:cs="宋体"/>
                <w:color w:val="auto"/>
                <w:sz w:val="24"/>
                <w:szCs w:val="24"/>
              </w:rPr>
              <w:t>满足宿州市经济技术开发区污水处理厂</w:t>
            </w:r>
            <w:r>
              <w:rPr>
                <w:rFonts w:hint="eastAsia" w:ascii="宋体" w:hAnsi="宋体" w:cs="宋体"/>
                <w:color w:val="auto"/>
                <w:sz w:val="24"/>
                <w:szCs w:val="24"/>
              </w:rPr>
              <w:t>的</w:t>
            </w:r>
            <w:r>
              <w:rPr>
                <w:rFonts w:ascii="宋体" w:hAnsi="宋体" w:cs="宋体"/>
                <w:color w:val="auto"/>
                <w:sz w:val="24"/>
                <w:szCs w:val="24"/>
              </w:rPr>
              <w:t>接管标准，</w:t>
            </w:r>
            <w:r>
              <w:rPr>
                <w:rFonts w:hint="eastAsia" w:ascii="宋体" w:hAnsi="宋体" w:cs="宋体"/>
                <w:color w:val="auto"/>
                <w:sz w:val="24"/>
                <w:szCs w:val="24"/>
              </w:rPr>
              <w:t>所有废水均</w:t>
            </w:r>
            <w:r>
              <w:rPr>
                <w:color w:val="auto"/>
                <w:sz w:val="24"/>
                <w:szCs w:val="24"/>
              </w:rPr>
              <w:t>可以实现达标接管。</w:t>
            </w:r>
          </w:p>
          <w:p>
            <w:pPr>
              <w:pStyle w:val="78"/>
              <w:ind w:firstLine="480"/>
              <w:jc w:val="both"/>
              <w:rPr>
                <w:color w:val="auto"/>
                <w:sz w:val="24"/>
                <w:szCs w:val="24"/>
              </w:rPr>
            </w:pPr>
            <w:r>
              <w:rPr>
                <w:color w:val="auto"/>
                <w:sz w:val="24"/>
                <w:szCs w:val="24"/>
              </w:rPr>
              <w:t>④水量可行性分析</w:t>
            </w:r>
          </w:p>
          <w:p>
            <w:pPr>
              <w:spacing w:line="360" w:lineRule="auto"/>
              <w:ind w:firstLine="480" w:firstLineChars="200"/>
              <w:rPr>
                <w:color w:val="auto"/>
                <w:sz w:val="24"/>
                <w:szCs w:val="24"/>
              </w:rPr>
            </w:pPr>
            <w:r>
              <w:rPr>
                <w:color w:val="auto"/>
                <w:sz w:val="24"/>
                <w:szCs w:val="24"/>
              </w:rPr>
              <w:t>本项目产生的废水排放量约</w:t>
            </w:r>
            <w:r>
              <w:rPr>
                <w:rFonts w:hint="eastAsia"/>
                <w:color w:val="auto"/>
                <w:sz w:val="24"/>
                <w:szCs w:val="24"/>
              </w:rPr>
              <w:t>13.14</w:t>
            </w:r>
            <w:r>
              <w:rPr>
                <w:color w:val="auto"/>
                <w:sz w:val="24"/>
                <w:szCs w:val="24"/>
              </w:rPr>
              <w:t>t/d</w:t>
            </w:r>
            <w:r>
              <w:rPr>
                <w:rFonts w:hint="eastAsia"/>
                <w:color w:val="auto"/>
                <w:sz w:val="24"/>
                <w:szCs w:val="24"/>
              </w:rPr>
              <w:t>，</w:t>
            </w:r>
            <w:r>
              <w:rPr>
                <w:color w:val="auto"/>
                <w:sz w:val="24"/>
                <w:szCs w:val="24"/>
              </w:rPr>
              <w:t>占</w:t>
            </w:r>
            <w:r>
              <w:rPr>
                <w:rFonts w:hint="eastAsia"/>
                <w:color w:val="auto"/>
                <w:sz w:val="24"/>
                <w:szCs w:val="24"/>
              </w:rPr>
              <w:t>宿州市经济技术开发区污水处理厂</w:t>
            </w:r>
            <w:r>
              <w:rPr>
                <w:color w:val="auto"/>
                <w:sz w:val="24"/>
                <w:szCs w:val="24"/>
              </w:rPr>
              <w:t>日处理能力的</w:t>
            </w:r>
            <w:r>
              <w:rPr>
                <w:rFonts w:hint="eastAsia"/>
                <w:color w:val="auto"/>
                <w:sz w:val="24"/>
                <w:szCs w:val="24"/>
              </w:rPr>
              <w:t>0.0</w:t>
            </w:r>
            <w:r>
              <w:rPr>
                <w:rFonts w:hint="eastAsia"/>
                <w:color w:val="auto"/>
                <w:sz w:val="24"/>
                <w:szCs w:val="24"/>
                <w:lang w:val="en-US" w:eastAsia="zh-CN"/>
              </w:rPr>
              <w:t>3</w:t>
            </w:r>
            <w:r>
              <w:rPr>
                <w:color w:val="auto"/>
                <w:sz w:val="24"/>
                <w:szCs w:val="24"/>
              </w:rPr>
              <w:t>%。</w:t>
            </w:r>
            <w:r>
              <w:rPr>
                <w:rFonts w:hint="eastAsia"/>
                <w:color w:val="auto"/>
                <w:sz w:val="24"/>
                <w:szCs w:val="24"/>
              </w:rPr>
              <w:t>宿州市经济技术开发区污水处理厂</w:t>
            </w:r>
            <w:r>
              <w:rPr>
                <w:color w:val="auto"/>
                <w:sz w:val="24"/>
                <w:szCs w:val="24"/>
              </w:rPr>
              <w:t>已建设完成并投入使用，运行稳定，目前尚有余量来接纳本项目污水，本项目废水水量不会对</w:t>
            </w:r>
            <w:r>
              <w:rPr>
                <w:rFonts w:hint="eastAsia"/>
                <w:color w:val="auto"/>
                <w:sz w:val="24"/>
                <w:szCs w:val="24"/>
              </w:rPr>
              <w:t>宿州市经济技术开发区污水处理厂</w:t>
            </w:r>
            <w:r>
              <w:rPr>
                <w:color w:val="auto"/>
                <w:sz w:val="24"/>
                <w:szCs w:val="24"/>
              </w:rPr>
              <w:t>造成冲击。</w:t>
            </w:r>
          </w:p>
          <w:p>
            <w:pPr>
              <w:spacing w:line="360" w:lineRule="auto"/>
              <w:ind w:firstLine="480" w:firstLineChars="200"/>
              <w:rPr>
                <w:color w:val="auto"/>
                <w:sz w:val="24"/>
                <w:szCs w:val="24"/>
              </w:rPr>
            </w:pPr>
            <w:r>
              <w:rPr>
                <w:color w:val="auto"/>
                <w:sz w:val="24"/>
                <w:szCs w:val="24"/>
              </w:rPr>
              <w:t>综上所述，本项目产生的废水从水量、水质、管道建设等方面均满足纳管要求，其废水排入</w:t>
            </w:r>
            <w:r>
              <w:rPr>
                <w:rFonts w:hint="eastAsia"/>
                <w:color w:val="auto"/>
                <w:sz w:val="24"/>
                <w:szCs w:val="24"/>
              </w:rPr>
              <w:t>宿州市经济技术开发区污水处理厂</w:t>
            </w:r>
            <w:r>
              <w:rPr>
                <w:color w:val="auto"/>
                <w:sz w:val="24"/>
                <w:szCs w:val="24"/>
              </w:rPr>
              <w:t>是可行的，不会对其处理负荷产生冲击，因此对周围环境影响很小。</w:t>
            </w:r>
          </w:p>
          <w:p>
            <w:pPr>
              <w:pStyle w:val="78"/>
              <w:ind w:firstLine="482"/>
              <w:jc w:val="both"/>
              <w:rPr>
                <w:b/>
                <w:bCs/>
                <w:color w:val="auto"/>
                <w:sz w:val="24"/>
                <w:szCs w:val="24"/>
              </w:rPr>
            </w:pPr>
            <w:r>
              <w:rPr>
                <w:b/>
                <w:bCs/>
                <w:color w:val="auto"/>
                <w:sz w:val="24"/>
                <w:szCs w:val="24"/>
              </w:rPr>
              <w:t>2.3废水污染物自行监测计划</w:t>
            </w:r>
          </w:p>
          <w:p>
            <w:pPr>
              <w:pStyle w:val="78"/>
              <w:ind w:firstLine="480"/>
              <w:jc w:val="both"/>
              <w:rPr>
                <w:color w:val="auto"/>
                <w:sz w:val="24"/>
                <w:szCs w:val="24"/>
              </w:rPr>
            </w:pPr>
            <w:r>
              <w:rPr>
                <w:color w:val="auto"/>
                <w:sz w:val="24"/>
                <w:szCs w:val="24"/>
              </w:rPr>
              <w:t xml:space="preserve">项目营运期的大气环境监测按《环境监测技术规范》和《污染源监测管理办法》，同时参考《排污许可证申请与核发技术规范 总则》、《排污单位自行监测技术指南 总则》（HJ 819-2017）、《排污许可证申请与核发技术规范 </w:t>
            </w:r>
            <w:r>
              <w:rPr>
                <w:rFonts w:hint="eastAsia"/>
                <w:color w:val="auto"/>
                <w:sz w:val="24"/>
                <w:szCs w:val="24"/>
              </w:rPr>
              <w:t>农副食品加工工业—饲料加工、植物油加工工业</w:t>
            </w:r>
            <w:r>
              <w:rPr>
                <w:color w:val="auto"/>
                <w:sz w:val="24"/>
                <w:szCs w:val="24"/>
              </w:rPr>
              <w:t xml:space="preserve">》（HJ </w:t>
            </w:r>
            <w:r>
              <w:rPr>
                <w:rFonts w:hint="eastAsia"/>
                <w:color w:val="auto"/>
                <w:sz w:val="24"/>
                <w:szCs w:val="24"/>
              </w:rPr>
              <w:t>1110</w:t>
            </w:r>
            <w:r>
              <w:rPr>
                <w:color w:val="auto"/>
                <w:sz w:val="24"/>
                <w:szCs w:val="24"/>
              </w:rPr>
              <w:t>-20</w:t>
            </w:r>
            <w:r>
              <w:rPr>
                <w:rFonts w:hint="eastAsia"/>
                <w:color w:val="auto"/>
                <w:sz w:val="24"/>
                <w:szCs w:val="24"/>
              </w:rPr>
              <w:t>20</w:t>
            </w:r>
            <w:r>
              <w:rPr>
                <w:color w:val="auto"/>
                <w:sz w:val="24"/>
                <w:szCs w:val="24"/>
              </w:rPr>
              <w:t>）</w:t>
            </w:r>
            <w:r>
              <w:rPr>
                <w:rFonts w:hint="eastAsia"/>
                <w:color w:val="auto"/>
                <w:sz w:val="24"/>
                <w:szCs w:val="24"/>
              </w:rPr>
              <w:t>、《</w:t>
            </w:r>
            <w:r>
              <w:rPr>
                <w:color w:val="auto"/>
                <w:sz w:val="24"/>
                <w:szCs w:val="24"/>
              </w:rPr>
              <w:t>排污许可证申请与核发技术规范</w:t>
            </w:r>
            <w:r>
              <w:rPr>
                <w:rFonts w:hint="eastAsia"/>
                <w:color w:val="auto"/>
                <w:sz w:val="24"/>
                <w:szCs w:val="24"/>
              </w:rPr>
              <w:t xml:space="preserve"> 锅炉》、《排污单位自行监测技术指南 火力发电及锅炉》（HJ 820-2017）</w:t>
            </w:r>
            <w:r>
              <w:rPr>
                <w:color w:val="auto"/>
                <w:sz w:val="24"/>
                <w:szCs w:val="24"/>
              </w:rPr>
              <w:t>等文件，具体监测工作可委托有资质单位进行，执行本项目环境影响评价中的标准，营运期水环境监测计划如下：</w:t>
            </w:r>
          </w:p>
          <w:p>
            <w:pPr>
              <w:snapToGrid w:val="0"/>
              <w:spacing w:before="60" w:beforeLines="25" w:line="360" w:lineRule="auto"/>
              <w:jc w:val="center"/>
              <w:rPr>
                <w:b/>
                <w:bCs/>
                <w:color w:val="auto"/>
                <w:sz w:val="24"/>
                <w:szCs w:val="24"/>
              </w:rPr>
            </w:pPr>
            <w:r>
              <w:rPr>
                <w:b/>
                <w:bCs/>
                <w:color w:val="auto"/>
                <w:sz w:val="24"/>
                <w:szCs w:val="24"/>
              </w:rPr>
              <w:t>表4-1</w:t>
            </w:r>
            <w:r>
              <w:rPr>
                <w:rFonts w:hint="eastAsia"/>
                <w:b/>
                <w:bCs/>
                <w:color w:val="auto"/>
                <w:sz w:val="24"/>
                <w:szCs w:val="24"/>
              </w:rPr>
              <w:t>3</w:t>
            </w:r>
            <w:r>
              <w:rPr>
                <w:b/>
                <w:bCs/>
                <w:color w:val="auto"/>
                <w:sz w:val="24"/>
                <w:szCs w:val="24"/>
              </w:rPr>
              <w:t xml:space="preserve">  废水污染源监测计划</w:t>
            </w:r>
          </w:p>
          <w:tbl>
            <w:tblPr>
              <w:tblStyle w:val="23"/>
              <w:tblW w:w="8250"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15" w:type="dxa"/>
                <w:left w:w="15" w:type="dxa"/>
                <w:bottom w:w="15" w:type="dxa"/>
                <w:right w:w="15" w:type="dxa"/>
              </w:tblCellMar>
            </w:tblPr>
            <w:tblGrid>
              <w:gridCol w:w="1022"/>
              <w:gridCol w:w="1541"/>
              <w:gridCol w:w="1478"/>
              <w:gridCol w:w="957"/>
              <w:gridCol w:w="325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619" w:type="pct"/>
                  <w:tcBorders>
                    <w:top w:val="single" w:color="auto" w:sz="4" w:space="0"/>
                    <w:left w:val="single" w:color="auto" w:sz="6" w:space="0"/>
                    <w:bottom w:val="single" w:color="auto" w:sz="4" w:space="0"/>
                    <w:right w:val="single" w:color="auto" w:sz="4" w:space="0"/>
                  </w:tcBorders>
                  <w:vAlign w:val="center"/>
                </w:tcPr>
                <w:p>
                  <w:pPr>
                    <w:widowControl/>
                    <w:adjustRightInd w:val="0"/>
                    <w:snapToGrid w:val="0"/>
                    <w:jc w:val="center"/>
                    <w:textAlignment w:val="baseline"/>
                    <w:rPr>
                      <w:b/>
                      <w:bCs/>
                      <w:color w:val="auto"/>
                      <w:spacing w:val="4"/>
                      <w:kern w:val="0"/>
                    </w:rPr>
                  </w:pPr>
                  <w:r>
                    <w:rPr>
                      <w:b/>
                      <w:bCs/>
                      <w:color w:val="auto"/>
                      <w:spacing w:val="4"/>
                      <w:kern w:val="0"/>
                    </w:rPr>
                    <w:t>监测项目</w:t>
                  </w:r>
                </w:p>
              </w:tc>
              <w:tc>
                <w:tcPr>
                  <w:tcW w:w="933"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b/>
                      <w:bCs/>
                      <w:color w:val="auto"/>
                      <w:spacing w:val="4"/>
                      <w:kern w:val="0"/>
                    </w:rPr>
                  </w:pPr>
                  <w:r>
                    <w:rPr>
                      <w:b/>
                      <w:bCs/>
                      <w:color w:val="auto"/>
                      <w:spacing w:val="4"/>
                      <w:kern w:val="0"/>
                    </w:rPr>
                    <w:t>监测点位</w:t>
                  </w:r>
                </w:p>
              </w:tc>
              <w:tc>
                <w:tcPr>
                  <w:tcW w:w="895"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textAlignment w:val="baseline"/>
                    <w:rPr>
                      <w:b/>
                      <w:bCs/>
                      <w:color w:val="auto"/>
                      <w:spacing w:val="4"/>
                      <w:kern w:val="0"/>
                    </w:rPr>
                  </w:pPr>
                  <w:r>
                    <w:rPr>
                      <w:b/>
                      <w:bCs/>
                      <w:color w:val="auto"/>
                      <w:spacing w:val="4"/>
                      <w:kern w:val="0"/>
                    </w:rPr>
                    <w:t>监测指标</w:t>
                  </w:r>
                </w:p>
              </w:tc>
              <w:tc>
                <w:tcPr>
                  <w:tcW w:w="580"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textAlignment w:val="baseline"/>
                    <w:rPr>
                      <w:b/>
                      <w:bCs/>
                      <w:color w:val="auto"/>
                      <w:spacing w:val="4"/>
                      <w:kern w:val="0"/>
                    </w:rPr>
                  </w:pPr>
                  <w:r>
                    <w:rPr>
                      <w:b/>
                      <w:bCs/>
                      <w:color w:val="auto"/>
                      <w:spacing w:val="4"/>
                      <w:kern w:val="0"/>
                    </w:rPr>
                    <w:t>监测频次</w:t>
                  </w:r>
                </w:p>
              </w:tc>
              <w:tc>
                <w:tcPr>
                  <w:tcW w:w="1970"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textAlignment w:val="baseline"/>
                    <w:rPr>
                      <w:b/>
                      <w:bCs/>
                      <w:color w:val="auto"/>
                      <w:spacing w:val="4"/>
                      <w:kern w:val="0"/>
                    </w:rPr>
                  </w:pPr>
                  <w:r>
                    <w:rPr>
                      <w:b/>
                      <w:bCs/>
                      <w:color w:val="auto"/>
                      <w:spacing w:val="4"/>
                      <w:kern w:val="0"/>
                    </w:rPr>
                    <w:t>执行排放标准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61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baseline"/>
                    <w:rPr>
                      <w:color w:val="auto"/>
                      <w:spacing w:val="4"/>
                      <w:kern w:val="0"/>
                    </w:rPr>
                  </w:pPr>
                  <w:r>
                    <w:rPr>
                      <w:color w:val="auto"/>
                      <w:spacing w:val="4"/>
                      <w:kern w:val="0"/>
                    </w:rPr>
                    <w:t>废水</w:t>
                  </w:r>
                </w:p>
              </w:tc>
              <w:tc>
                <w:tcPr>
                  <w:tcW w:w="933" w:type="pct"/>
                  <w:tcBorders>
                    <w:top w:val="single" w:color="auto" w:sz="4" w:space="0"/>
                    <w:left w:val="single" w:color="auto" w:sz="4" w:space="0"/>
                    <w:bottom w:val="single" w:color="auto" w:sz="4" w:space="0"/>
                    <w:right w:val="single" w:color="auto" w:sz="4" w:space="0"/>
                  </w:tcBorders>
                  <w:vAlign w:val="center"/>
                </w:tcPr>
                <w:p>
                  <w:pPr>
                    <w:jc w:val="center"/>
                    <w:rPr>
                      <w:color w:val="auto"/>
                      <w:spacing w:val="4"/>
                      <w:kern w:val="0"/>
                    </w:rPr>
                  </w:pPr>
                  <w:r>
                    <w:rPr>
                      <w:color w:val="auto"/>
                    </w:rPr>
                    <w:t>厂区废水排口DW001</w:t>
                  </w:r>
                </w:p>
              </w:tc>
              <w:tc>
                <w:tcPr>
                  <w:tcW w:w="895" w:type="pct"/>
                  <w:tcBorders>
                    <w:top w:val="single" w:color="auto" w:sz="4" w:space="0"/>
                    <w:left w:val="single" w:color="auto" w:sz="4" w:space="0"/>
                    <w:bottom w:val="single" w:color="auto" w:sz="4" w:space="0"/>
                    <w:right w:val="single" w:color="auto" w:sz="4" w:space="0"/>
                  </w:tcBorders>
                  <w:vAlign w:val="center"/>
                </w:tcPr>
                <w:p>
                  <w:pPr>
                    <w:jc w:val="center"/>
                    <w:rPr>
                      <w:color w:val="auto"/>
                    </w:rPr>
                  </w:pPr>
                  <w:r>
                    <w:rPr>
                      <w:color w:val="auto"/>
                    </w:rPr>
                    <w:t>pH、SS、COD、BOD</w:t>
                  </w:r>
                  <w:r>
                    <w:rPr>
                      <w:color w:val="auto"/>
                      <w:vertAlign w:val="subscript"/>
                    </w:rPr>
                    <w:t>5</w:t>
                  </w:r>
                  <w:r>
                    <w:rPr>
                      <w:color w:val="auto"/>
                    </w:rPr>
                    <w:t>、氨氮</w:t>
                  </w:r>
                  <w:r>
                    <w:rPr>
                      <w:rFonts w:hint="eastAsia"/>
                      <w:color w:val="auto"/>
                    </w:rPr>
                    <w:t>、动植物油</w:t>
                  </w:r>
                </w:p>
              </w:tc>
              <w:tc>
                <w:tcPr>
                  <w:tcW w:w="580" w:type="pct"/>
                  <w:tcBorders>
                    <w:top w:val="single" w:color="auto" w:sz="4" w:space="0"/>
                    <w:left w:val="single" w:color="auto" w:sz="4" w:space="0"/>
                    <w:bottom w:val="single" w:color="auto" w:sz="4" w:space="0"/>
                    <w:right w:val="single" w:color="auto" w:sz="4" w:space="0"/>
                  </w:tcBorders>
                  <w:vAlign w:val="center"/>
                </w:tcPr>
                <w:p>
                  <w:pPr>
                    <w:jc w:val="center"/>
                    <w:rPr>
                      <w:color w:val="auto"/>
                      <w:spacing w:val="4"/>
                      <w:kern w:val="0"/>
                    </w:rPr>
                  </w:pPr>
                  <w:r>
                    <w:rPr>
                      <w:color w:val="auto"/>
                    </w:rPr>
                    <w:t>1次/年</w:t>
                  </w:r>
                </w:p>
              </w:tc>
              <w:tc>
                <w:tcPr>
                  <w:tcW w:w="1970" w:type="pct"/>
                  <w:tcBorders>
                    <w:top w:val="single" w:color="auto" w:sz="4" w:space="0"/>
                    <w:left w:val="single" w:color="auto" w:sz="4" w:space="0"/>
                    <w:bottom w:val="single" w:color="auto" w:sz="4" w:space="0"/>
                    <w:right w:val="single" w:color="auto" w:sz="4" w:space="0"/>
                  </w:tcBorders>
                  <w:vAlign w:val="center"/>
                </w:tcPr>
                <w:p>
                  <w:pPr>
                    <w:jc w:val="center"/>
                    <w:rPr>
                      <w:color w:val="auto"/>
                    </w:rPr>
                  </w:pPr>
                  <w:r>
                    <w:rPr>
                      <w:rFonts w:hint="eastAsia"/>
                      <w:color w:val="auto"/>
                    </w:rPr>
                    <w:t>宿州市经济技术开发区污水处理厂</w:t>
                  </w:r>
                  <w:r>
                    <w:rPr>
                      <w:color w:val="auto"/>
                    </w:rPr>
                    <w:t>接管标准</w:t>
                  </w:r>
                </w:p>
              </w:tc>
            </w:tr>
          </w:tbl>
          <w:p>
            <w:pPr>
              <w:spacing w:line="360" w:lineRule="auto"/>
              <w:ind w:firstLine="482" w:firstLineChars="200"/>
              <w:rPr>
                <w:b/>
                <w:bCs/>
                <w:color w:val="auto"/>
                <w:sz w:val="24"/>
                <w:szCs w:val="24"/>
              </w:rPr>
            </w:pPr>
            <w:r>
              <w:rPr>
                <w:b/>
                <w:bCs/>
                <w:color w:val="auto"/>
                <w:sz w:val="24"/>
                <w:szCs w:val="24"/>
              </w:rPr>
              <w:t>3、噪声</w:t>
            </w:r>
          </w:p>
          <w:p>
            <w:pPr>
              <w:spacing w:line="360" w:lineRule="auto"/>
              <w:ind w:firstLine="482" w:firstLineChars="200"/>
              <w:rPr>
                <w:color w:val="auto"/>
                <w:sz w:val="24"/>
                <w:szCs w:val="24"/>
              </w:rPr>
            </w:pPr>
            <w:r>
              <w:rPr>
                <w:b/>
                <w:bCs/>
                <w:color w:val="auto"/>
                <w:sz w:val="24"/>
                <w:szCs w:val="24"/>
              </w:rPr>
              <w:t>3.1噪声源强分析</w:t>
            </w:r>
          </w:p>
          <w:p>
            <w:pPr>
              <w:spacing w:line="360" w:lineRule="auto"/>
              <w:ind w:firstLine="480" w:firstLineChars="200"/>
              <w:rPr>
                <w:b/>
                <w:bCs/>
                <w:color w:val="auto"/>
                <w:sz w:val="24"/>
                <w:szCs w:val="24"/>
              </w:rPr>
            </w:pPr>
            <w:r>
              <w:rPr>
                <w:color w:val="auto"/>
                <w:sz w:val="24"/>
                <w:szCs w:val="24"/>
              </w:rPr>
              <w:t>本项目营运期噪声主要来生产设备运行噪声和车辆运输噪声，其产生的噪声值大约65~</w:t>
            </w:r>
            <w:r>
              <w:rPr>
                <w:rFonts w:hint="eastAsia"/>
                <w:color w:val="auto"/>
                <w:sz w:val="24"/>
                <w:szCs w:val="24"/>
              </w:rPr>
              <w:t>90</w:t>
            </w:r>
            <w:r>
              <w:rPr>
                <w:color w:val="auto"/>
                <w:sz w:val="24"/>
                <w:szCs w:val="24"/>
              </w:rPr>
              <w:t>dB（A）左右，具体见表4-1</w:t>
            </w:r>
            <w:r>
              <w:rPr>
                <w:rFonts w:hint="eastAsia"/>
                <w:color w:val="auto"/>
                <w:sz w:val="24"/>
                <w:szCs w:val="24"/>
              </w:rPr>
              <w:t>4</w:t>
            </w:r>
            <w:r>
              <w:rPr>
                <w:color w:val="auto"/>
                <w:sz w:val="24"/>
                <w:szCs w:val="24"/>
              </w:rPr>
              <w:t>。</w:t>
            </w:r>
          </w:p>
          <w:p>
            <w:pPr>
              <w:spacing w:line="360" w:lineRule="auto"/>
              <w:jc w:val="center"/>
              <w:rPr>
                <w:b/>
                <w:bCs/>
                <w:color w:val="auto"/>
                <w:sz w:val="24"/>
                <w:szCs w:val="24"/>
              </w:rPr>
            </w:pPr>
            <w:r>
              <w:rPr>
                <w:b/>
                <w:bCs/>
                <w:color w:val="auto"/>
                <w:sz w:val="24"/>
                <w:szCs w:val="24"/>
              </w:rPr>
              <w:t>表4-1</w:t>
            </w:r>
            <w:r>
              <w:rPr>
                <w:rFonts w:hint="eastAsia"/>
                <w:b/>
                <w:bCs/>
                <w:color w:val="auto"/>
                <w:sz w:val="24"/>
                <w:szCs w:val="24"/>
              </w:rPr>
              <w:t>4</w:t>
            </w:r>
            <w:r>
              <w:rPr>
                <w:b/>
                <w:bCs/>
                <w:color w:val="auto"/>
                <w:sz w:val="24"/>
                <w:szCs w:val="24"/>
              </w:rPr>
              <w:t xml:space="preserve">  本项目主要设备噪声源强及治理措施一览表</w:t>
            </w:r>
          </w:p>
          <w:tbl>
            <w:tblPr>
              <w:tblStyle w:val="23"/>
              <w:tblW w:w="8219" w:type="dxa"/>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2145"/>
              <w:gridCol w:w="1005"/>
              <w:gridCol w:w="1370"/>
              <w:gridCol w:w="1370"/>
              <w:gridCol w:w="1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959"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color w:val="auto"/>
                    </w:rPr>
                    <w:t>序号</w:t>
                  </w:r>
                </w:p>
              </w:tc>
              <w:tc>
                <w:tcPr>
                  <w:tcW w:w="2145"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color w:val="auto"/>
                    </w:rPr>
                    <w:t>设备名称</w:t>
                  </w:r>
                </w:p>
              </w:tc>
              <w:tc>
                <w:tcPr>
                  <w:tcW w:w="1005"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color w:val="auto"/>
                    </w:rPr>
                    <w:t>数量</w:t>
                  </w:r>
                </w:p>
              </w:tc>
              <w:tc>
                <w:tcPr>
                  <w:tcW w:w="1370"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color w:val="auto"/>
                    </w:rPr>
                    <w:t>单台源强dB（A）</w:t>
                  </w:r>
                </w:p>
              </w:tc>
              <w:tc>
                <w:tcPr>
                  <w:tcW w:w="1370"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color w:val="auto"/>
                    </w:rPr>
                    <w:t>治理措施</w:t>
                  </w:r>
                </w:p>
              </w:tc>
              <w:tc>
                <w:tcPr>
                  <w:tcW w:w="1370"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color w:val="auto"/>
                    </w:rPr>
                    <w:t>降噪效果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959" w:type="dxa"/>
                  <w:tcBorders>
                    <w:top w:val="single" w:color="auto" w:sz="4" w:space="0"/>
                    <w:left w:val="single" w:color="auto" w:sz="4" w:space="0"/>
                    <w:bottom w:val="single" w:color="auto" w:sz="4" w:space="0"/>
                    <w:right w:val="single" w:color="auto" w:sz="4" w:space="0"/>
                  </w:tcBorders>
                  <w:vAlign w:val="center"/>
                </w:tcPr>
                <w:p>
                  <w:pPr>
                    <w:pStyle w:val="8"/>
                    <w:ind w:left="0"/>
                    <w:jc w:val="center"/>
                    <w:rPr>
                      <w:rFonts w:ascii="Times New Roman" w:hAnsi="Times New Roman" w:cs="Times New Roman"/>
                      <w:color w:val="auto"/>
                      <w:sz w:val="21"/>
                      <w:szCs w:val="21"/>
                    </w:rPr>
                  </w:pPr>
                  <w:r>
                    <w:rPr>
                      <w:rFonts w:hint="eastAsia" w:ascii="Times New Roman" w:hAnsi="Times New Roman" w:cs="Times New Roman"/>
                      <w:b w:val="0"/>
                      <w:bCs w:val="0"/>
                      <w:color w:val="auto"/>
                      <w:sz w:val="21"/>
                      <w:szCs w:val="21"/>
                      <w:lang w:val="en-US"/>
                    </w:rPr>
                    <w:t>1</w:t>
                  </w:r>
                </w:p>
              </w:tc>
              <w:tc>
                <w:tcPr>
                  <w:tcW w:w="214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auto"/>
                    </w:rPr>
                  </w:pPr>
                  <w:r>
                    <w:rPr>
                      <w:color w:val="auto"/>
                      <w:kern w:val="0"/>
                    </w:rPr>
                    <w:t>脉冲布筒除尘器</w:t>
                  </w:r>
                </w:p>
              </w:tc>
              <w:tc>
                <w:tcPr>
                  <w:tcW w:w="100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auto"/>
                    </w:rPr>
                  </w:pPr>
                  <w:r>
                    <w:rPr>
                      <w:color w:val="auto"/>
                    </w:rPr>
                    <w:t>11</w:t>
                  </w:r>
                </w:p>
              </w:tc>
              <w:tc>
                <w:tcPr>
                  <w:tcW w:w="1370"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color w:val="auto"/>
                    </w:rPr>
                    <w:t>65~</w:t>
                  </w:r>
                  <w:r>
                    <w:rPr>
                      <w:rFonts w:hint="eastAsia"/>
                      <w:color w:val="auto"/>
                    </w:rPr>
                    <w:t>80</w:t>
                  </w:r>
                </w:p>
              </w:tc>
              <w:tc>
                <w:tcPr>
                  <w:tcW w:w="1370" w:type="dxa"/>
                  <w:vMerge w:val="restart"/>
                  <w:tcBorders>
                    <w:top w:val="single" w:color="auto" w:sz="4" w:space="0"/>
                    <w:left w:val="single" w:color="auto" w:sz="4" w:space="0"/>
                    <w:right w:val="single" w:color="auto" w:sz="4" w:space="0"/>
                  </w:tcBorders>
                  <w:vAlign w:val="center"/>
                </w:tcPr>
                <w:p>
                  <w:pPr>
                    <w:jc w:val="center"/>
                    <w:rPr>
                      <w:color w:val="auto"/>
                    </w:rPr>
                  </w:pPr>
                  <w:r>
                    <w:rPr>
                      <w:color w:val="auto"/>
                    </w:rPr>
                    <w:t>合理布局、</w:t>
                  </w:r>
                </w:p>
                <w:p>
                  <w:pPr>
                    <w:jc w:val="center"/>
                    <w:rPr>
                      <w:color w:val="auto"/>
                    </w:rPr>
                  </w:pPr>
                  <w:r>
                    <w:rPr>
                      <w:color w:val="auto"/>
                    </w:rPr>
                    <w:t>减振基座、</w:t>
                  </w:r>
                </w:p>
                <w:p>
                  <w:pPr>
                    <w:jc w:val="center"/>
                    <w:rPr>
                      <w:color w:val="auto"/>
                    </w:rPr>
                  </w:pPr>
                  <w:r>
                    <w:rPr>
                      <w:color w:val="auto"/>
                    </w:rPr>
                    <w:t>柔性接头、</w:t>
                  </w:r>
                </w:p>
                <w:p>
                  <w:pPr>
                    <w:jc w:val="center"/>
                    <w:rPr>
                      <w:color w:val="auto"/>
                    </w:rPr>
                  </w:pPr>
                  <w:r>
                    <w:rPr>
                      <w:color w:val="auto"/>
                    </w:rPr>
                    <w:t>厂房隔声、</w:t>
                  </w:r>
                </w:p>
                <w:p>
                  <w:pPr>
                    <w:jc w:val="center"/>
                    <w:rPr>
                      <w:color w:val="auto"/>
                    </w:rPr>
                  </w:pPr>
                  <w:r>
                    <w:rPr>
                      <w:color w:val="auto"/>
                    </w:rPr>
                    <w:t>加强设备保养</w:t>
                  </w:r>
                </w:p>
              </w:tc>
              <w:tc>
                <w:tcPr>
                  <w:tcW w:w="1370"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color w:val="auto"/>
                    </w:rPr>
                    <w:t>25dB(A)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959" w:type="dxa"/>
                  <w:tcBorders>
                    <w:top w:val="single" w:color="auto" w:sz="4" w:space="0"/>
                    <w:left w:val="single" w:color="auto" w:sz="4" w:space="0"/>
                    <w:bottom w:val="single" w:color="auto" w:sz="4" w:space="0"/>
                    <w:right w:val="single" w:color="auto" w:sz="4" w:space="0"/>
                  </w:tcBorders>
                  <w:vAlign w:val="center"/>
                </w:tcPr>
                <w:p>
                  <w:pPr>
                    <w:pStyle w:val="8"/>
                    <w:ind w:left="0"/>
                    <w:jc w:val="center"/>
                    <w:rPr>
                      <w:rFonts w:ascii="Times New Roman" w:hAnsi="Times New Roman" w:cs="Times New Roman"/>
                      <w:color w:val="auto"/>
                      <w:sz w:val="21"/>
                      <w:szCs w:val="21"/>
                    </w:rPr>
                  </w:pPr>
                  <w:r>
                    <w:rPr>
                      <w:rFonts w:hint="eastAsia" w:ascii="Times New Roman" w:hAnsi="Times New Roman" w:cs="Times New Roman"/>
                      <w:b w:val="0"/>
                      <w:bCs w:val="0"/>
                      <w:color w:val="auto"/>
                      <w:sz w:val="21"/>
                      <w:szCs w:val="21"/>
                      <w:lang w:val="en-US"/>
                    </w:rPr>
                    <w:t>2</w:t>
                  </w:r>
                </w:p>
              </w:tc>
              <w:tc>
                <w:tcPr>
                  <w:tcW w:w="214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auto"/>
                    </w:rPr>
                  </w:pPr>
                  <w:r>
                    <w:rPr>
                      <w:color w:val="auto"/>
                      <w:kern w:val="0"/>
                    </w:rPr>
                    <w:t>刮板输送机</w:t>
                  </w:r>
                </w:p>
              </w:tc>
              <w:tc>
                <w:tcPr>
                  <w:tcW w:w="100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auto"/>
                    </w:rPr>
                  </w:pPr>
                  <w:r>
                    <w:rPr>
                      <w:color w:val="auto"/>
                    </w:rPr>
                    <w:t>14</w:t>
                  </w:r>
                </w:p>
              </w:tc>
              <w:tc>
                <w:tcPr>
                  <w:tcW w:w="1370"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color w:val="auto"/>
                    </w:rPr>
                    <w:t>65~70</w:t>
                  </w:r>
                </w:p>
              </w:tc>
              <w:tc>
                <w:tcPr>
                  <w:tcW w:w="1370" w:type="dxa"/>
                  <w:vMerge w:val="continue"/>
                  <w:tcBorders>
                    <w:left w:val="single" w:color="auto" w:sz="4" w:space="0"/>
                    <w:right w:val="single" w:color="auto" w:sz="4" w:space="0"/>
                  </w:tcBorders>
                  <w:vAlign w:val="center"/>
                </w:tcPr>
                <w:p>
                  <w:pPr>
                    <w:jc w:val="center"/>
                    <w:rPr>
                      <w:color w:val="auto"/>
                    </w:rPr>
                  </w:pPr>
                </w:p>
              </w:tc>
              <w:tc>
                <w:tcPr>
                  <w:tcW w:w="1370"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color w:val="auto"/>
                    </w:rPr>
                    <w:t>25dB(A)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59" w:type="dxa"/>
                  <w:tcBorders>
                    <w:top w:val="single" w:color="auto" w:sz="4" w:space="0"/>
                    <w:left w:val="single" w:color="auto" w:sz="4" w:space="0"/>
                    <w:bottom w:val="single" w:color="auto" w:sz="4" w:space="0"/>
                    <w:right w:val="single" w:color="auto" w:sz="4" w:space="0"/>
                  </w:tcBorders>
                  <w:vAlign w:val="center"/>
                </w:tcPr>
                <w:p>
                  <w:pPr>
                    <w:pStyle w:val="8"/>
                    <w:ind w:left="0"/>
                    <w:jc w:val="center"/>
                    <w:rPr>
                      <w:rFonts w:ascii="Times New Roman" w:hAnsi="Times New Roman" w:cs="Times New Roman"/>
                      <w:color w:val="auto"/>
                      <w:sz w:val="21"/>
                      <w:szCs w:val="21"/>
                    </w:rPr>
                  </w:pPr>
                  <w:r>
                    <w:rPr>
                      <w:rFonts w:hint="eastAsia" w:ascii="Times New Roman" w:hAnsi="Times New Roman" w:cs="Times New Roman"/>
                      <w:b w:val="0"/>
                      <w:bCs w:val="0"/>
                      <w:color w:val="auto"/>
                      <w:sz w:val="21"/>
                      <w:szCs w:val="21"/>
                      <w:lang w:val="en-US"/>
                    </w:rPr>
                    <w:t>3</w:t>
                  </w:r>
                </w:p>
              </w:tc>
              <w:tc>
                <w:tcPr>
                  <w:tcW w:w="214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auto"/>
                    </w:rPr>
                  </w:pPr>
                  <w:r>
                    <w:rPr>
                      <w:color w:val="auto"/>
                      <w:kern w:val="0"/>
                    </w:rPr>
                    <w:t>斗式提升机</w:t>
                  </w:r>
                </w:p>
              </w:tc>
              <w:tc>
                <w:tcPr>
                  <w:tcW w:w="100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auto"/>
                    </w:rPr>
                  </w:pPr>
                  <w:r>
                    <w:rPr>
                      <w:color w:val="auto"/>
                      <w:kern w:val="0"/>
                    </w:rPr>
                    <w:t>11</w:t>
                  </w:r>
                </w:p>
              </w:tc>
              <w:tc>
                <w:tcPr>
                  <w:tcW w:w="1370"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color w:val="auto"/>
                    </w:rPr>
                    <w:t>65~</w:t>
                  </w:r>
                  <w:r>
                    <w:rPr>
                      <w:rFonts w:hint="eastAsia"/>
                      <w:color w:val="auto"/>
                    </w:rPr>
                    <w:t>80</w:t>
                  </w:r>
                </w:p>
              </w:tc>
              <w:tc>
                <w:tcPr>
                  <w:tcW w:w="1370" w:type="dxa"/>
                  <w:vMerge w:val="continue"/>
                  <w:tcBorders>
                    <w:left w:val="single" w:color="auto" w:sz="4" w:space="0"/>
                    <w:right w:val="single" w:color="auto" w:sz="4" w:space="0"/>
                  </w:tcBorders>
                  <w:vAlign w:val="center"/>
                </w:tcPr>
                <w:p>
                  <w:pPr>
                    <w:jc w:val="center"/>
                    <w:rPr>
                      <w:color w:val="auto"/>
                    </w:rPr>
                  </w:pPr>
                </w:p>
              </w:tc>
              <w:tc>
                <w:tcPr>
                  <w:tcW w:w="1370"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color w:val="auto"/>
                    </w:rPr>
                    <w:t>25dB(A)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959" w:type="dxa"/>
                  <w:tcBorders>
                    <w:top w:val="single" w:color="auto" w:sz="4" w:space="0"/>
                    <w:left w:val="single" w:color="auto" w:sz="4" w:space="0"/>
                    <w:bottom w:val="single" w:color="auto" w:sz="4" w:space="0"/>
                    <w:right w:val="single" w:color="auto" w:sz="4" w:space="0"/>
                  </w:tcBorders>
                  <w:vAlign w:val="center"/>
                </w:tcPr>
                <w:p>
                  <w:pPr>
                    <w:pStyle w:val="8"/>
                    <w:ind w:left="0"/>
                    <w:jc w:val="center"/>
                    <w:rPr>
                      <w:rFonts w:ascii="Times New Roman" w:hAnsi="Times New Roman" w:cs="Times New Roman"/>
                      <w:color w:val="auto"/>
                      <w:sz w:val="21"/>
                      <w:szCs w:val="21"/>
                    </w:rPr>
                  </w:pPr>
                  <w:r>
                    <w:rPr>
                      <w:rFonts w:hint="eastAsia" w:ascii="Times New Roman" w:hAnsi="Times New Roman" w:cs="Times New Roman"/>
                      <w:b w:val="0"/>
                      <w:bCs w:val="0"/>
                      <w:color w:val="auto"/>
                      <w:sz w:val="21"/>
                      <w:szCs w:val="21"/>
                      <w:lang w:val="en-US"/>
                    </w:rPr>
                    <w:t>4</w:t>
                  </w:r>
                </w:p>
              </w:tc>
              <w:tc>
                <w:tcPr>
                  <w:tcW w:w="214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auto"/>
                    </w:rPr>
                  </w:pPr>
                  <w:r>
                    <w:rPr>
                      <w:color w:val="auto"/>
                      <w:kern w:val="0"/>
                    </w:rPr>
                    <w:t>永磁筒</w:t>
                  </w:r>
                </w:p>
              </w:tc>
              <w:tc>
                <w:tcPr>
                  <w:tcW w:w="100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auto"/>
                    </w:rPr>
                  </w:pPr>
                  <w:r>
                    <w:rPr>
                      <w:color w:val="auto"/>
                      <w:kern w:val="0"/>
                    </w:rPr>
                    <w:t>6</w:t>
                  </w:r>
                </w:p>
              </w:tc>
              <w:tc>
                <w:tcPr>
                  <w:tcW w:w="1370"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color w:val="auto"/>
                    </w:rPr>
                    <w:t>65~70</w:t>
                  </w:r>
                </w:p>
              </w:tc>
              <w:tc>
                <w:tcPr>
                  <w:tcW w:w="1370" w:type="dxa"/>
                  <w:vMerge w:val="continue"/>
                  <w:tcBorders>
                    <w:left w:val="single" w:color="auto" w:sz="4" w:space="0"/>
                    <w:right w:val="single" w:color="auto" w:sz="4" w:space="0"/>
                  </w:tcBorders>
                  <w:vAlign w:val="center"/>
                </w:tcPr>
                <w:p>
                  <w:pPr>
                    <w:jc w:val="center"/>
                    <w:rPr>
                      <w:color w:val="auto"/>
                    </w:rPr>
                  </w:pPr>
                </w:p>
              </w:tc>
              <w:tc>
                <w:tcPr>
                  <w:tcW w:w="1370"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color w:val="auto"/>
                    </w:rPr>
                    <w:t>25dB(A)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59" w:type="dxa"/>
                  <w:tcBorders>
                    <w:top w:val="single" w:color="auto" w:sz="4" w:space="0"/>
                    <w:left w:val="single" w:color="auto" w:sz="4" w:space="0"/>
                    <w:bottom w:val="single" w:color="auto" w:sz="4" w:space="0"/>
                    <w:right w:val="single" w:color="auto" w:sz="4" w:space="0"/>
                  </w:tcBorders>
                  <w:vAlign w:val="center"/>
                </w:tcPr>
                <w:p>
                  <w:pPr>
                    <w:pStyle w:val="8"/>
                    <w:ind w:left="0"/>
                    <w:jc w:val="center"/>
                    <w:rPr>
                      <w:rFonts w:ascii="Times New Roman" w:hAnsi="Times New Roman" w:cs="Times New Roman"/>
                      <w:color w:val="auto"/>
                      <w:sz w:val="21"/>
                      <w:szCs w:val="21"/>
                    </w:rPr>
                  </w:pPr>
                  <w:r>
                    <w:rPr>
                      <w:rFonts w:hint="eastAsia" w:ascii="Times New Roman" w:hAnsi="Times New Roman" w:cs="Times New Roman"/>
                      <w:b w:val="0"/>
                      <w:bCs w:val="0"/>
                      <w:color w:val="auto"/>
                      <w:sz w:val="21"/>
                      <w:szCs w:val="21"/>
                      <w:lang w:val="en-US"/>
                    </w:rPr>
                    <w:t>5</w:t>
                  </w:r>
                </w:p>
              </w:tc>
              <w:tc>
                <w:tcPr>
                  <w:tcW w:w="214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auto"/>
                    </w:rPr>
                  </w:pPr>
                  <w:r>
                    <w:rPr>
                      <w:color w:val="auto"/>
                      <w:kern w:val="0"/>
                    </w:rPr>
                    <w:t>国产通用离心通风机</w:t>
                  </w:r>
                </w:p>
              </w:tc>
              <w:tc>
                <w:tcPr>
                  <w:tcW w:w="100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auto"/>
                    </w:rPr>
                  </w:pPr>
                  <w:r>
                    <w:rPr>
                      <w:color w:val="auto"/>
                    </w:rPr>
                    <w:t>12</w:t>
                  </w:r>
                </w:p>
              </w:tc>
              <w:tc>
                <w:tcPr>
                  <w:tcW w:w="1370"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color w:val="auto"/>
                    </w:rPr>
                    <w:t>65~</w:t>
                  </w:r>
                  <w:r>
                    <w:rPr>
                      <w:rFonts w:hint="eastAsia"/>
                      <w:color w:val="auto"/>
                    </w:rPr>
                    <w:t>80</w:t>
                  </w:r>
                </w:p>
              </w:tc>
              <w:tc>
                <w:tcPr>
                  <w:tcW w:w="1370" w:type="dxa"/>
                  <w:vMerge w:val="continue"/>
                  <w:tcBorders>
                    <w:left w:val="single" w:color="auto" w:sz="4" w:space="0"/>
                    <w:right w:val="single" w:color="auto" w:sz="4" w:space="0"/>
                  </w:tcBorders>
                  <w:vAlign w:val="center"/>
                </w:tcPr>
                <w:p>
                  <w:pPr>
                    <w:jc w:val="center"/>
                    <w:rPr>
                      <w:color w:val="auto"/>
                    </w:rPr>
                  </w:pPr>
                </w:p>
              </w:tc>
              <w:tc>
                <w:tcPr>
                  <w:tcW w:w="1370"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color w:val="auto"/>
                    </w:rPr>
                    <w:t>25dB(A)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59" w:type="dxa"/>
                  <w:tcBorders>
                    <w:top w:val="single" w:color="auto" w:sz="4" w:space="0"/>
                    <w:left w:val="single" w:color="auto" w:sz="4" w:space="0"/>
                    <w:bottom w:val="single" w:color="auto" w:sz="4" w:space="0"/>
                    <w:right w:val="single" w:color="auto" w:sz="4" w:space="0"/>
                  </w:tcBorders>
                  <w:vAlign w:val="center"/>
                </w:tcPr>
                <w:p>
                  <w:pPr>
                    <w:pStyle w:val="8"/>
                    <w:ind w:left="0"/>
                    <w:jc w:val="center"/>
                    <w:rPr>
                      <w:rFonts w:ascii="Times New Roman" w:hAnsi="Times New Roman" w:cs="Times New Roman"/>
                      <w:color w:val="auto"/>
                      <w:sz w:val="21"/>
                      <w:szCs w:val="21"/>
                    </w:rPr>
                  </w:pPr>
                  <w:r>
                    <w:rPr>
                      <w:rFonts w:hint="eastAsia" w:ascii="Times New Roman" w:hAnsi="Times New Roman" w:cs="Times New Roman"/>
                      <w:b w:val="0"/>
                      <w:bCs w:val="0"/>
                      <w:color w:val="auto"/>
                      <w:sz w:val="21"/>
                      <w:szCs w:val="21"/>
                      <w:lang w:val="en-US"/>
                    </w:rPr>
                    <w:t>6</w:t>
                  </w:r>
                </w:p>
              </w:tc>
              <w:tc>
                <w:tcPr>
                  <w:tcW w:w="214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auto"/>
                    </w:rPr>
                  </w:pPr>
                  <w:r>
                    <w:rPr>
                      <w:color w:val="auto"/>
                      <w:kern w:val="0"/>
                    </w:rPr>
                    <w:t>待粉碎仓</w:t>
                  </w:r>
                </w:p>
              </w:tc>
              <w:tc>
                <w:tcPr>
                  <w:tcW w:w="100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auto"/>
                    </w:rPr>
                  </w:pPr>
                  <w:r>
                    <w:rPr>
                      <w:color w:val="auto"/>
                      <w:kern w:val="0"/>
                    </w:rPr>
                    <w:t>5</w:t>
                  </w:r>
                </w:p>
              </w:tc>
              <w:tc>
                <w:tcPr>
                  <w:tcW w:w="1370"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color w:val="auto"/>
                    </w:rPr>
                    <w:t>65~70</w:t>
                  </w:r>
                </w:p>
              </w:tc>
              <w:tc>
                <w:tcPr>
                  <w:tcW w:w="1370" w:type="dxa"/>
                  <w:vMerge w:val="continue"/>
                  <w:tcBorders>
                    <w:left w:val="single" w:color="auto" w:sz="4" w:space="0"/>
                    <w:right w:val="single" w:color="auto" w:sz="4" w:space="0"/>
                  </w:tcBorders>
                  <w:vAlign w:val="center"/>
                </w:tcPr>
                <w:p>
                  <w:pPr>
                    <w:jc w:val="center"/>
                    <w:rPr>
                      <w:color w:val="auto"/>
                    </w:rPr>
                  </w:pPr>
                </w:p>
              </w:tc>
              <w:tc>
                <w:tcPr>
                  <w:tcW w:w="1370"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color w:val="auto"/>
                    </w:rPr>
                    <w:t>25dB(A)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59" w:type="dxa"/>
                  <w:tcBorders>
                    <w:top w:val="single" w:color="auto" w:sz="4" w:space="0"/>
                    <w:left w:val="single" w:color="auto" w:sz="4" w:space="0"/>
                    <w:bottom w:val="single" w:color="auto" w:sz="4" w:space="0"/>
                    <w:right w:val="single" w:color="auto" w:sz="4" w:space="0"/>
                  </w:tcBorders>
                  <w:vAlign w:val="center"/>
                </w:tcPr>
                <w:p>
                  <w:pPr>
                    <w:pStyle w:val="8"/>
                    <w:ind w:left="0"/>
                    <w:jc w:val="center"/>
                    <w:rPr>
                      <w:rFonts w:ascii="Times New Roman" w:hAnsi="Times New Roman" w:cs="Times New Roman"/>
                      <w:color w:val="auto"/>
                      <w:sz w:val="21"/>
                      <w:szCs w:val="21"/>
                    </w:rPr>
                  </w:pPr>
                  <w:r>
                    <w:rPr>
                      <w:rFonts w:hint="eastAsia" w:ascii="Times New Roman" w:hAnsi="Times New Roman" w:cs="Times New Roman"/>
                      <w:b w:val="0"/>
                      <w:bCs w:val="0"/>
                      <w:color w:val="auto"/>
                      <w:sz w:val="21"/>
                      <w:szCs w:val="21"/>
                      <w:lang w:val="en-US"/>
                    </w:rPr>
                    <w:t>7</w:t>
                  </w:r>
                </w:p>
              </w:tc>
              <w:tc>
                <w:tcPr>
                  <w:tcW w:w="214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auto"/>
                    </w:rPr>
                  </w:pPr>
                  <w:r>
                    <w:rPr>
                      <w:color w:val="auto"/>
                      <w:kern w:val="0"/>
                    </w:rPr>
                    <w:t>叶轮喂料器</w:t>
                  </w:r>
                </w:p>
              </w:tc>
              <w:tc>
                <w:tcPr>
                  <w:tcW w:w="100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auto"/>
                    </w:rPr>
                  </w:pPr>
                  <w:r>
                    <w:rPr>
                      <w:color w:val="auto"/>
                      <w:kern w:val="0"/>
                    </w:rPr>
                    <w:t>2</w:t>
                  </w:r>
                </w:p>
              </w:tc>
              <w:tc>
                <w:tcPr>
                  <w:tcW w:w="1370"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color w:val="auto"/>
                    </w:rPr>
                    <w:t>65~</w:t>
                  </w:r>
                  <w:r>
                    <w:rPr>
                      <w:rFonts w:hint="eastAsia"/>
                      <w:color w:val="auto"/>
                    </w:rPr>
                    <w:t>80</w:t>
                  </w:r>
                </w:p>
              </w:tc>
              <w:tc>
                <w:tcPr>
                  <w:tcW w:w="1370" w:type="dxa"/>
                  <w:vMerge w:val="continue"/>
                  <w:tcBorders>
                    <w:left w:val="single" w:color="auto" w:sz="4" w:space="0"/>
                    <w:right w:val="single" w:color="auto" w:sz="4" w:space="0"/>
                  </w:tcBorders>
                  <w:vAlign w:val="center"/>
                </w:tcPr>
                <w:p>
                  <w:pPr>
                    <w:jc w:val="center"/>
                    <w:rPr>
                      <w:color w:val="auto"/>
                    </w:rPr>
                  </w:pPr>
                </w:p>
              </w:tc>
              <w:tc>
                <w:tcPr>
                  <w:tcW w:w="1370"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color w:val="auto"/>
                    </w:rPr>
                    <w:t>25dB(A)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59" w:type="dxa"/>
                  <w:tcBorders>
                    <w:top w:val="single" w:color="auto" w:sz="4" w:space="0"/>
                    <w:left w:val="single" w:color="auto" w:sz="4" w:space="0"/>
                    <w:bottom w:val="single" w:color="auto" w:sz="4" w:space="0"/>
                    <w:right w:val="single" w:color="auto" w:sz="4" w:space="0"/>
                  </w:tcBorders>
                  <w:vAlign w:val="center"/>
                </w:tcPr>
                <w:p>
                  <w:pPr>
                    <w:pStyle w:val="8"/>
                    <w:ind w:left="0"/>
                    <w:jc w:val="center"/>
                    <w:rPr>
                      <w:rFonts w:ascii="Times New Roman" w:hAnsi="Times New Roman" w:cs="Times New Roman"/>
                      <w:color w:val="auto"/>
                      <w:sz w:val="21"/>
                      <w:szCs w:val="21"/>
                    </w:rPr>
                  </w:pPr>
                  <w:r>
                    <w:rPr>
                      <w:rFonts w:hint="eastAsia" w:ascii="Times New Roman" w:hAnsi="Times New Roman" w:cs="Times New Roman"/>
                      <w:b w:val="0"/>
                      <w:bCs w:val="0"/>
                      <w:color w:val="auto"/>
                      <w:sz w:val="21"/>
                      <w:szCs w:val="21"/>
                      <w:lang w:val="en-US"/>
                    </w:rPr>
                    <w:t>8</w:t>
                  </w:r>
                </w:p>
              </w:tc>
              <w:tc>
                <w:tcPr>
                  <w:tcW w:w="214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auto"/>
                    </w:rPr>
                  </w:pPr>
                  <w:r>
                    <w:rPr>
                      <w:color w:val="auto"/>
                      <w:kern w:val="0"/>
                    </w:rPr>
                    <w:t>锤片式粉碎机</w:t>
                  </w:r>
                </w:p>
              </w:tc>
              <w:tc>
                <w:tcPr>
                  <w:tcW w:w="100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auto"/>
                    </w:rPr>
                  </w:pPr>
                  <w:r>
                    <w:rPr>
                      <w:color w:val="auto"/>
                    </w:rPr>
                    <w:t>3</w:t>
                  </w:r>
                </w:p>
              </w:tc>
              <w:tc>
                <w:tcPr>
                  <w:tcW w:w="1370"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color w:val="auto"/>
                    </w:rPr>
                    <w:t>65~70</w:t>
                  </w:r>
                </w:p>
              </w:tc>
              <w:tc>
                <w:tcPr>
                  <w:tcW w:w="1370" w:type="dxa"/>
                  <w:vMerge w:val="continue"/>
                  <w:tcBorders>
                    <w:left w:val="single" w:color="auto" w:sz="4" w:space="0"/>
                    <w:right w:val="single" w:color="auto" w:sz="4" w:space="0"/>
                  </w:tcBorders>
                  <w:vAlign w:val="center"/>
                </w:tcPr>
                <w:p>
                  <w:pPr>
                    <w:jc w:val="center"/>
                    <w:rPr>
                      <w:color w:val="auto"/>
                    </w:rPr>
                  </w:pPr>
                </w:p>
              </w:tc>
              <w:tc>
                <w:tcPr>
                  <w:tcW w:w="1370"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color w:val="auto"/>
                    </w:rPr>
                    <w:t>25dB(A)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59" w:type="dxa"/>
                  <w:tcBorders>
                    <w:top w:val="single" w:color="auto" w:sz="4" w:space="0"/>
                    <w:left w:val="single" w:color="auto" w:sz="4" w:space="0"/>
                    <w:bottom w:val="single" w:color="auto" w:sz="4" w:space="0"/>
                    <w:right w:val="single" w:color="auto" w:sz="4" w:space="0"/>
                  </w:tcBorders>
                  <w:vAlign w:val="center"/>
                </w:tcPr>
                <w:p>
                  <w:pPr>
                    <w:pStyle w:val="8"/>
                    <w:ind w:left="0"/>
                    <w:jc w:val="center"/>
                    <w:rPr>
                      <w:rFonts w:ascii="Times New Roman" w:hAnsi="Times New Roman" w:cs="Times New Roman"/>
                      <w:color w:val="auto"/>
                      <w:sz w:val="21"/>
                      <w:szCs w:val="21"/>
                    </w:rPr>
                  </w:pPr>
                  <w:r>
                    <w:rPr>
                      <w:rFonts w:hint="eastAsia" w:ascii="Times New Roman" w:hAnsi="Times New Roman" w:cs="Times New Roman"/>
                      <w:b w:val="0"/>
                      <w:bCs w:val="0"/>
                      <w:color w:val="auto"/>
                      <w:sz w:val="21"/>
                      <w:szCs w:val="21"/>
                      <w:lang w:val="en-US"/>
                    </w:rPr>
                    <w:t>9</w:t>
                  </w:r>
                </w:p>
              </w:tc>
              <w:tc>
                <w:tcPr>
                  <w:tcW w:w="214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auto"/>
                    </w:rPr>
                  </w:pPr>
                  <w:r>
                    <w:rPr>
                      <w:color w:val="auto"/>
                      <w:kern w:val="0"/>
                    </w:rPr>
                    <w:t>螺旋输送机</w:t>
                  </w:r>
                </w:p>
              </w:tc>
              <w:tc>
                <w:tcPr>
                  <w:tcW w:w="100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auto"/>
                    </w:rPr>
                  </w:pPr>
                  <w:r>
                    <w:rPr>
                      <w:color w:val="auto"/>
                      <w:kern w:val="0"/>
                    </w:rPr>
                    <w:t>60</w:t>
                  </w:r>
                </w:p>
              </w:tc>
              <w:tc>
                <w:tcPr>
                  <w:tcW w:w="1370"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color w:val="auto"/>
                    </w:rPr>
                    <w:t>65~</w:t>
                  </w:r>
                  <w:r>
                    <w:rPr>
                      <w:rFonts w:hint="eastAsia"/>
                      <w:color w:val="auto"/>
                    </w:rPr>
                    <w:t>80</w:t>
                  </w:r>
                </w:p>
              </w:tc>
              <w:tc>
                <w:tcPr>
                  <w:tcW w:w="1370" w:type="dxa"/>
                  <w:vMerge w:val="continue"/>
                  <w:tcBorders>
                    <w:left w:val="single" w:color="auto" w:sz="4" w:space="0"/>
                    <w:right w:val="single" w:color="auto" w:sz="4" w:space="0"/>
                  </w:tcBorders>
                  <w:vAlign w:val="center"/>
                </w:tcPr>
                <w:p>
                  <w:pPr>
                    <w:jc w:val="center"/>
                    <w:rPr>
                      <w:color w:val="auto"/>
                    </w:rPr>
                  </w:pPr>
                </w:p>
              </w:tc>
              <w:tc>
                <w:tcPr>
                  <w:tcW w:w="1370"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color w:val="auto"/>
                    </w:rPr>
                    <w:t>25dB(A)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59" w:type="dxa"/>
                  <w:tcBorders>
                    <w:top w:val="single" w:color="auto" w:sz="4" w:space="0"/>
                    <w:left w:val="single" w:color="auto" w:sz="4" w:space="0"/>
                    <w:bottom w:val="single" w:color="auto" w:sz="4" w:space="0"/>
                    <w:right w:val="single" w:color="auto" w:sz="4" w:space="0"/>
                  </w:tcBorders>
                  <w:vAlign w:val="center"/>
                </w:tcPr>
                <w:p>
                  <w:pPr>
                    <w:pStyle w:val="8"/>
                    <w:ind w:left="0"/>
                    <w:jc w:val="center"/>
                    <w:rPr>
                      <w:rFonts w:ascii="Times New Roman" w:hAnsi="Times New Roman" w:cs="Times New Roman"/>
                      <w:color w:val="auto"/>
                      <w:sz w:val="21"/>
                      <w:szCs w:val="21"/>
                    </w:rPr>
                  </w:pPr>
                  <w:r>
                    <w:rPr>
                      <w:rFonts w:hint="eastAsia" w:ascii="Times New Roman" w:hAnsi="Times New Roman" w:cs="Times New Roman"/>
                      <w:b w:val="0"/>
                      <w:bCs w:val="0"/>
                      <w:color w:val="auto"/>
                      <w:sz w:val="21"/>
                      <w:szCs w:val="21"/>
                      <w:lang w:val="en-US"/>
                    </w:rPr>
                    <w:t>10</w:t>
                  </w:r>
                </w:p>
              </w:tc>
              <w:tc>
                <w:tcPr>
                  <w:tcW w:w="214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auto"/>
                    </w:rPr>
                  </w:pPr>
                  <w:r>
                    <w:rPr>
                      <w:color w:val="auto"/>
                      <w:kern w:val="0"/>
                    </w:rPr>
                    <w:t>配料仓</w:t>
                  </w:r>
                </w:p>
              </w:tc>
              <w:tc>
                <w:tcPr>
                  <w:tcW w:w="100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auto"/>
                    </w:rPr>
                  </w:pPr>
                  <w:r>
                    <w:rPr>
                      <w:color w:val="auto"/>
                      <w:kern w:val="0"/>
                    </w:rPr>
                    <w:t>50</w:t>
                  </w:r>
                </w:p>
              </w:tc>
              <w:tc>
                <w:tcPr>
                  <w:tcW w:w="1370"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color w:val="auto"/>
                    </w:rPr>
                    <w:t>65~70</w:t>
                  </w:r>
                </w:p>
              </w:tc>
              <w:tc>
                <w:tcPr>
                  <w:tcW w:w="1370" w:type="dxa"/>
                  <w:vMerge w:val="continue"/>
                  <w:tcBorders>
                    <w:left w:val="single" w:color="auto" w:sz="4" w:space="0"/>
                    <w:right w:val="single" w:color="auto" w:sz="4" w:space="0"/>
                  </w:tcBorders>
                  <w:vAlign w:val="center"/>
                </w:tcPr>
                <w:p>
                  <w:pPr>
                    <w:jc w:val="center"/>
                    <w:rPr>
                      <w:color w:val="auto"/>
                    </w:rPr>
                  </w:pPr>
                </w:p>
              </w:tc>
              <w:tc>
                <w:tcPr>
                  <w:tcW w:w="1370"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color w:val="auto"/>
                    </w:rPr>
                    <w:t>25dB(A)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59" w:type="dxa"/>
                  <w:tcBorders>
                    <w:top w:val="single" w:color="auto" w:sz="4" w:space="0"/>
                    <w:left w:val="single" w:color="auto" w:sz="4" w:space="0"/>
                    <w:bottom w:val="single" w:color="auto" w:sz="4" w:space="0"/>
                    <w:right w:val="single" w:color="auto" w:sz="4" w:space="0"/>
                  </w:tcBorders>
                  <w:vAlign w:val="center"/>
                </w:tcPr>
                <w:p>
                  <w:pPr>
                    <w:pStyle w:val="8"/>
                    <w:ind w:left="0"/>
                    <w:jc w:val="center"/>
                    <w:rPr>
                      <w:rFonts w:ascii="Times New Roman" w:hAnsi="Times New Roman" w:cs="Times New Roman"/>
                      <w:color w:val="auto"/>
                      <w:sz w:val="21"/>
                      <w:szCs w:val="21"/>
                    </w:rPr>
                  </w:pPr>
                  <w:r>
                    <w:rPr>
                      <w:rFonts w:hint="eastAsia" w:ascii="Times New Roman" w:hAnsi="Times New Roman" w:cs="Times New Roman"/>
                      <w:b w:val="0"/>
                      <w:bCs w:val="0"/>
                      <w:color w:val="auto"/>
                      <w:sz w:val="21"/>
                      <w:szCs w:val="21"/>
                      <w:lang w:val="en-US"/>
                    </w:rPr>
                    <w:t>11</w:t>
                  </w:r>
                </w:p>
              </w:tc>
              <w:tc>
                <w:tcPr>
                  <w:tcW w:w="214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auto"/>
                    </w:rPr>
                  </w:pPr>
                  <w:r>
                    <w:rPr>
                      <w:color w:val="auto"/>
                      <w:kern w:val="0"/>
                    </w:rPr>
                    <w:t>单筒无动力除尘器</w:t>
                  </w:r>
                </w:p>
              </w:tc>
              <w:tc>
                <w:tcPr>
                  <w:tcW w:w="100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auto"/>
                    </w:rPr>
                  </w:pPr>
                  <w:r>
                    <w:rPr>
                      <w:color w:val="auto"/>
                    </w:rPr>
                    <w:t>6</w:t>
                  </w:r>
                </w:p>
              </w:tc>
              <w:tc>
                <w:tcPr>
                  <w:tcW w:w="1370"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color w:val="auto"/>
                    </w:rPr>
                    <w:t>65~</w:t>
                  </w:r>
                  <w:r>
                    <w:rPr>
                      <w:rFonts w:hint="eastAsia"/>
                      <w:color w:val="auto"/>
                    </w:rPr>
                    <w:t>80</w:t>
                  </w:r>
                </w:p>
              </w:tc>
              <w:tc>
                <w:tcPr>
                  <w:tcW w:w="1370" w:type="dxa"/>
                  <w:vMerge w:val="continue"/>
                  <w:tcBorders>
                    <w:left w:val="single" w:color="auto" w:sz="4" w:space="0"/>
                    <w:right w:val="single" w:color="auto" w:sz="4" w:space="0"/>
                  </w:tcBorders>
                  <w:vAlign w:val="center"/>
                </w:tcPr>
                <w:p>
                  <w:pPr>
                    <w:jc w:val="center"/>
                    <w:rPr>
                      <w:color w:val="auto"/>
                    </w:rPr>
                  </w:pPr>
                </w:p>
              </w:tc>
              <w:tc>
                <w:tcPr>
                  <w:tcW w:w="1370"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color w:val="auto"/>
                    </w:rPr>
                    <w:t>25dB(A)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59" w:type="dxa"/>
                  <w:tcBorders>
                    <w:top w:val="single" w:color="auto" w:sz="4" w:space="0"/>
                    <w:left w:val="single" w:color="auto" w:sz="4" w:space="0"/>
                    <w:bottom w:val="single" w:color="auto" w:sz="4" w:space="0"/>
                    <w:right w:val="single" w:color="auto" w:sz="4" w:space="0"/>
                  </w:tcBorders>
                  <w:vAlign w:val="center"/>
                </w:tcPr>
                <w:p>
                  <w:pPr>
                    <w:pStyle w:val="8"/>
                    <w:ind w:left="0"/>
                    <w:jc w:val="center"/>
                    <w:rPr>
                      <w:rFonts w:ascii="Times New Roman" w:hAnsi="Times New Roman" w:cs="Times New Roman"/>
                      <w:color w:val="auto"/>
                      <w:sz w:val="21"/>
                      <w:szCs w:val="21"/>
                    </w:rPr>
                  </w:pPr>
                  <w:r>
                    <w:rPr>
                      <w:rFonts w:hint="eastAsia" w:ascii="Times New Roman" w:hAnsi="Times New Roman" w:cs="Times New Roman"/>
                      <w:b w:val="0"/>
                      <w:bCs w:val="0"/>
                      <w:color w:val="auto"/>
                      <w:sz w:val="21"/>
                      <w:szCs w:val="21"/>
                      <w:lang w:val="en-US"/>
                    </w:rPr>
                    <w:t>12</w:t>
                  </w:r>
                </w:p>
              </w:tc>
              <w:tc>
                <w:tcPr>
                  <w:tcW w:w="214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auto"/>
                    </w:rPr>
                  </w:pPr>
                  <w:r>
                    <w:rPr>
                      <w:color w:val="auto"/>
                      <w:kern w:val="0"/>
                    </w:rPr>
                    <w:t>配料秤</w:t>
                  </w:r>
                </w:p>
              </w:tc>
              <w:tc>
                <w:tcPr>
                  <w:tcW w:w="100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auto"/>
                    </w:rPr>
                  </w:pPr>
                  <w:r>
                    <w:rPr>
                      <w:color w:val="auto"/>
                      <w:kern w:val="0"/>
                    </w:rPr>
                    <w:t>10</w:t>
                  </w:r>
                </w:p>
              </w:tc>
              <w:tc>
                <w:tcPr>
                  <w:tcW w:w="1370"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color w:val="auto"/>
                    </w:rPr>
                    <w:t>65~70</w:t>
                  </w:r>
                </w:p>
              </w:tc>
              <w:tc>
                <w:tcPr>
                  <w:tcW w:w="1370" w:type="dxa"/>
                  <w:vMerge w:val="continue"/>
                  <w:tcBorders>
                    <w:left w:val="single" w:color="auto" w:sz="4" w:space="0"/>
                    <w:right w:val="single" w:color="auto" w:sz="4" w:space="0"/>
                  </w:tcBorders>
                  <w:vAlign w:val="center"/>
                </w:tcPr>
                <w:p>
                  <w:pPr>
                    <w:jc w:val="center"/>
                    <w:rPr>
                      <w:color w:val="auto"/>
                    </w:rPr>
                  </w:pPr>
                </w:p>
              </w:tc>
              <w:tc>
                <w:tcPr>
                  <w:tcW w:w="1370"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color w:val="auto"/>
                    </w:rPr>
                    <w:t>25dB(A)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59" w:type="dxa"/>
                  <w:tcBorders>
                    <w:top w:val="single" w:color="auto" w:sz="4" w:space="0"/>
                    <w:left w:val="single" w:color="auto" w:sz="4" w:space="0"/>
                    <w:bottom w:val="single" w:color="auto" w:sz="4" w:space="0"/>
                    <w:right w:val="single" w:color="auto" w:sz="4" w:space="0"/>
                  </w:tcBorders>
                  <w:vAlign w:val="center"/>
                </w:tcPr>
                <w:p>
                  <w:pPr>
                    <w:pStyle w:val="8"/>
                    <w:ind w:left="0"/>
                    <w:jc w:val="center"/>
                    <w:rPr>
                      <w:rFonts w:ascii="Times New Roman" w:hAnsi="Times New Roman" w:cs="Times New Roman"/>
                      <w:color w:val="auto"/>
                      <w:sz w:val="21"/>
                      <w:szCs w:val="21"/>
                    </w:rPr>
                  </w:pPr>
                  <w:r>
                    <w:rPr>
                      <w:rFonts w:hint="eastAsia" w:ascii="Times New Roman" w:hAnsi="Times New Roman" w:cs="Times New Roman"/>
                      <w:b w:val="0"/>
                      <w:bCs w:val="0"/>
                      <w:color w:val="auto"/>
                      <w:sz w:val="21"/>
                      <w:szCs w:val="21"/>
                      <w:lang w:val="en-US"/>
                    </w:rPr>
                    <w:t>13</w:t>
                  </w:r>
                </w:p>
              </w:tc>
              <w:tc>
                <w:tcPr>
                  <w:tcW w:w="214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auto"/>
                    </w:rPr>
                  </w:pPr>
                  <w:r>
                    <w:rPr>
                      <w:color w:val="auto"/>
                      <w:kern w:val="0"/>
                    </w:rPr>
                    <w:t>双轴桨叶式高效混合机</w:t>
                  </w:r>
                </w:p>
              </w:tc>
              <w:tc>
                <w:tcPr>
                  <w:tcW w:w="100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auto"/>
                    </w:rPr>
                  </w:pPr>
                  <w:r>
                    <w:rPr>
                      <w:color w:val="auto"/>
                      <w:kern w:val="0"/>
                    </w:rPr>
                    <w:t>2</w:t>
                  </w:r>
                </w:p>
              </w:tc>
              <w:tc>
                <w:tcPr>
                  <w:tcW w:w="1370"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color w:val="auto"/>
                    </w:rPr>
                    <w:t>65~</w:t>
                  </w:r>
                  <w:r>
                    <w:rPr>
                      <w:rFonts w:hint="eastAsia"/>
                      <w:color w:val="auto"/>
                    </w:rPr>
                    <w:t>80</w:t>
                  </w:r>
                </w:p>
              </w:tc>
              <w:tc>
                <w:tcPr>
                  <w:tcW w:w="1370" w:type="dxa"/>
                  <w:vMerge w:val="continue"/>
                  <w:tcBorders>
                    <w:left w:val="single" w:color="auto" w:sz="4" w:space="0"/>
                    <w:right w:val="single" w:color="auto" w:sz="4" w:space="0"/>
                  </w:tcBorders>
                  <w:vAlign w:val="center"/>
                </w:tcPr>
                <w:p>
                  <w:pPr>
                    <w:jc w:val="center"/>
                    <w:rPr>
                      <w:color w:val="auto"/>
                    </w:rPr>
                  </w:pPr>
                </w:p>
              </w:tc>
              <w:tc>
                <w:tcPr>
                  <w:tcW w:w="1370"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color w:val="auto"/>
                    </w:rPr>
                    <w:t>25dB(A)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59" w:type="dxa"/>
                  <w:tcBorders>
                    <w:top w:val="single" w:color="auto" w:sz="4" w:space="0"/>
                    <w:left w:val="single" w:color="auto" w:sz="4" w:space="0"/>
                    <w:bottom w:val="single" w:color="auto" w:sz="4" w:space="0"/>
                    <w:right w:val="single" w:color="auto" w:sz="4" w:space="0"/>
                  </w:tcBorders>
                  <w:vAlign w:val="center"/>
                </w:tcPr>
                <w:p>
                  <w:pPr>
                    <w:pStyle w:val="8"/>
                    <w:ind w:left="0"/>
                    <w:jc w:val="center"/>
                    <w:rPr>
                      <w:rFonts w:ascii="Times New Roman" w:hAnsi="Times New Roman" w:cs="Times New Roman"/>
                      <w:color w:val="auto"/>
                      <w:sz w:val="21"/>
                      <w:szCs w:val="21"/>
                      <w:lang w:val="en-US"/>
                    </w:rPr>
                  </w:pPr>
                  <w:r>
                    <w:rPr>
                      <w:rFonts w:hint="eastAsia" w:ascii="Times New Roman" w:hAnsi="Times New Roman" w:cs="Times New Roman"/>
                      <w:b w:val="0"/>
                      <w:bCs w:val="0"/>
                      <w:color w:val="auto"/>
                      <w:sz w:val="21"/>
                      <w:szCs w:val="21"/>
                      <w:lang w:val="en-US"/>
                    </w:rPr>
                    <w:t>14</w:t>
                  </w:r>
                </w:p>
              </w:tc>
              <w:tc>
                <w:tcPr>
                  <w:tcW w:w="214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auto"/>
                    </w:rPr>
                  </w:pPr>
                  <w:r>
                    <w:rPr>
                      <w:color w:val="auto"/>
                      <w:kern w:val="0"/>
                    </w:rPr>
                    <w:t>糖蜜混合机</w:t>
                  </w:r>
                </w:p>
              </w:tc>
              <w:tc>
                <w:tcPr>
                  <w:tcW w:w="100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auto"/>
                    </w:rPr>
                  </w:pPr>
                  <w:r>
                    <w:rPr>
                      <w:color w:val="auto"/>
                      <w:kern w:val="0"/>
                    </w:rPr>
                    <w:t>1</w:t>
                  </w:r>
                </w:p>
              </w:tc>
              <w:tc>
                <w:tcPr>
                  <w:tcW w:w="1370"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color w:val="auto"/>
                    </w:rPr>
                    <w:t>65~70</w:t>
                  </w:r>
                </w:p>
              </w:tc>
              <w:tc>
                <w:tcPr>
                  <w:tcW w:w="1370" w:type="dxa"/>
                  <w:vMerge w:val="continue"/>
                  <w:tcBorders>
                    <w:left w:val="single" w:color="auto" w:sz="4" w:space="0"/>
                    <w:right w:val="single" w:color="auto" w:sz="4" w:space="0"/>
                  </w:tcBorders>
                  <w:vAlign w:val="center"/>
                </w:tcPr>
                <w:p>
                  <w:pPr>
                    <w:jc w:val="center"/>
                    <w:rPr>
                      <w:color w:val="auto"/>
                    </w:rPr>
                  </w:pPr>
                </w:p>
              </w:tc>
              <w:tc>
                <w:tcPr>
                  <w:tcW w:w="1370"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color w:val="auto"/>
                    </w:rPr>
                    <w:t>25dB(A)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59" w:type="dxa"/>
                  <w:tcBorders>
                    <w:top w:val="single" w:color="auto" w:sz="4" w:space="0"/>
                    <w:left w:val="single" w:color="auto" w:sz="4" w:space="0"/>
                    <w:bottom w:val="single" w:color="auto" w:sz="4" w:space="0"/>
                    <w:right w:val="single" w:color="auto" w:sz="4" w:space="0"/>
                  </w:tcBorders>
                  <w:vAlign w:val="center"/>
                </w:tcPr>
                <w:p>
                  <w:pPr>
                    <w:pStyle w:val="8"/>
                    <w:ind w:left="0"/>
                    <w:jc w:val="center"/>
                    <w:rPr>
                      <w:rFonts w:ascii="Times New Roman" w:hAnsi="Times New Roman" w:cs="Times New Roman"/>
                      <w:color w:val="auto"/>
                      <w:sz w:val="21"/>
                      <w:szCs w:val="21"/>
                      <w:lang w:val="en-US"/>
                    </w:rPr>
                  </w:pPr>
                  <w:r>
                    <w:rPr>
                      <w:rFonts w:hint="eastAsia" w:ascii="Times New Roman" w:hAnsi="Times New Roman" w:cs="Times New Roman"/>
                      <w:b w:val="0"/>
                      <w:bCs w:val="0"/>
                      <w:color w:val="auto"/>
                      <w:sz w:val="21"/>
                      <w:szCs w:val="21"/>
                      <w:lang w:val="en-US"/>
                    </w:rPr>
                    <w:t>15</w:t>
                  </w:r>
                </w:p>
              </w:tc>
              <w:tc>
                <w:tcPr>
                  <w:tcW w:w="214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auto"/>
                    </w:rPr>
                  </w:pPr>
                  <w:r>
                    <w:rPr>
                      <w:color w:val="auto"/>
                      <w:kern w:val="0"/>
                    </w:rPr>
                    <w:t>制粒仓</w:t>
                  </w:r>
                </w:p>
              </w:tc>
              <w:tc>
                <w:tcPr>
                  <w:tcW w:w="100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auto"/>
                    </w:rPr>
                  </w:pPr>
                  <w:r>
                    <w:rPr>
                      <w:color w:val="auto"/>
                    </w:rPr>
                    <w:t>3</w:t>
                  </w:r>
                </w:p>
              </w:tc>
              <w:tc>
                <w:tcPr>
                  <w:tcW w:w="1370"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color w:val="auto"/>
                    </w:rPr>
                    <w:t>65~</w:t>
                  </w:r>
                  <w:r>
                    <w:rPr>
                      <w:rFonts w:hint="eastAsia"/>
                      <w:color w:val="auto"/>
                    </w:rPr>
                    <w:t>80</w:t>
                  </w:r>
                </w:p>
              </w:tc>
              <w:tc>
                <w:tcPr>
                  <w:tcW w:w="1370" w:type="dxa"/>
                  <w:vMerge w:val="continue"/>
                  <w:tcBorders>
                    <w:left w:val="single" w:color="auto" w:sz="4" w:space="0"/>
                    <w:right w:val="single" w:color="auto" w:sz="4" w:space="0"/>
                  </w:tcBorders>
                  <w:vAlign w:val="center"/>
                </w:tcPr>
                <w:p>
                  <w:pPr>
                    <w:jc w:val="center"/>
                    <w:rPr>
                      <w:color w:val="auto"/>
                    </w:rPr>
                  </w:pPr>
                </w:p>
              </w:tc>
              <w:tc>
                <w:tcPr>
                  <w:tcW w:w="1370"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color w:val="auto"/>
                    </w:rPr>
                    <w:t>25dB(A)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59" w:type="dxa"/>
                  <w:tcBorders>
                    <w:top w:val="single" w:color="auto" w:sz="4" w:space="0"/>
                    <w:left w:val="single" w:color="auto" w:sz="4" w:space="0"/>
                    <w:bottom w:val="single" w:color="auto" w:sz="4" w:space="0"/>
                    <w:right w:val="single" w:color="auto" w:sz="4" w:space="0"/>
                  </w:tcBorders>
                  <w:vAlign w:val="center"/>
                </w:tcPr>
                <w:p>
                  <w:pPr>
                    <w:pStyle w:val="8"/>
                    <w:ind w:left="0"/>
                    <w:jc w:val="center"/>
                    <w:rPr>
                      <w:rFonts w:ascii="Times New Roman" w:hAnsi="Times New Roman" w:cs="Times New Roman"/>
                      <w:color w:val="auto"/>
                      <w:sz w:val="21"/>
                      <w:szCs w:val="21"/>
                      <w:lang w:val="en-US"/>
                    </w:rPr>
                  </w:pPr>
                  <w:r>
                    <w:rPr>
                      <w:rFonts w:hint="eastAsia" w:ascii="Times New Roman" w:hAnsi="Times New Roman" w:cs="Times New Roman"/>
                      <w:b w:val="0"/>
                      <w:bCs w:val="0"/>
                      <w:color w:val="auto"/>
                      <w:sz w:val="21"/>
                      <w:szCs w:val="21"/>
                      <w:lang w:val="en-US"/>
                    </w:rPr>
                    <w:t>16</w:t>
                  </w:r>
                </w:p>
              </w:tc>
              <w:tc>
                <w:tcPr>
                  <w:tcW w:w="214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auto"/>
                    </w:rPr>
                  </w:pPr>
                  <w:r>
                    <w:rPr>
                      <w:color w:val="auto"/>
                      <w:kern w:val="0"/>
                    </w:rPr>
                    <w:t>环模制粒机</w:t>
                  </w:r>
                </w:p>
              </w:tc>
              <w:tc>
                <w:tcPr>
                  <w:tcW w:w="100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auto"/>
                    </w:rPr>
                  </w:pPr>
                  <w:r>
                    <w:rPr>
                      <w:color w:val="auto"/>
                      <w:kern w:val="0"/>
                    </w:rPr>
                    <w:t>2</w:t>
                  </w:r>
                </w:p>
              </w:tc>
              <w:tc>
                <w:tcPr>
                  <w:tcW w:w="1370"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color w:val="auto"/>
                    </w:rPr>
                    <w:t>65~70</w:t>
                  </w:r>
                </w:p>
              </w:tc>
              <w:tc>
                <w:tcPr>
                  <w:tcW w:w="1370" w:type="dxa"/>
                  <w:vMerge w:val="continue"/>
                  <w:tcBorders>
                    <w:left w:val="single" w:color="auto" w:sz="4" w:space="0"/>
                    <w:right w:val="single" w:color="auto" w:sz="4" w:space="0"/>
                  </w:tcBorders>
                  <w:vAlign w:val="center"/>
                </w:tcPr>
                <w:p>
                  <w:pPr>
                    <w:jc w:val="center"/>
                    <w:rPr>
                      <w:color w:val="auto"/>
                    </w:rPr>
                  </w:pPr>
                </w:p>
              </w:tc>
              <w:tc>
                <w:tcPr>
                  <w:tcW w:w="1370"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color w:val="auto"/>
                    </w:rPr>
                    <w:t>25dB(A)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959" w:type="dxa"/>
                  <w:tcBorders>
                    <w:top w:val="single" w:color="auto" w:sz="4" w:space="0"/>
                    <w:left w:val="single" w:color="auto" w:sz="4" w:space="0"/>
                    <w:bottom w:val="single" w:color="auto" w:sz="4" w:space="0"/>
                    <w:right w:val="single" w:color="auto" w:sz="4" w:space="0"/>
                  </w:tcBorders>
                  <w:vAlign w:val="center"/>
                </w:tcPr>
                <w:p>
                  <w:pPr>
                    <w:pStyle w:val="8"/>
                    <w:ind w:left="0"/>
                    <w:jc w:val="center"/>
                    <w:rPr>
                      <w:rFonts w:ascii="Times New Roman" w:hAnsi="Times New Roman" w:cs="Times New Roman"/>
                      <w:color w:val="auto"/>
                      <w:sz w:val="21"/>
                      <w:szCs w:val="21"/>
                      <w:lang w:val="en-US"/>
                    </w:rPr>
                  </w:pPr>
                  <w:r>
                    <w:rPr>
                      <w:rFonts w:hint="eastAsia" w:ascii="Times New Roman" w:hAnsi="Times New Roman" w:cs="Times New Roman"/>
                      <w:b w:val="0"/>
                      <w:bCs w:val="0"/>
                      <w:color w:val="auto"/>
                      <w:sz w:val="21"/>
                      <w:szCs w:val="21"/>
                      <w:lang w:val="en-US"/>
                    </w:rPr>
                    <w:t>17</w:t>
                  </w:r>
                </w:p>
              </w:tc>
              <w:tc>
                <w:tcPr>
                  <w:tcW w:w="214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auto"/>
                    </w:rPr>
                  </w:pPr>
                  <w:r>
                    <w:rPr>
                      <w:color w:val="auto"/>
                      <w:kern w:val="0"/>
                    </w:rPr>
                    <w:t>叶轮冷却器</w:t>
                  </w:r>
                </w:p>
              </w:tc>
              <w:tc>
                <w:tcPr>
                  <w:tcW w:w="100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auto"/>
                    </w:rPr>
                  </w:pPr>
                  <w:r>
                    <w:rPr>
                      <w:color w:val="auto"/>
                      <w:kern w:val="0"/>
                    </w:rPr>
                    <w:t>2</w:t>
                  </w:r>
                </w:p>
              </w:tc>
              <w:tc>
                <w:tcPr>
                  <w:tcW w:w="1370"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color w:val="auto"/>
                    </w:rPr>
                    <w:t>65~</w:t>
                  </w:r>
                  <w:r>
                    <w:rPr>
                      <w:rFonts w:hint="eastAsia"/>
                      <w:color w:val="auto"/>
                    </w:rPr>
                    <w:t>80</w:t>
                  </w:r>
                </w:p>
              </w:tc>
              <w:tc>
                <w:tcPr>
                  <w:tcW w:w="1370" w:type="dxa"/>
                  <w:vMerge w:val="continue"/>
                  <w:tcBorders>
                    <w:left w:val="single" w:color="auto" w:sz="4" w:space="0"/>
                    <w:right w:val="single" w:color="auto" w:sz="4" w:space="0"/>
                  </w:tcBorders>
                  <w:vAlign w:val="center"/>
                </w:tcPr>
                <w:p>
                  <w:pPr>
                    <w:jc w:val="center"/>
                    <w:rPr>
                      <w:color w:val="auto"/>
                    </w:rPr>
                  </w:pPr>
                </w:p>
              </w:tc>
              <w:tc>
                <w:tcPr>
                  <w:tcW w:w="1370"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color w:val="auto"/>
                    </w:rPr>
                    <w:t>25dB(A)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59" w:type="dxa"/>
                  <w:tcBorders>
                    <w:top w:val="single" w:color="auto" w:sz="4" w:space="0"/>
                    <w:left w:val="single" w:color="auto" w:sz="4" w:space="0"/>
                    <w:bottom w:val="single" w:color="auto" w:sz="4" w:space="0"/>
                    <w:right w:val="single" w:color="auto" w:sz="4" w:space="0"/>
                  </w:tcBorders>
                  <w:vAlign w:val="center"/>
                </w:tcPr>
                <w:p>
                  <w:pPr>
                    <w:pStyle w:val="8"/>
                    <w:ind w:left="0"/>
                    <w:jc w:val="center"/>
                    <w:rPr>
                      <w:rFonts w:ascii="Times New Roman" w:hAnsi="Times New Roman" w:cs="Times New Roman"/>
                      <w:color w:val="auto"/>
                      <w:sz w:val="21"/>
                      <w:szCs w:val="21"/>
                      <w:lang w:val="en-US"/>
                    </w:rPr>
                  </w:pPr>
                  <w:r>
                    <w:rPr>
                      <w:rFonts w:hint="eastAsia" w:ascii="Times New Roman" w:hAnsi="Times New Roman" w:cs="Times New Roman"/>
                      <w:b w:val="0"/>
                      <w:bCs w:val="0"/>
                      <w:color w:val="auto"/>
                      <w:sz w:val="21"/>
                      <w:szCs w:val="21"/>
                      <w:lang w:val="en-US"/>
                    </w:rPr>
                    <w:t>18</w:t>
                  </w:r>
                </w:p>
              </w:tc>
              <w:tc>
                <w:tcPr>
                  <w:tcW w:w="214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auto"/>
                    </w:rPr>
                  </w:pPr>
                  <w:r>
                    <w:rPr>
                      <w:color w:val="auto"/>
                      <w:kern w:val="0"/>
                    </w:rPr>
                    <w:t>成品仓</w:t>
                  </w:r>
                </w:p>
              </w:tc>
              <w:tc>
                <w:tcPr>
                  <w:tcW w:w="100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auto"/>
                    </w:rPr>
                  </w:pPr>
                  <w:r>
                    <w:rPr>
                      <w:color w:val="auto"/>
                    </w:rPr>
                    <w:t>10</w:t>
                  </w:r>
                </w:p>
              </w:tc>
              <w:tc>
                <w:tcPr>
                  <w:tcW w:w="1370"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color w:val="auto"/>
                    </w:rPr>
                    <w:t>65~70</w:t>
                  </w:r>
                </w:p>
              </w:tc>
              <w:tc>
                <w:tcPr>
                  <w:tcW w:w="1370" w:type="dxa"/>
                  <w:vMerge w:val="continue"/>
                  <w:tcBorders>
                    <w:left w:val="single" w:color="auto" w:sz="4" w:space="0"/>
                    <w:right w:val="single" w:color="auto" w:sz="4" w:space="0"/>
                  </w:tcBorders>
                  <w:vAlign w:val="center"/>
                </w:tcPr>
                <w:p>
                  <w:pPr>
                    <w:jc w:val="center"/>
                    <w:rPr>
                      <w:color w:val="auto"/>
                    </w:rPr>
                  </w:pPr>
                </w:p>
              </w:tc>
              <w:tc>
                <w:tcPr>
                  <w:tcW w:w="1370"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color w:val="auto"/>
                    </w:rPr>
                    <w:t>25dB(A)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59" w:type="dxa"/>
                  <w:tcBorders>
                    <w:top w:val="single" w:color="auto" w:sz="4" w:space="0"/>
                    <w:left w:val="single" w:color="auto" w:sz="4" w:space="0"/>
                    <w:bottom w:val="single" w:color="auto" w:sz="4" w:space="0"/>
                    <w:right w:val="single" w:color="auto" w:sz="4" w:space="0"/>
                  </w:tcBorders>
                  <w:vAlign w:val="center"/>
                </w:tcPr>
                <w:p>
                  <w:pPr>
                    <w:pStyle w:val="8"/>
                    <w:ind w:left="0"/>
                    <w:jc w:val="center"/>
                    <w:rPr>
                      <w:rFonts w:ascii="Times New Roman" w:hAnsi="Times New Roman" w:cs="Times New Roman"/>
                      <w:color w:val="auto"/>
                      <w:sz w:val="21"/>
                      <w:szCs w:val="21"/>
                      <w:lang w:val="en-US"/>
                    </w:rPr>
                  </w:pPr>
                  <w:r>
                    <w:rPr>
                      <w:rFonts w:hint="eastAsia" w:ascii="Times New Roman" w:hAnsi="Times New Roman" w:cs="Times New Roman"/>
                      <w:b w:val="0"/>
                      <w:bCs w:val="0"/>
                      <w:color w:val="auto"/>
                      <w:sz w:val="21"/>
                      <w:szCs w:val="21"/>
                      <w:lang w:val="en-US"/>
                    </w:rPr>
                    <w:t>19</w:t>
                  </w:r>
                </w:p>
              </w:tc>
              <w:tc>
                <w:tcPr>
                  <w:tcW w:w="214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auto"/>
                    </w:rPr>
                  </w:pPr>
                  <w:r>
                    <w:rPr>
                      <w:color w:val="auto"/>
                      <w:kern w:val="0"/>
                    </w:rPr>
                    <w:t>打包缓冲斗</w:t>
                  </w:r>
                </w:p>
              </w:tc>
              <w:tc>
                <w:tcPr>
                  <w:tcW w:w="100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auto"/>
                    </w:rPr>
                  </w:pPr>
                  <w:r>
                    <w:rPr>
                      <w:color w:val="auto"/>
                      <w:kern w:val="0"/>
                    </w:rPr>
                    <w:t>2</w:t>
                  </w:r>
                </w:p>
              </w:tc>
              <w:tc>
                <w:tcPr>
                  <w:tcW w:w="1370"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color w:val="auto"/>
                    </w:rPr>
                    <w:t>65~</w:t>
                  </w:r>
                  <w:r>
                    <w:rPr>
                      <w:rFonts w:hint="eastAsia"/>
                      <w:color w:val="auto"/>
                    </w:rPr>
                    <w:t>80</w:t>
                  </w:r>
                </w:p>
              </w:tc>
              <w:tc>
                <w:tcPr>
                  <w:tcW w:w="1370" w:type="dxa"/>
                  <w:vMerge w:val="continue"/>
                  <w:tcBorders>
                    <w:left w:val="single" w:color="auto" w:sz="4" w:space="0"/>
                    <w:right w:val="single" w:color="auto" w:sz="4" w:space="0"/>
                  </w:tcBorders>
                  <w:vAlign w:val="center"/>
                </w:tcPr>
                <w:p>
                  <w:pPr>
                    <w:jc w:val="center"/>
                    <w:rPr>
                      <w:color w:val="auto"/>
                    </w:rPr>
                  </w:pPr>
                </w:p>
              </w:tc>
              <w:tc>
                <w:tcPr>
                  <w:tcW w:w="1370"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color w:val="auto"/>
                    </w:rPr>
                    <w:t>25dB(A)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59" w:type="dxa"/>
                  <w:tcBorders>
                    <w:top w:val="single" w:color="auto" w:sz="4" w:space="0"/>
                    <w:left w:val="single" w:color="auto" w:sz="4" w:space="0"/>
                    <w:bottom w:val="single" w:color="auto" w:sz="4" w:space="0"/>
                    <w:right w:val="single" w:color="auto" w:sz="4" w:space="0"/>
                  </w:tcBorders>
                  <w:vAlign w:val="center"/>
                </w:tcPr>
                <w:p>
                  <w:pPr>
                    <w:pStyle w:val="8"/>
                    <w:ind w:left="0"/>
                    <w:jc w:val="center"/>
                    <w:rPr>
                      <w:rFonts w:ascii="Times New Roman" w:hAnsi="Times New Roman" w:cs="Times New Roman"/>
                      <w:color w:val="auto"/>
                      <w:sz w:val="21"/>
                      <w:szCs w:val="21"/>
                      <w:lang w:val="en-US"/>
                    </w:rPr>
                  </w:pPr>
                  <w:r>
                    <w:rPr>
                      <w:rFonts w:hint="eastAsia" w:ascii="Times New Roman" w:hAnsi="Times New Roman" w:cs="Times New Roman"/>
                      <w:b w:val="0"/>
                      <w:bCs w:val="0"/>
                      <w:color w:val="auto"/>
                      <w:sz w:val="21"/>
                      <w:szCs w:val="21"/>
                      <w:lang w:val="en-US"/>
                    </w:rPr>
                    <w:t>20</w:t>
                  </w:r>
                </w:p>
              </w:tc>
              <w:tc>
                <w:tcPr>
                  <w:tcW w:w="214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auto"/>
                    </w:rPr>
                  </w:pPr>
                  <w:r>
                    <w:rPr>
                      <w:color w:val="auto"/>
                      <w:kern w:val="0"/>
                    </w:rPr>
                    <w:t>打包秤</w:t>
                  </w:r>
                </w:p>
              </w:tc>
              <w:tc>
                <w:tcPr>
                  <w:tcW w:w="100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auto"/>
                    </w:rPr>
                  </w:pPr>
                  <w:r>
                    <w:rPr>
                      <w:color w:val="auto"/>
                    </w:rPr>
                    <w:t>2</w:t>
                  </w:r>
                </w:p>
              </w:tc>
              <w:tc>
                <w:tcPr>
                  <w:tcW w:w="1370"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color w:val="auto"/>
                    </w:rPr>
                    <w:t>65~70</w:t>
                  </w:r>
                </w:p>
              </w:tc>
              <w:tc>
                <w:tcPr>
                  <w:tcW w:w="1370" w:type="dxa"/>
                  <w:vMerge w:val="continue"/>
                  <w:tcBorders>
                    <w:left w:val="single" w:color="auto" w:sz="4" w:space="0"/>
                    <w:right w:val="single" w:color="auto" w:sz="4" w:space="0"/>
                  </w:tcBorders>
                  <w:vAlign w:val="center"/>
                </w:tcPr>
                <w:p>
                  <w:pPr>
                    <w:jc w:val="center"/>
                    <w:rPr>
                      <w:color w:val="auto"/>
                    </w:rPr>
                  </w:pPr>
                </w:p>
              </w:tc>
              <w:tc>
                <w:tcPr>
                  <w:tcW w:w="1370"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color w:val="auto"/>
                    </w:rPr>
                    <w:t>25dB(A)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59" w:type="dxa"/>
                  <w:tcBorders>
                    <w:top w:val="single" w:color="auto" w:sz="4" w:space="0"/>
                    <w:left w:val="single" w:color="auto" w:sz="4" w:space="0"/>
                    <w:bottom w:val="single" w:color="auto" w:sz="4" w:space="0"/>
                    <w:right w:val="single" w:color="auto" w:sz="4" w:space="0"/>
                  </w:tcBorders>
                  <w:vAlign w:val="center"/>
                </w:tcPr>
                <w:p>
                  <w:pPr>
                    <w:pStyle w:val="8"/>
                    <w:ind w:left="0"/>
                    <w:jc w:val="center"/>
                    <w:rPr>
                      <w:rFonts w:ascii="Times New Roman" w:hAnsi="Times New Roman" w:cs="Times New Roman"/>
                      <w:color w:val="auto"/>
                      <w:sz w:val="21"/>
                      <w:szCs w:val="21"/>
                      <w:lang w:val="en-US"/>
                    </w:rPr>
                  </w:pPr>
                  <w:r>
                    <w:rPr>
                      <w:rFonts w:hint="eastAsia" w:ascii="Times New Roman" w:hAnsi="Times New Roman" w:cs="Times New Roman"/>
                      <w:b w:val="0"/>
                      <w:bCs w:val="0"/>
                      <w:color w:val="auto"/>
                      <w:sz w:val="21"/>
                      <w:szCs w:val="21"/>
                      <w:lang w:val="en-US"/>
                    </w:rPr>
                    <w:t>21</w:t>
                  </w:r>
                </w:p>
              </w:tc>
              <w:tc>
                <w:tcPr>
                  <w:tcW w:w="214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auto"/>
                    </w:rPr>
                  </w:pPr>
                  <w:r>
                    <w:rPr>
                      <w:color w:val="auto"/>
                      <w:kern w:val="0"/>
                    </w:rPr>
                    <w:t>缝包输送机</w:t>
                  </w:r>
                </w:p>
              </w:tc>
              <w:tc>
                <w:tcPr>
                  <w:tcW w:w="100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auto"/>
                    </w:rPr>
                  </w:pPr>
                  <w:r>
                    <w:rPr>
                      <w:color w:val="auto"/>
                      <w:kern w:val="0"/>
                    </w:rPr>
                    <w:t>2</w:t>
                  </w:r>
                </w:p>
              </w:tc>
              <w:tc>
                <w:tcPr>
                  <w:tcW w:w="1370"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color w:val="auto"/>
                    </w:rPr>
                    <w:t>65~</w:t>
                  </w:r>
                  <w:r>
                    <w:rPr>
                      <w:rFonts w:hint="eastAsia"/>
                      <w:color w:val="auto"/>
                    </w:rPr>
                    <w:t>80</w:t>
                  </w:r>
                </w:p>
              </w:tc>
              <w:tc>
                <w:tcPr>
                  <w:tcW w:w="1370" w:type="dxa"/>
                  <w:vMerge w:val="continue"/>
                  <w:tcBorders>
                    <w:left w:val="single" w:color="auto" w:sz="4" w:space="0"/>
                    <w:right w:val="single" w:color="auto" w:sz="4" w:space="0"/>
                  </w:tcBorders>
                  <w:vAlign w:val="center"/>
                </w:tcPr>
                <w:p>
                  <w:pPr>
                    <w:jc w:val="center"/>
                    <w:rPr>
                      <w:color w:val="auto"/>
                    </w:rPr>
                  </w:pPr>
                </w:p>
              </w:tc>
              <w:tc>
                <w:tcPr>
                  <w:tcW w:w="1370"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color w:val="auto"/>
                    </w:rPr>
                    <w:t>25dB(A)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59" w:type="dxa"/>
                  <w:tcBorders>
                    <w:top w:val="single" w:color="auto" w:sz="4" w:space="0"/>
                    <w:left w:val="single" w:color="auto" w:sz="4" w:space="0"/>
                    <w:bottom w:val="single" w:color="auto" w:sz="4" w:space="0"/>
                    <w:right w:val="single" w:color="auto" w:sz="4" w:space="0"/>
                  </w:tcBorders>
                  <w:vAlign w:val="center"/>
                </w:tcPr>
                <w:p>
                  <w:pPr>
                    <w:pStyle w:val="8"/>
                    <w:ind w:left="0"/>
                    <w:jc w:val="center"/>
                    <w:rPr>
                      <w:rFonts w:ascii="Times New Roman" w:hAnsi="Times New Roman" w:cs="Times New Roman"/>
                      <w:color w:val="auto"/>
                      <w:sz w:val="21"/>
                      <w:szCs w:val="21"/>
                      <w:lang w:val="en-US"/>
                    </w:rPr>
                  </w:pPr>
                  <w:r>
                    <w:rPr>
                      <w:rFonts w:hint="eastAsia" w:ascii="Times New Roman" w:hAnsi="Times New Roman" w:cs="Times New Roman"/>
                      <w:b w:val="0"/>
                      <w:bCs w:val="0"/>
                      <w:color w:val="auto"/>
                      <w:sz w:val="21"/>
                      <w:szCs w:val="21"/>
                      <w:lang w:val="en-US"/>
                    </w:rPr>
                    <w:t>22</w:t>
                  </w:r>
                </w:p>
              </w:tc>
              <w:tc>
                <w:tcPr>
                  <w:tcW w:w="214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auto"/>
                    </w:rPr>
                  </w:pPr>
                  <w:r>
                    <w:rPr>
                      <w:color w:val="auto"/>
                      <w:kern w:val="0"/>
                    </w:rPr>
                    <w:t>玉米脱皮机</w:t>
                  </w:r>
                </w:p>
              </w:tc>
              <w:tc>
                <w:tcPr>
                  <w:tcW w:w="100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auto"/>
                    </w:rPr>
                  </w:pPr>
                  <w:r>
                    <w:rPr>
                      <w:color w:val="auto"/>
                      <w:kern w:val="0"/>
                    </w:rPr>
                    <w:t>1</w:t>
                  </w:r>
                </w:p>
              </w:tc>
              <w:tc>
                <w:tcPr>
                  <w:tcW w:w="1370"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color w:val="auto"/>
                    </w:rPr>
                    <w:t>65~70</w:t>
                  </w:r>
                </w:p>
              </w:tc>
              <w:tc>
                <w:tcPr>
                  <w:tcW w:w="1370" w:type="dxa"/>
                  <w:vMerge w:val="continue"/>
                  <w:tcBorders>
                    <w:left w:val="single" w:color="auto" w:sz="4" w:space="0"/>
                    <w:right w:val="single" w:color="auto" w:sz="4" w:space="0"/>
                  </w:tcBorders>
                  <w:vAlign w:val="center"/>
                </w:tcPr>
                <w:p>
                  <w:pPr>
                    <w:jc w:val="center"/>
                    <w:rPr>
                      <w:color w:val="auto"/>
                    </w:rPr>
                  </w:pPr>
                </w:p>
              </w:tc>
              <w:tc>
                <w:tcPr>
                  <w:tcW w:w="1370"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color w:val="auto"/>
                    </w:rPr>
                    <w:t>25dB(A)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59" w:type="dxa"/>
                  <w:tcBorders>
                    <w:top w:val="single" w:color="auto" w:sz="4" w:space="0"/>
                    <w:left w:val="single" w:color="auto" w:sz="4" w:space="0"/>
                    <w:right w:val="single" w:color="auto" w:sz="4" w:space="0"/>
                  </w:tcBorders>
                  <w:vAlign w:val="center"/>
                </w:tcPr>
                <w:p>
                  <w:pPr>
                    <w:pStyle w:val="8"/>
                    <w:ind w:left="0"/>
                    <w:jc w:val="center"/>
                    <w:rPr>
                      <w:rFonts w:ascii="Times New Roman" w:hAnsi="Times New Roman" w:cs="Times New Roman"/>
                      <w:color w:val="auto"/>
                      <w:sz w:val="21"/>
                      <w:szCs w:val="21"/>
                      <w:lang w:val="en-US"/>
                    </w:rPr>
                  </w:pPr>
                  <w:r>
                    <w:rPr>
                      <w:rFonts w:hint="eastAsia" w:ascii="Times New Roman" w:hAnsi="Times New Roman" w:cs="Times New Roman"/>
                      <w:b w:val="0"/>
                      <w:bCs w:val="0"/>
                      <w:color w:val="auto"/>
                      <w:sz w:val="21"/>
                      <w:szCs w:val="21"/>
                      <w:lang w:val="en-US"/>
                    </w:rPr>
                    <w:t>23</w:t>
                  </w:r>
                </w:p>
              </w:tc>
              <w:tc>
                <w:tcPr>
                  <w:tcW w:w="2145" w:type="dxa"/>
                  <w:tcBorders>
                    <w:top w:val="single" w:color="auto" w:sz="4" w:space="0"/>
                    <w:left w:val="single" w:color="auto" w:sz="4" w:space="0"/>
                    <w:right w:val="single" w:color="auto" w:sz="4" w:space="0"/>
                  </w:tcBorders>
                  <w:vAlign w:val="center"/>
                </w:tcPr>
                <w:p>
                  <w:pPr>
                    <w:widowControl/>
                    <w:jc w:val="center"/>
                    <w:textAlignment w:val="center"/>
                    <w:rPr>
                      <w:color w:val="auto"/>
                    </w:rPr>
                  </w:pPr>
                  <w:r>
                    <w:rPr>
                      <w:color w:val="auto"/>
                      <w:kern w:val="0"/>
                    </w:rPr>
                    <w:t>泵送系统</w:t>
                  </w:r>
                </w:p>
              </w:tc>
              <w:tc>
                <w:tcPr>
                  <w:tcW w:w="1005" w:type="dxa"/>
                  <w:tcBorders>
                    <w:top w:val="single" w:color="auto" w:sz="4" w:space="0"/>
                    <w:left w:val="single" w:color="auto" w:sz="4" w:space="0"/>
                    <w:right w:val="single" w:color="auto" w:sz="4" w:space="0"/>
                  </w:tcBorders>
                  <w:vAlign w:val="center"/>
                </w:tcPr>
                <w:p>
                  <w:pPr>
                    <w:widowControl/>
                    <w:jc w:val="center"/>
                    <w:textAlignment w:val="center"/>
                    <w:rPr>
                      <w:color w:val="auto"/>
                    </w:rPr>
                  </w:pPr>
                  <w:r>
                    <w:rPr>
                      <w:color w:val="auto"/>
                    </w:rPr>
                    <w:t>4</w:t>
                  </w:r>
                </w:p>
              </w:tc>
              <w:tc>
                <w:tcPr>
                  <w:tcW w:w="1370" w:type="dxa"/>
                  <w:tcBorders>
                    <w:top w:val="single" w:color="auto" w:sz="4" w:space="0"/>
                    <w:left w:val="single" w:color="auto" w:sz="4" w:space="0"/>
                    <w:right w:val="single" w:color="auto" w:sz="4" w:space="0"/>
                  </w:tcBorders>
                  <w:vAlign w:val="center"/>
                </w:tcPr>
                <w:p>
                  <w:pPr>
                    <w:jc w:val="center"/>
                    <w:rPr>
                      <w:color w:val="auto"/>
                    </w:rPr>
                  </w:pPr>
                  <w:r>
                    <w:rPr>
                      <w:color w:val="auto"/>
                    </w:rPr>
                    <w:t>65~70</w:t>
                  </w:r>
                </w:p>
              </w:tc>
              <w:tc>
                <w:tcPr>
                  <w:tcW w:w="1370" w:type="dxa"/>
                  <w:vMerge w:val="continue"/>
                  <w:tcBorders>
                    <w:left w:val="single" w:color="auto" w:sz="4" w:space="0"/>
                    <w:right w:val="single" w:color="auto" w:sz="4" w:space="0"/>
                  </w:tcBorders>
                  <w:vAlign w:val="center"/>
                </w:tcPr>
                <w:p>
                  <w:pPr>
                    <w:jc w:val="center"/>
                    <w:rPr>
                      <w:color w:val="auto"/>
                    </w:rPr>
                  </w:pPr>
                </w:p>
              </w:tc>
              <w:tc>
                <w:tcPr>
                  <w:tcW w:w="1370"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color w:val="auto"/>
                    </w:rPr>
                    <w:t>25dB(A)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959" w:type="dxa"/>
                  <w:tcBorders>
                    <w:top w:val="single" w:color="auto" w:sz="4" w:space="0"/>
                    <w:left w:val="single" w:color="auto" w:sz="4" w:space="0"/>
                    <w:bottom w:val="single" w:color="auto" w:sz="4" w:space="0"/>
                    <w:right w:val="single" w:color="auto" w:sz="4" w:space="0"/>
                  </w:tcBorders>
                  <w:vAlign w:val="center"/>
                </w:tcPr>
                <w:p>
                  <w:pPr>
                    <w:pStyle w:val="8"/>
                    <w:ind w:left="0"/>
                    <w:jc w:val="center"/>
                    <w:rPr>
                      <w:rFonts w:ascii="Times New Roman" w:hAnsi="Times New Roman" w:cs="Times New Roman"/>
                      <w:color w:val="auto"/>
                      <w:sz w:val="21"/>
                      <w:szCs w:val="21"/>
                      <w:lang w:val="en-US"/>
                    </w:rPr>
                  </w:pPr>
                  <w:r>
                    <w:rPr>
                      <w:rFonts w:hint="eastAsia" w:ascii="Times New Roman" w:hAnsi="Times New Roman" w:cs="Times New Roman"/>
                      <w:b w:val="0"/>
                      <w:bCs w:val="0"/>
                      <w:color w:val="auto"/>
                      <w:sz w:val="21"/>
                      <w:szCs w:val="21"/>
                      <w:lang w:val="en-US"/>
                    </w:rPr>
                    <w:t>24</w:t>
                  </w:r>
                </w:p>
              </w:tc>
              <w:tc>
                <w:tcPr>
                  <w:tcW w:w="214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auto"/>
                    </w:rPr>
                  </w:pPr>
                  <w:r>
                    <w:rPr>
                      <w:color w:val="auto"/>
                      <w:kern w:val="0"/>
                    </w:rPr>
                    <w:t>秤式液体添加系统</w:t>
                  </w:r>
                </w:p>
              </w:tc>
              <w:tc>
                <w:tcPr>
                  <w:tcW w:w="100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auto"/>
                    </w:rPr>
                  </w:pPr>
                  <w:r>
                    <w:rPr>
                      <w:color w:val="auto"/>
                    </w:rPr>
                    <w:t>2</w:t>
                  </w:r>
                </w:p>
              </w:tc>
              <w:tc>
                <w:tcPr>
                  <w:tcW w:w="1370"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color w:val="auto"/>
                    </w:rPr>
                    <w:t>65~70</w:t>
                  </w:r>
                </w:p>
              </w:tc>
              <w:tc>
                <w:tcPr>
                  <w:tcW w:w="1370" w:type="dxa"/>
                  <w:vMerge w:val="continue"/>
                  <w:tcBorders>
                    <w:left w:val="single" w:color="auto" w:sz="4" w:space="0"/>
                    <w:right w:val="single" w:color="auto" w:sz="4" w:space="0"/>
                  </w:tcBorders>
                  <w:vAlign w:val="center"/>
                </w:tcPr>
                <w:p>
                  <w:pPr>
                    <w:jc w:val="center"/>
                    <w:rPr>
                      <w:color w:val="auto"/>
                    </w:rPr>
                  </w:pPr>
                </w:p>
              </w:tc>
              <w:tc>
                <w:tcPr>
                  <w:tcW w:w="1370"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color w:val="auto"/>
                    </w:rPr>
                    <w:t>25dB(A)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59" w:type="dxa"/>
                  <w:tcBorders>
                    <w:top w:val="single" w:color="auto" w:sz="4" w:space="0"/>
                    <w:left w:val="single" w:color="auto" w:sz="4" w:space="0"/>
                    <w:right w:val="single" w:color="auto" w:sz="4" w:space="0"/>
                  </w:tcBorders>
                  <w:vAlign w:val="center"/>
                </w:tcPr>
                <w:p>
                  <w:pPr>
                    <w:pStyle w:val="8"/>
                    <w:ind w:left="0"/>
                    <w:jc w:val="center"/>
                    <w:rPr>
                      <w:rFonts w:ascii="Times New Roman" w:hAnsi="Times New Roman" w:cs="Times New Roman"/>
                      <w:b w:val="0"/>
                      <w:bCs w:val="0"/>
                      <w:color w:val="auto"/>
                      <w:sz w:val="21"/>
                      <w:szCs w:val="21"/>
                      <w:lang w:val="en-US"/>
                    </w:rPr>
                  </w:pPr>
                  <w:r>
                    <w:rPr>
                      <w:rFonts w:hint="eastAsia" w:ascii="Times New Roman" w:hAnsi="Times New Roman" w:cs="Times New Roman"/>
                      <w:b w:val="0"/>
                      <w:bCs w:val="0"/>
                      <w:color w:val="auto"/>
                      <w:sz w:val="21"/>
                      <w:szCs w:val="21"/>
                      <w:lang w:val="en-US"/>
                    </w:rPr>
                    <w:t>25</w:t>
                  </w:r>
                </w:p>
              </w:tc>
              <w:tc>
                <w:tcPr>
                  <w:tcW w:w="2145" w:type="dxa"/>
                  <w:tcBorders>
                    <w:top w:val="single" w:color="auto" w:sz="4" w:space="0"/>
                    <w:left w:val="single" w:color="auto" w:sz="4" w:space="0"/>
                    <w:right w:val="single" w:color="auto" w:sz="4" w:space="0"/>
                  </w:tcBorders>
                  <w:vAlign w:val="center"/>
                </w:tcPr>
                <w:p>
                  <w:pPr>
                    <w:widowControl/>
                    <w:jc w:val="center"/>
                    <w:textAlignment w:val="center"/>
                    <w:rPr>
                      <w:color w:val="auto"/>
                      <w:kern w:val="0"/>
                    </w:rPr>
                  </w:pPr>
                  <w:r>
                    <w:rPr>
                      <w:rFonts w:hint="eastAsia"/>
                      <w:color w:val="auto"/>
                      <w:kern w:val="0"/>
                    </w:rPr>
                    <w:t>蒸汽锅炉</w:t>
                  </w:r>
                </w:p>
              </w:tc>
              <w:tc>
                <w:tcPr>
                  <w:tcW w:w="1005" w:type="dxa"/>
                  <w:tcBorders>
                    <w:top w:val="single" w:color="auto" w:sz="4" w:space="0"/>
                    <w:left w:val="single" w:color="auto" w:sz="4" w:space="0"/>
                    <w:right w:val="single" w:color="auto" w:sz="4" w:space="0"/>
                  </w:tcBorders>
                  <w:vAlign w:val="center"/>
                </w:tcPr>
                <w:p>
                  <w:pPr>
                    <w:widowControl/>
                    <w:jc w:val="center"/>
                    <w:textAlignment w:val="center"/>
                    <w:rPr>
                      <w:color w:val="auto"/>
                    </w:rPr>
                  </w:pPr>
                  <w:r>
                    <w:rPr>
                      <w:rFonts w:hint="eastAsia"/>
                      <w:color w:val="auto"/>
                    </w:rPr>
                    <w:t>1</w:t>
                  </w:r>
                </w:p>
              </w:tc>
              <w:tc>
                <w:tcPr>
                  <w:tcW w:w="1370" w:type="dxa"/>
                  <w:tcBorders>
                    <w:top w:val="single" w:color="auto" w:sz="4" w:space="0"/>
                    <w:left w:val="single" w:color="auto" w:sz="4" w:space="0"/>
                    <w:right w:val="single" w:color="auto" w:sz="4" w:space="0"/>
                  </w:tcBorders>
                  <w:vAlign w:val="center"/>
                </w:tcPr>
                <w:p>
                  <w:pPr>
                    <w:jc w:val="center"/>
                    <w:rPr>
                      <w:color w:val="auto"/>
                    </w:rPr>
                  </w:pPr>
                  <w:r>
                    <w:rPr>
                      <w:color w:val="auto"/>
                    </w:rPr>
                    <w:t>65~70</w:t>
                  </w:r>
                </w:p>
              </w:tc>
              <w:tc>
                <w:tcPr>
                  <w:tcW w:w="1370" w:type="dxa"/>
                  <w:vMerge w:val="continue"/>
                  <w:tcBorders>
                    <w:left w:val="single" w:color="auto" w:sz="4" w:space="0"/>
                    <w:bottom w:val="single" w:color="auto" w:sz="4" w:space="0"/>
                    <w:right w:val="single" w:color="auto" w:sz="4" w:space="0"/>
                  </w:tcBorders>
                  <w:vAlign w:val="center"/>
                </w:tcPr>
                <w:p>
                  <w:pPr>
                    <w:jc w:val="center"/>
                    <w:rPr>
                      <w:color w:val="auto"/>
                    </w:rPr>
                  </w:pPr>
                </w:p>
              </w:tc>
              <w:tc>
                <w:tcPr>
                  <w:tcW w:w="1370" w:type="dxa"/>
                  <w:tcBorders>
                    <w:top w:val="single" w:color="auto" w:sz="4" w:space="0"/>
                    <w:left w:val="single" w:color="auto" w:sz="4" w:space="0"/>
                    <w:right w:val="single" w:color="auto" w:sz="4" w:space="0"/>
                  </w:tcBorders>
                  <w:vAlign w:val="center"/>
                </w:tcPr>
                <w:p>
                  <w:pPr>
                    <w:jc w:val="center"/>
                    <w:rPr>
                      <w:color w:val="auto"/>
                    </w:rPr>
                  </w:pPr>
                  <w:r>
                    <w:rPr>
                      <w:color w:val="auto"/>
                    </w:rPr>
                    <w:t>25dB(A)</w:t>
                  </w:r>
                </w:p>
              </w:tc>
            </w:tr>
          </w:tbl>
          <w:p>
            <w:pPr>
              <w:spacing w:line="360" w:lineRule="auto"/>
              <w:ind w:firstLine="482" w:firstLineChars="200"/>
              <w:rPr>
                <w:color w:val="auto"/>
                <w:sz w:val="24"/>
                <w:szCs w:val="24"/>
              </w:rPr>
            </w:pPr>
            <w:r>
              <w:rPr>
                <w:b/>
                <w:bCs/>
                <w:color w:val="auto"/>
                <w:sz w:val="24"/>
                <w:szCs w:val="24"/>
              </w:rPr>
              <w:t>3.2降噪措施</w:t>
            </w:r>
          </w:p>
          <w:p>
            <w:pPr>
              <w:spacing w:line="360" w:lineRule="auto"/>
              <w:ind w:firstLine="480" w:firstLineChars="200"/>
              <w:rPr>
                <w:color w:val="auto"/>
                <w:sz w:val="24"/>
                <w:szCs w:val="24"/>
              </w:rPr>
            </w:pPr>
            <w:r>
              <w:rPr>
                <w:color w:val="auto"/>
                <w:sz w:val="24"/>
                <w:szCs w:val="24"/>
              </w:rPr>
              <w:t>环评要求企业采取以下降噪措施：</w:t>
            </w:r>
          </w:p>
          <w:p>
            <w:pPr>
              <w:spacing w:line="360" w:lineRule="auto"/>
              <w:ind w:firstLine="480" w:firstLineChars="200"/>
              <w:rPr>
                <w:color w:val="auto"/>
                <w:sz w:val="24"/>
                <w:szCs w:val="24"/>
              </w:rPr>
            </w:pPr>
            <w:r>
              <w:rPr>
                <w:color w:val="auto"/>
                <w:sz w:val="24"/>
                <w:szCs w:val="24"/>
              </w:rPr>
              <w:t>①在购买设备时应该考虑选用低噪音、低震动的设备，</w:t>
            </w:r>
            <w:r>
              <w:rPr>
                <w:rFonts w:hint="eastAsia"/>
                <w:color w:val="auto"/>
                <w:sz w:val="24"/>
                <w:szCs w:val="24"/>
              </w:rPr>
              <w:t>破碎</w:t>
            </w:r>
            <w:r>
              <w:rPr>
                <w:color w:val="auto"/>
                <w:sz w:val="24"/>
                <w:szCs w:val="24"/>
              </w:rPr>
              <w:t>机加装减震基座及隔声罩，并加强对高噪声设备的隔音、降噪、减震。</w:t>
            </w:r>
          </w:p>
          <w:p>
            <w:pPr>
              <w:spacing w:line="360" w:lineRule="auto"/>
              <w:ind w:firstLine="480" w:firstLineChars="200"/>
              <w:rPr>
                <w:color w:val="auto"/>
                <w:sz w:val="24"/>
                <w:szCs w:val="24"/>
              </w:rPr>
            </w:pPr>
            <w:r>
              <w:rPr>
                <w:color w:val="auto"/>
                <w:sz w:val="24"/>
                <w:szCs w:val="24"/>
              </w:rPr>
              <w:t>②加强设备管理维修，杜绝因设备不正常运行而产生的高噪声，必要时应更新设备。</w:t>
            </w:r>
          </w:p>
          <w:p>
            <w:pPr>
              <w:spacing w:line="360" w:lineRule="auto"/>
              <w:ind w:firstLine="480" w:firstLineChars="200"/>
              <w:rPr>
                <w:color w:val="auto"/>
                <w:sz w:val="24"/>
                <w:szCs w:val="24"/>
              </w:rPr>
            </w:pPr>
            <w:r>
              <w:rPr>
                <w:color w:val="auto"/>
                <w:sz w:val="24"/>
                <w:szCs w:val="24"/>
              </w:rPr>
              <w:t>③车间内设备合理布局，重视总平面布置，生产时尽量减少门窗的开启频率，以降低噪声的传播和干扰。</w:t>
            </w:r>
          </w:p>
          <w:p>
            <w:pPr>
              <w:spacing w:line="360" w:lineRule="auto"/>
              <w:ind w:firstLine="480" w:firstLineChars="200"/>
              <w:rPr>
                <w:color w:val="auto"/>
                <w:sz w:val="24"/>
                <w:szCs w:val="24"/>
              </w:rPr>
            </w:pPr>
            <w:r>
              <w:rPr>
                <w:color w:val="auto"/>
                <w:sz w:val="24"/>
                <w:szCs w:val="24"/>
              </w:rPr>
              <w:t>④对集气装置、排风管道等采取消声减震措施，如管道连接处采用软连接，管道与基础、墙体连接处加装减振垫，进出口处加装消音器，并在墙上进行加固，减少因风机噪声和管道振动引起的低频噪声对周围环境和自身的影响。</w:t>
            </w:r>
          </w:p>
          <w:p>
            <w:pPr>
              <w:spacing w:line="360" w:lineRule="auto"/>
              <w:ind w:firstLine="480" w:firstLineChars="200"/>
              <w:rPr>
                <w:color w:val="auto"/>
                <w:sz w:val="24"/>
                <w:szCs w:val="24"/>
              </w:rPr>
            </w:pPr>
            <w:r>
              <w:rPr>
                <w:color w:val="auto"/>
                <w:sz w:val="24"/>
                <w:szCs w:val="24"/>
              </w:rPr>
              <w:t>⑤加强设备日常维护和工人的生产操作管理，避免非正常生产噪声的产生。</w:t>
            </w:r>
          </w:p>
          <w:p>
            <w:pPr>
              <w:spacing w:line="360" w:lineRule="auto"/>
              <w:ind w:firstLine="482" w:firstLineChars="200"/>
              <w:rPr>
                <w:b/>
                <w:bCs/>
                <w:color w:val="auto"/>
                <w:sz w:val="24"/>
                <w:szCs w:val="24"/>
              </w:rPr>
            </w:pPr>
            <w:r>
              <w:rPr>
                <w:b/>
                <w:bCs/>
                <w:color w:val="auto"/>
                <w:sz w:val="24"/>
                <w:szCs w:val="24"/>
              </w:rPr>
              <w:t>3.3噪声影响及达标分析</w:t>
            </w:r>
          </w:p>
          <w:p>
            <w:pPr>
              <w:spacing w:line="360" w:lineRule="auto"/>
              <w:ind w:firstLine="480" w:firstLineChars="200"/>
              <w:rPr>
                <w:color w:val="auto"/>
                <w:sz w:val="24"/>
                <w:szCs w:val="24"/>
              </w:rPr>
            </w:pPr>
            <w:r>
              <w:rPr>
                <w:color w:val="auto"/>
                <w:sz w:val="24"/>
                <w:szCs w:val="24"/>
              </w:rPr>
              <w:t>按照《环境影响评价技术导则 声环境》（HJ2.4-20</w:t>
            </w:r>
            <w:r>
              <w:rPr>
                <w:rFonts w:hint="eastAsia"/>
                <w:color w:val="auto"/>
                <w:sz w:val="24"/>
                <w:szCs w:val="24"/>
              </w:rPr>
              <w:t>21</w:t>
            </w:r>
            <w:r>
              <w:rPr>
                <w:color w:val="auto"/>
                <w:sz w:val="24"/>
                <w:szCs w:val="24"/>
              </w:rPr>
              <w:t>）中推荐的声源衰减模式，采用室外点声源预测模式，噪声预测时考虑不利情况，即各设备同时作业时的情况；建筑物内的噪声源均考虑其隔声效果后的情况；具体如下：</w:t>
            </w:r>
          </w:p>
          <w:p>
            <w:pPr>
              <w:spacing w:line="360" w:lineRule="auto"/>
              <w:ind w:firstLine="480" w:firstLineChars="200"/>
              <w:rPr>
                <w:color w:val="auto"/>
                <w:sz w:val="24"/>
                <w:szCs w:val="24"/>
              </w:rPr>
            </w:pPr>
            <w:r>
              <w:rPr>
                <w:color w:val="auto"/>
                <w:sz w:val="24"/>
                <w:szCs w:val="24"/>
              </w:rPr>
              <w:t>①室内声源等效室外声源：</w:t>
            </w:r>
          </w:p>
          <w:p>
            <w:pPr>
              <w:spacing w:line="360" w:lineRule="auto"/>
              <w:ind w:firstLine="480" w:firstLineChars="200"/>
              <w:rPr>
                <w:color w:val="auto"/>
              </w:rPr>
            </w:pPr>
            <w:r>
              <w:rPr>
                <w:color w:val="auto"/>
                <w:sz w:val="24"/>
                <w:szCs w:val="24"/>
              </w:rPr>
              <w:t>设靠近开口处（或窗户）室内、室外某倍频带的声压级分别为L</w:t>
            </w:r>
            <w:r>
              <w:rPr>
                <w:color w:val="auto"/>
                <w:sz w:val="24"/>
                <w:szCs w:val="24"/>
                <w:vertAlign w:val="subscript"/>
              </w:rPr>
              <w:t>p1</w:t>
            </w:r>
            <w:r>
              <w:rPr>
                <w:color w:val="auto"/>
                <w:sz w:val="24"/>
                <w:szCs w:val="24"/>
              </w:rPr>
              <w:t>和L</w:t>
            </w:r>
            <w:r>
              <w:rPr>
                <w:color w:val="auto"/>
                <w:sz w:val="24"/>
                <w:szCs w:val="24"/>
                <w:vertAlign w:val="subscript"/>
              </w:rPr>
              <w:t>p2</w:t>
            </w:r>
            <w:r>
              <w:rPr>
                <w:color w:val="auto"/>
                <w:sz w:val="24"/>
                <w:szCs w:val="24"/>
              </w:rPr>
              <w:t>。若声源所在室内声场为近似扩散声场，则室外的倍频带声压级可按下式近似求出：</w:t>
            </w:r>
          </w:p>
          <w:p>
            <w:pPr>
              <w:spacing w:line="360" w:lineRule="auto"/>
              <w:jc w:val="center"/>
              <w:rPr>
                <w:i/>
                <w:iCs/>
                <w:color w:val="auto"/>
                <w:sz w:val="24"/>
                <w:szCs w:val="24"/>
              </w:rPr>
            </w:pPr>
            <w:r>
              <w:rPr>
                <w:color w:val="auto"/>
              </w:rPr>
              <w:drawing>
                <wp:inline distT="0" distB="0" distL="114300" distR="114300">
                  <wp:extent cx="1381125" cy="200025"/>
                  <wp:effectExtent l="0" t="0" r="9525" b="8890"/>
                  <wp:docPr id="9"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7"/>
                          <pic:cNvPicPr>
                            <a:picLocks noChangeAspect="1"/>
                          </pic:cNvPicPr>
                        </pic:nvPicPr>
                        <pic:blipFill>
                          <a:blip r:embed="rId17">
                            <a:clrChange>
                              <a:clrFrom>
                                <a:srgbClr val="FFFFFF"/>
                              </a:clrFrom>
                              <a:clrTo>
                                <a:srgbClr val="FFFFFF">
                                  <a:alpha val="0"/>
                                </a:srgbClr>
                              </a:clrTo>
                            </a:clrChange>
                          </a:blip>
                          <a:stretch>
                            <a:fillRect/>
                          </a:stretch>
                        </pic:blipFill>
                        <pic:spPr>
                          <a:xfrm>
                            <a:off x="0" y="0"/>
                            <a:ext cx="1381125" cy="200025"/>
                          </a:xfrm>
                          <a:prstGeom prst="rect">
                            <a:avLst/>
                          </a:prstGeom>
                          <a:noFill/>
                          <a:ln>
                            <a:noFill/>
                          </a:ln>
                        </pic:spPr>
                      </pic:pic>
                    </a:graphicData>
                  </a:graphic>
                </wp:inline>
              </w:drawing>
            </w:r>
          </w:p>
          <w:p>
            <w:pPr>
              <w:spacing w:line="360" w:lineRule="auto"/>
              <w:ind w:firstLine="480" w:firstLineChars="200"/>
              <w:rPr>
                <w:color w:val="auto"/>
                <w:sz w:val="24"/>
                <w:szCs w:val="24"/>
              </w:rPr>
            </w:pPr>
            <w:r>
              <w:rPr>
                <w:color w:val="auto"/>
                <w:sz w:val="24"/>
                <w:szCs w:val="24"/>
              </w:rPr>
              <w:t>式中：</w:t>
            </w:r>
          </w:p>
          <w:p>
            <w:pPr>
              <w:spacing w:line="360" w:lineRule="auto"/>
              <w:ind w:left="630" w:leftChars="300" w:firstLine="480" w:firstLineChars="200"/>
              <w:rPr>
                <w:color w:val="auto"/>
                <w:sz w:val="24"/>
                <w:szCs w:val="24"/>
              </w:rPr>
            </w:pPr>
            <w:r>
              <w:rPr>
                <w:color w:val="auto"/>
                <w:sz w:val="24"/>
                <w:szCs w:val="24"/>
              </w:rPr>
              <w:t>TL——隔墙（或窗户）倍频带的隔声量，dB。</w:t>
            </w:r>
          </w:p>
          <w:p>
            <w:pPr>
              <w:spacing w:line="360" w:lineRule="auto"/>
              <w:ind w:firstLine="480" w:firstLineChars="200"/>
              <w:rPr>
                <w:color w:val="auto"/>
                <w:sz w:val="24"/>
                <w:szCs w:val="24"/>
              </w:rPr>
            </w:pPr>
            <w:r>
              <w:rPr>
                <w:color w:val="auto"/>
                <w:sz w:val="24"/>
                <w:szCs w:val="24"/>
              </w:rPr>
              <w:t>②计算所有室内声源在靠近围护结构处产生的i倍频带叠加声压级：</w:t>
            </w:r>
          </w:p>
          <w:p>
            <w:pPr>
              <w:spacing w:line="360" w:lineRule="auto"/>
              <w:jc w:val="center"/>
              <w:rPr>
                <w:i/>
                <w:iCs/>
                <w:color w:val="auto"/>
                <w:sz w:val="24"/>
                <w:szCs w:val="24"/>
              </w:rPr>
            </w:pPr>
            <w:r>
              <w:rPr>
                <w:color w:val="auto"/>
              </w:rPr>
              <w:drawing>
                <wp:inline distT="0" distB="0" distL="114300" distR="114300">
                  <wp:extent cx="2181225" cy="581025"/>
                  <wp:effectExtent l="0" t="0" r="9525" b="9525"/>
                  <wp:docPr id="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pic:cNvPicPr>
                            <a:picLocks noChangeAspect="1"/>
                          </pic:cNvPicPr>
                        </pic:nvPicPr>
                        <pic:blipFill>
                          <a:blip r:embed="rId18">
                            <a:clrChange>
                              <a:clrFrom>
                                <a:srgbClr val="FFFFFF"/>
                              </a:clrFrom>
                              <a:clrTo>
                                <a:srgbClr val="FFFFFF">
                                  <a:alpha val="0"/>
                                </a:srgbClr>
                              </a:clrTo>
                            </a:clrChange>
                          </a:blip>
                          <a:stretch>
                            <a:fillRect/>
                          </a:stretch>
                        </pic:blipFill>
                        <pic:spPr>
                          <a:xfrm>
                            <a:off x="0" y="0"/>
                            <a:ext cx="2181225" cy="581025"/>
                          </a:xfrm>
                          <a:prstGeom prst="rect">
                            <a:avLst/>
                          </a:prstGeom>
                          <a:noFill/>
                          <a:ln>
                            <a:noFill/>
                          </a:ln>
                        </pic:spPr>
                      </pic:pic>
                    </a:graphicData>
                  </a:graphic>
                </wp:inline>
              </w:drawing>
            </w:r>
          </w:p>
          <w:p>
            <w:pPr>
              <w:spacing w:line="360" w:lineRule="auto"/>
              <w:ind w:firstLine="480" w:firstLineChars="200"/>
              <w:rPr>
                <w:color w:val="auto"/>
                <w:sz w:val="24"/>
                <w:szCs w:val="24"/>
              </w:rPr>
            </w:pPr>
            <w:r>
              <w:rPr>
                <w:color w:val="auto"/>
                <w:sz w:val="24"/>
                <w:szCs w:val="24"/>
              </w:rPr>
              <w:t>式中：</w:t>
            </w:r>
          </w:p>
          <w:p>
            <w:pPr>
              <w:spacing w:line="360" w:lineRule="auto"/>
              <w:ind w:left="630" w:leftChars="300" w:firstLine="480" w:firstLineChars="200"/>
              <w:rPr>
                <w:color w:val="auto"/>
                <w:sz w:val="24"/>
                <w:szCs w:val="24"/>
              </w:rPr>
            </w:pPr>
            <w:r>
              <w:rPr>
                <w:color w:val="auto"/>
                <w:sz w:val="24"/>
                <w:szCs w:val="24"/>
              </w:rPr>
              <w:t>L</w:t>
            </w:r>
            <w:r>
              <w:rPr>
                <w:color w:val="auto"/>
                <w:sz w:val="24"/>
                <w:szCs w:val="24"/>
                <w:vertAlign w:val="subscript"/>
              </w:rPr>
              <w:t>p1i</w:t>
            </w:r>
            <w:r>
              <w:rPr>
                <w:color w:val="auto"/>
                <w:sz w:val="24"/>
                <w:szCs w:val="24"/>
              </w:rPr>
              <w:t>（T）——靠近围护结构处室内N个声源i倍频带的叠加声压级，dB；</w:t>
            </w:r>
          </w:p>
          <w:p>
            <w:pPr>
              <w:spacing w:line="360" w:lineRule="auto"/>
              <w:ind w:left="630" w:leftChars="300" w:firstLine="480" w:firstLineChars="200"/>
              <w:rPr>
                <w:color w:val="auto"/>
                <w:sz w:val="24"/>
                <w:szCs w:val="24"/>
              </w:rPr>
            </w:pPr>
            <w:r>
              <w:rPr>
                <w:color w:val="auto"/>
                <w:sz w:val="24"/>
                <w:szCs w:val="24"/>
              </w:rPr>
              <w:t>L</w:t>
            </w:r>
            <w:r>
              <w:rPr>
                <w:color w:val="auto"/>
                <w:sz w:val="24"/>
                <w:szCs w:val="24"/>
                <w:vertAlign w:val="subscript"/>
              </w:rPr>
              <w:t>p1ij</w:t>
            </w:r>
            <w:r>
              <w:rPr>
                <w:color w:val="auto"/>
                <w:sz w:val="24"/>
                <w:szCs w:val="24"/>
              </w:rPr>
              <w:t>（t）——室内j声源i倍频带的声压级，dB；</w:t>
            </w:r>
          </w:p>
          <w:p>
            <w:pPr>
              <w:spacing w:line="360" w:lineRule="auto"/>
              <w:ind w:left="630" w:leftChars="300" w:firstLine="480" w:firstLineChars="200"/>
              <w:rPr>
                <w:color w:val="auto"/>
                <w:sz w:val="24"/>
                <w:szCs w:val="24"/>
              </w:rPr>
            </w:pPr>
            <w:r>
              <w:rPr>
                <w:color w:val="auto"/>
                <w:sz w:val="24"/>
                <w:szCs w:val="24"/>
              </w:rPr>
              <w:t>N——室内声源总数。</w:t>
            </w:r>
          </w:p>
          <w:p>
            <w:pPr>
              <w:spacing w:line="360" w:lineRule="auto"/>
              <w:ind w:firstLine="480" w:firstLineChars="200"/>
              <w:rPr>
                <w:color w:val="auto"/>
                <w:sz w:val="24"/>
                <w:szCs w:val="24"/>
              </w:rPr>
            </w:pPr>
            <w:r>
              <w:rPr>
                <w:color w:val="auto"/>
                <w:sz w:val="24"/>
                <w:szCs w:val="24"/>
              </w:rPr>
              <w:t>③在室内近似为扩散声场时，按式下式计算出靠近室外围护结构处的声压级：</w:t>
            </w:r>
          </w:p>
          <w:p>
            <w:pPr>
              <w:spacing w:line="360" w:lineRule="auto"/>
              <w:jc w:val="center"/>
              <w:rPr>
                <w:i/>
                <w:iCs/>
                <w:color w:val="auto"/>
                <w:sz w:val="24"/>
                <w:szCs w:val="24"/>
              </w:rPr>
            </w:pPr>
            <w:r>
              <w:rPr>
                <w:color w:val="auto"/>
              </w:rPr>
              <w:drawing>
                <wp:inline distT="0" distB="0" distL="114300" distR="114300">
                  <wp:extent cx="2038350" cy="200025"/>
                  <wp:effectExtent l="0" t="0" r="0" b="8890"/>
                  <wp:docPr id="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pic:cNvPicPr>
                            <a:picLocks noChangeAspect="1"/>
                          </pic:cNvPicPr>
                        </pic:nvPicPr>
                        <pic:blipFill>
                          <a:blip r:embed="rId19">
                            <a:clrChange>
                              <a:clrFrom>
                                <a:srgbClr val="FFFFFF"/>
                              </a:clrFrom>
                              <a:clrTo>
                                <a:srgbClr val="FFFFFF">
                                  <a:alpha val="0"/>
                                </a:srgbClr>
                              </a:clrTo>
                            </a:clrChange>
                          </a:blip>
                          <a:stretch>
                            <a:fillRect/>
                          </a:stretch>
                        </pic:blipFill>
                        <pic:spPr>
                          <a:xfrm>
                            <a:off x="0" y="0"/>
                            <a:ext cx="2038350" cy="200025"/>
                          </a:xfrm>
                          <a:prstGeom prst="rect">
                            <a:avLst/>
                          </a:prstGeom>
                          <a:noFill/>
                          <a:ln>
                            <a:noFill/>
                          </a:ln>
                        </pic:spPr>
                      </pic:pic>
                    </a:graphicData>
                  </a:graphic>
                </wp:inline>
              </w:drawing>
            </w:r>
          </w:p>
          <w:p>
            <w:pPr>
              <w:spacing w:line="360" w:lineRule="auto"/>
              <w:ind w:firstLine="480" w:firstLineChars="200"/>
              <w:rPr>
                <w:color w:val="auto"/>
                <w:sz w:val="24"/>
                <w:szCs w:val="24"/>
              </w:rPr>
            </w:pPr>
            <w:r>
              <w:rPr>
                <w:color w:val="auto"/>
                <w:sz w:val="24"/>
                <w:szCs w:val="24"/>
              </w:rPr>
              <w:t>式中：L</w:t>
            </w:r>
            <w:r>
              <w:rPr>
                <w:color w:val="auto"/>
                <w:sz w:val="24"/>
                <w:szCs w:val="24"/>
                <w:vertAlign w:val="subscript"/>
              </w:rPr>
              <w:t>p2i</w:t>
            </w:r>
            <w:r>
              <w:rPr>
                <w:color w:val="auto"/>
                <w:sz w:val="24"/>
                <w:szCs w:val="24"/>
              </w:rPr>
              <w:t>（T）——靠近围护结构处室外N个声源i倍频带的叠加声压级，dB；</w:t>
            </w:r>
          </w:p>
          <w:p>
            <w:pPr>
              <w:spacing w:line="360" w:lineRule="auto"/>
              <w:ind w:firstLine="480" w:firstLineChars="200"/>
              <w:rPr>
                <w:color w:val="auto"/>
                <w:sz w:val="24"/>
                <w:szCs w:val="24"/>
              </w:rPr>
            </w:pPr>
            <w:r>
              <w:rPr>
                <w:color w:val="auto"/>
                <w:sz w:val="24"/>
                <w:szCs w:val="24"/>
              </w:rPr>
              <w:t xml:space="preserve">     TL</w:t>
            </w:r>
            <w:r>
              <w:rPr>
                <w:color w:val="auto"/>
                <w:sz w:val="24"/>
                <w:szCs w:val="24"/>
                <w:vertAlign w:val="subscript"/>
              </w:rPr>
              <w:t>i</w:t>
            </w:r>
            <w:r>
              <w:rPr>
                <w:color w:val="auto"/>
                <w:sz w:val="24"/>
                <w:szCs w:val="24"/>
              </w:rPr>
              <w:t>——围护结构i倍频带的隔声量，dB。</w:t>
            </w:r>
          </w:p>
          <w:p>
            <w:pPr>
              <w:spacing w:line="360" w:lineRule="auto"/>
              <w:ind w:firstLine="480" w:firstLineChars="200"/>
              <w:rPr>
                <w:color w:val="auto"/>
                <w:sz w:val="24"/>
                <w:szCs w:val="24"/>
              </w:rPr>
            </w:pPr>
            <w:r>
              <w:rPr>
                <w:color w:val="auto"/>
                <w:sz w:val="24"/>
                <w:szCs w:val="24"/>
              </w:rPr>
              <w:t>④将室外声源的声压级和透过面积换算成等效的室外声源，计算出中心位置位于透声面积（S）处的等效声源的倍频带声功率级。</w:t>
            </w:r>
          </w:p>
          <w:p>
            <w:pPr>
              <w:spacing w:line="360" w:lineRule="auto"/>
              <w:jc w:val="center"/>
              <w:rPr>
                <w:color w:val="auto"/>
                <w:sz w:val="24"/>
                <w:szCs w:val="24"/>
              </w:rPr>
            </w:pPr>
            <w:r>
              <w:rPr>
                <w:color w:val="auto"/>
              </w:rPr>
              <w:drawing>
                <wp:inline distT="0" distB="0" distL="114300" distR="114300">
                  <wp:extent cx="1485900" cy="200025"/>
                  <wp:effectExtent l="0" t="0" r="0" b="8890"/>
                  <wp:docPr id="7"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5"/>
                          <pic:cNvPicPr>
                            <a:picLocks noChangeAspect="1"/>
                          </pic:cNvPicPr>
                        </pic:nvPicPr>
                        <pic:blipFill>
                          <a:blip r:embed="rId20">
                            <a:clrChange>
                              <a:clrFrom>
                                <a:srgbClr val="FFFFFF"/>
                              </a:clrFrom>
                              <a:clrTo>
                                <a:srgbClr val="FFFFFF">
                                  <a:alpha val="0"/>
                                </a:srgbClr>
                              </a:clrTo>
                            </a:clrChange>
                          </a:blip>
                          <a:stretch>
                            <a:fillRect/>
                          </a:stretch>
                        </pic:blipFill>
                        <pic:spPr>
                          <a:xfrm>
                            <a:off x="0" y="0"/>
                            <a:ext cx="1485900" cy="200025"/>
                          </a:xfrm>
                          <a:prstGeom prst="rect">
                            <a:avLst/>
                          </a:prstGeom>
                          <a:noFill/>
                          <a:ln>
                            <a:noFill/>
                          </a:ln>
                        </pic:spPr>
                      </pic:pic>
                    </a:graphicData>
                  </a:graphic>
                </wp:inline>
              </w:drawing>
            </w:r>
          </w:p>
          <w:p>
            <w:pPr>
              <w:spacing w:line="360" w:lineRule="auto"/>
              <w:ind w:firstLine="480" w:firstLineChars="200"/>
              <w:rPr>
                <w:color w:val="auto"/>
                <w:sz w:val="24"/>
                <w:szCs w:val="24"/>
              </w:rPr>
            </w:pPr>
            <w:r>
              <w:rPr>
                <w:color w:val="auto"/>
                <w:sz w:val="24"/>
                <w:szCs w:val="24"/>
              </w:rPr>
              <w:t>然后按室外声源预测方法计算预测点处的A声级。</w:t>
            </w:r>
          </w:p>
          <w:p>
            <w:pPr>
              <w:spacing w:line="360" w:lineRule="auto"/>
              <w:ind w:firstLine="480" w:firstLineChars="200"/>
              <w:rPr>
                <w:color w:val="auto"/>
                <w:sz w:val="24"/>
                <w:szCs w:val="24"/>
              </w:rPr>
            </w:pPr>
            <w:r>
              <w:rPr>
                <w:color w:val="auto"/>
                <w:sz w:val="24"/>
                <w:szCs w:val="24"/>
              </w:rPr>
              <w:t>⑤</w:t>
            </w:r>
            <w:r>
              <w:rPr>
                <w:rFonts w:hint="eastAsia"/>
                <w:color w:val="auto"/>
                <w:sz w:val="24"/>
                <w:szCs w:val="24"/>
              </w:rPr>
              <w:t>工业企业</w:t>
            </w:r>
            <w:r>
              <w:rPr>
                <w:color w:val="auto"/>
                <w:sz w:val="24"/>
                <w:szCs w:val="24"/>
              </w:rPr>
              <w:t>噪声贡献值计算</w:t>
            </w:r>
          </w:p>
          <w:p>
            <w:pPr>
              <w:spacing w:line="360" w:lineRule="auto"/>
              <w:ind w:firstLine="480" w:firstLineChars="200"/>
              <w:rPr>
                <w:color w:val="auto"/>
                <w:sz w:val="24"/>
                <w:szCs w:val="24"/>
              </w:rPr>
            </w:pPr>
            <w:r>
              <w:rPr>
                <w:color w:val="auto"/>
                <w:sz w:val="24"/>
                <w:szCs w:val="24"/>
              </w:rPr>
              <w:t>设第i个室外声源在预测点产生的A声级为L</w:t>
            </w:r>
            <w:r>
              <w:rPr>
                <w:color w:val="auto"/>
                <w:sz w:val="24"/>
                <w:szCs w:val="24"/>
                <w:vertAlign w:val="subscript"/>
              </w:rPr>
              <w:t>Ai</w:t>
            </w:r>
            <w:r>
              <w:rPr>
                <w:color w:val="auto"/>
                <w:sz w:val="24"/>
                <w:szCs w:val="24"/>
              </w:rPr>
              <w:t>，在T时间内该声源工作时间为t</w:t>
            </w:r>
            <w:r>
              <w:rPr>
                <w:color w:val="auto"/>
                <w:sz w:val="24"/>
                <w:szCs w:val="24"/>
                <w:vertAlign w:val="subscript"/>
              </w:rPr>
              <w:t>i</w:t>
            </w:r>
            <w:r>
              <w:rPr>
                <w:color w:val="auto"/>
                <w:sz w:val="24"/>
                <w:szCs w:val="24"/>
              </w:rPr>
              <w:t>，第j个等效室外声源在预测点产生的A声级为L</w:t>
            </w:r>
            <w:r>
              <w:rPr>
                <w:color w:val="auto"/>
                <w:sz w:val="24"/>
                <w:szCs w:val="24"/>
                <w:vertAlign w:val="subscript"/>
              </w:rPr>
              <w:t>Aj</w:t>
            </w:r>
            <w:r>
              <w:rPr>
                <w:color w:val="auto"/>
                <w:sz w:val="24"/>
                <w:szCs w:val="24"/>
              </w:rPr>
              <w:t>，在T时间内该声源工作时间为t</w:t>
            </w:r>
            <w:r>
              <w:rPr>
                <w:color w:val="auto"/>
                <w:sz w:val="24"/>
                <w:szCs w:val="24"/>
                <w:vertAlign w:val="subscript"/>
              </w:rPr>
              <w:t>j</w:t>
            </w:r>
            <w:r>
              <w:rPr>
                <w:color w:val="auto"/>
                <w:sz w:val="24"/>
                <w:szCs w:val="24"/>
              </w:rPr>
              <w:t>，则</w:t>
            </w:r>
            <w:r>
              <w:rPr>
                <w:rFonts w:hint="eastAsia"/>
                <w:color w:val="auto"/>
                <w:sz w:val="24"/>
                <w:szCs w:val="24"/>
              </w:rPr>
              <w:t>拟建工程</w:t>
            </w:r>
            <w:r>
              <w:rPr>
                <w:color w:val="auto"/>
                <w:sz w:val="24"/>
                <w:szCs w:val="24"/>
              </w:rPr>
              <w:t>声源对预测点产生的贡献值Leqg为：</w:t>
            </w:r>
          </w:p>
          <w:p>
            <w:pPr>
              <w:spacing w:line="360" w:lineRule="auto"/>
              <w:jc w:val="center"/>
              <w:rPr>
                <w:i/>
                <w:iCs/>
                <w:color w:val="auto"/>
                <w:sz w:val="24"/>
                <w:szCs w:val="24"/>
              </w:rPr>
            </w:pPr>
            <w:r>
              <w:rPr>
                <w:color w:val="auto"/>
              </w:rPr>
              <w:drawing>
                <wp:inline distT="0" distB="0" distL="114300" distR="114300">
                  <wp:extent cx="3352800" cy="581025"/>
                  <wp:effectExtent l="0" t="0" r="0" b="9525"/>
                  <wp:docPr id="8"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6"/>
                          <pic:cNvPicPr>
                            <a:picLocks noChangeAspect="1"/>
                          </pic:cNvPicPr>
                        </pic:nvPicPr>
                        <pic:blipFill>
                          <a:blip r:embed="rId21">
                            <a:clrChange>
                              <a:clrFrom>
                                <a:srgbClr val="FFFFFF"/>
                              </a:clrFrom>
                              <a:clrTo>
                                <a:srgbClr val="FFFFFF">
                                  <a:alpha val="0"/>
                                </a:srgbClr>
                              </a:clrTo>
                            </a:clrChange>
                          </a:blip>
                          <a:stretch>
                            <a:fillRect/>
                          </a:stretch>
                        </pic:blipFill>
                        <pic:spPr>
                          <a:xfrm>
                            <a:off x="0" y="0"/>
                            <a:ext cx="3352800" cy="581025"/>
                          </a:xfrm>
                          <a:prstGeom prst="rect">
                            <a:avLst/>
                          </a:prstGeom>
                          <a:noFill/>
                          <a:ln>
                            <a:noFill/>
                          </a:ln>
                        </pic:spPr>
                      </pic:pic>
                    </a:graphicData>
                  </a:graphic>
                </wp:inline>
              </w:drawing>
            </w:r>
          </w:p>
          <w:p>
            <w:pPr>
              <w:spacing w:line="360" w:lineRule="auto"/>
              <w:ind w:firstLine="480" w:firstLineChars="200"/>
              <w:rPr>
                <w:color w:val="auto"/>
                <w:sz w:val="24"/>
                <w:szCs w:val="24"/>
              </w:rPr>
            </w:pPr>
            <w:r>
              <w:rPr>
                <w:color w:val="auto"/>
                <w:sz w:val="24"/>
                <w:szCs w:val="24"/>
              </w:rPr>
              <w:t>式中：t</w:t>
            </w:r>
            <w:r>
              <w:rPr>
                <w:color w:val="auto"/>
                <w:sz w:val="24"/>
                <w:szCs w:val="24"/>
                <w:vertAlign w:val="subscript"/>
              </w:rPr>
              <w:t>j</w:t>
            </w:r>
            <w:r>
              <w:rPr>
                <w:color w:val="auto"/>
                <w:sz w:val="24"/>
                <w:szCs w:val="24"/>
              </w:rPr>
              <w:t>——在T时间内j声源工作时间，s；</w:t>
            </w:r>
          </w:p>
          <w:p>
            <w:pPr>
              <w:spacing w:line="360" w:lineRule="auto"/>
              <w:ind w:firstLine="1200" w:firstLineChars="500"/>
              <w:rPr>
                <w:color w:val="auto"/>
                <w:sz w:val="24"/>
                <w:szCs w:val="24"/>
              </w:rPr>
            </w:pPr>
            <w:r>
              <w:rPr>
                <w:color w:val="auto"/>
                <w:sz w:val="24"/>
                <w:szCs w:val="24"/>
              </w:rPr>
              <w:t>t</w:t>
            </w:r>
            <w:r>
              <w:rPr>
                <w:color w:val="auto"/>
                <w:sz w:val="24"/>
                <w:szCs w:val="24"/>
                <w:vertAlign w:val="subscript"/>
              </w:rPr>
              <w:t>i</w:t>
            </w:r>
            <w:r>
              <w:rPr>
                <w:color w:val="auto"/>
                <w:sz w:val="24"/>
                <w:szCs w:val="24"/>
              </w:rPr>
              <w:t>——在T时间内i声源工作时间，s；</w:t>
            </w:r>
          </w:p>
          <w:p>
            <w:pPr>
              <w:spacing w:line="360" w:lineRule="auto"/>
              <w:ind w:firstLine="1200" w:firstLineChars="500"/>
              <w:rPr>
                <w:color w:val="auto"/>
                <w:sz w:val="24"/>
                <w:szCs w:val="24"/>
              </w:rPr>
            </w:pPr>
            <w:r>
              <w:rPr>
                <w:color w:val="auto"/>
                <w:sz w:val="24"/>
                <w:szCs w:val="24"/>
              </w:rPr>
              <w:t>T——用于计算等效声级的时间，s；</w:t>
            </w:r>
          </w:p>
          <w:p>
            <w:pPr>
              <w:spacing w:line="360" w:lineRule="auto"/>
              <w:ind w:firstLine="1200" w:firstLineChars="500"/>
              <w:rPr>
                <w:color w:val="auto"/>
                <w:sz w:val="24"/>
                <w:szCs w:val="24"/>
              </w:rPr>
            </w:pPr>
            <w:r>
              <w:rPr>
                <w:color w:val="auto"/>
                <w:sz w:val="24"/>
                <w:szCs w:val="24"/>
              </w:rPr>
              <w:t>N——室外声源个数；</w:t>
            </w:r>
          </w:p>
          <w:p>
            <w:pPr>
              <w:spacing w:line="360" w:lineRule="auto"/>
              <w:ind w:firstLine="1200" w:firstLineChars="500"/>
              <w:rPr>
                <w:color w:val="auto"/>
                <w:sz w:val="24"/>
                <w:szCs w:val="24"/>
              </w:rPr>
            </w:pPr>
            <w:r>
              <w:rPr>
                <w:color w:val="auto"/>
                <w:sz w:val="24"/>
                <w:szCs w:val="24"/>
              </w:rPr>
              <w:t>M——等效室外声源个数。</w:t>
            </w:r>
          </w:p>
          <w:p>
            <w:pPr>
              <w:spacing w:line="360" w:lineRule="auto"/>
              <w:ind w:firstLine="480" w:firstLineChars="200"/>
              <w:rPr>
                <w:b/>
                <w:bCs/>
                <w:color w:val="auto"/>
              </w:rPr>
            </w:pPr>
            <w:r>
              <w:rPr>
                <w:color w:val="auto"/>
                <w:sz w:val="24"/>
                <w:szCs w:val="24"/>
              </w:rPr>
              <w:t>本项目</w:t>
            </w:r>
            <w:r>
              <w:rPr>
                <w:rFonts w:hint="eastAsia"/>
                <w:color w:val="auto"/>
                <w:sz w:val="24"/>
                <w:szCs w:val="24"/>
              </w:rPr>
              <w:t>昼夜</w:t>
            </w:r>
            <w:r>
              <w:rPr>
                <w:color w:val="auto"/>
                <w:sz w:val="24"/>
                <w:szCs w:val="24"/>
              </w:rPr>
              <w:t>生产，环境影响预测评价的目的就是评价项目建成后对周围环境及厂界噪声影响的程度。预测结果见下表4-1</w:t>
            </w:r>
            <w:r>
              <w:rPr>
                <w:rFonts w:hint="eastAsia"/>
                <w:color w:val="auto"/>
                <w:sz w:val="24"/>
                <w:szCs w:val="24"/>
              </w:rPr>
              <w:t>5</w:t>
            </w:r>
            <w:r>
              <w:rPr>
                <w:color w:val="auto"/>
                <w:sz w:val="24"/>
                <w:szCs w:val="24"/>
              </w:rPr>
              <w:t>。</w:t>
            </w:r>
          </w:p>
          <w:p>
            <w:pPr>
              <w:spacing w:line="360" w:lineRule="auto"/>
              <w:jc w:val="center"/>
              <w:rPr>
                <w:b/>
                <w:bCs/>
                <w:color w:val="auto"/>
              </w:rPr>
            </w:pPr>
            <w:r>
              <w:rPr>
                <w:b/>
                <w:bCs/>
                <w:color w:val="auto"/>
                <w:sz w:val="24"/>
              </w:rPr>
              <w:t>表4-</w:t>
            </w:r>
            <w:r>
              <w:rPr>
                <w:rFonts w:hint="eastAsia"/>
                <w:b/>
                <w:bCs/>
                <w:color w:val="auto"/>
                <w:sz w:val="24"/>
              </w:rPr>
              <w:t>15</w:t>
            </w:r>
            <w:r>
              <w:rPr>
                <w:b/>
                <w:bCs/>
                <w:color w:val="auto"/>
                <w:sz w:val="24"/>
              </w:rPr>
              <w:t xml:space="preserve">  建设项目厂界噪声预测结果  单位：dB（A）</w:t>
            </w:r>
          </w:p>
          <w:tbl>
            <w:tblPr>
              <w:tblStyle w:val="23"/>
              <w:tblW w:w="81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0"/>
              <w:gridCol w:w="1227"/>
              <w:gridCol w:w="1372"/>
              <w:gridCol w:w="1195"/>
              <w:gridCol w:w="1220"/>
              <w:gridCol w:w="1155"/>
              <w:gridCol w:w="1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80" w:type="dxa"/>
                  <w:vMerge w:val="restart"/>
                  <w:vAlign w:val="center"/>
                </w:tcPr>
                <w:p>
                  <w:pPr>
                    <w:jc w:val="center"/>
                    <w:rPr>
                      <w:color w:val="auto"/>
                      <w:lang w:val="zh-CN"/>
                    </w:rPr>
                  </w:pPr>
                  <w:r>
                    <w:rPr>
                      <w:color w:val="auto"/>
                      <w:lang w:val="zh-CN"/>
                    </w:rPr>
                    <w:t>测点</w:t>
                  </w:r>
                </w:p>
              </w:tc>
              <w:tc>
                <w:tcPr>
                  <w:tcW w:w="3794" w:type="dxa"/>
                  <w:gridSpan w:val="3"/>
                  <w:vAlign w:val="center"/>
                </w:tcPr>
                <w:p>
                  <w:pPr>
                    <w:jc w:val="center"/>
                    <w:rPr>
                      <w:color w:val="auto"/>
                      <w:lang w:val="zh-CN"/>
                    </w:rPr>
                  </w:pPr>
                  <w:r>
                    <w:rPr>
                      <w:color w:val="auto"/>
                      <w:lang w:val="zh-CN"/>
                    </w:rPr>
                    <w:t>昼间</w:t>
                  </w:r>
                </w:p>
              </w:tc>
              <w:tc>
                <w:tcPr>
                  <w:tcW w:w="3425" w:type="dxa"/>
                  <w:gridSpan w:val="3"/>
                  <w:vAlign w:val="center"/>
                </w:tcPr>
                <w:p>
                  <w:pPr>
                    <w:jc w:val="center"/>
                    <w:rPr>
                      <w:color w:val="auto"/>
                    </w:rPr>
                  </w:pPr>
                  <w:r>
                    <w:rPr>
                      <w:rFonts w:hint="eastAsia"/>
                      <w:color w:val="auto"/>
                    </w:rPr>
                    <w:t>夜间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980" w:type="dxa"/>
                  <w:vMerge w:val="continue"/>
                  <w:vAlign w:val="center"/>
                </w:tcPr>
                <w:p>
                  <w:pPr>
                    <w:jc w:val="center"/>
                    <w:rPr>
                      <w:color w:val="auto"/>
                      <w:lang w:val="zh-CN"/>
                    </w:rPr>
                  </w:pPr>
                </w:p>
              </w:tc>
              <w:tc>
                <w:tcPr>
                  <w:tcW w:w="1227" w:type="dxa"/>
                  <w:vAlign w:val="center"/>
                </w:tcPr>
                <w:p>
                  <w:pPr>
                    <w:jc w:val="center"/>
                    <w:rPr>
                      <w:color w:val="auto"/>
                      <w:lang w:val="zh-CN"/>
                    </w:rPr>
                  </w:pPr>
                  <w:r>
                    <w:rPr>
                      <w:color w:val="auto"/>
                      <w:lang w:val="zh-CN"/>
                    </w:rPr>
                    <w:t>贡献值</w:t>
                  </w:r>
                </w:p>
              </w:tc>
              <w:tc>
                <w:tcPr>
                  <w:tcW w:w="1372" w:type="dxa"/>
                  <w:vAlign w:val="center"/>
                </w:tcPr>
                <w:p>
                  <w:pPr>
                    <w:jc w:val="center"/>
                    <w:rPr>
                      <w:color w:val="auto"/>
                      <w:lang w:val="zh-CN"/>
                    </w:rPr>
                  </w:pPr>
                  <w:r>
                    <w:rPr>
                      <w:color w:val="auto"/>
                      <w:lang w:val="zh-CN"/>
                    </w:rPr>
                    <w:t>标准值</w:t>
                  </w:r>
                </w:p>
              </w:tc>
              <w:tc>
                <w:tcPr>
                  <w:tcW w:w="1195" w:type="dxa"/>
                  <w:vAlign w:val="center"/>
                </w:tcPr>
                <w:p>
                  <w:pPr>
                    <w:jc w:val="center"/>
                    <w:rPr>
                      <w:color w:val="auto"/>
                      <w:lang w:val="zh-CN"/>
                    </w:rPr>
                  </w:pPr>
                  <w:r>
                    <w:rPr>
                      <w:color w:val="auto"/>
                      <w:lang w:val="zh-CN"/>
                    </w:rPr>
                    <w:t>评价</w:t>
                  </w:r>
                </w:p>
              </w:tc>
              <w:tc>
                <w:tcPr>
                  <w:tcW w:w="1220" w:type="dxa"/>
                  <w:vAlign w:val="center"/>
                </w:tcPr>
                <w:p>
                  <w:pPr>
                    <w:jc w:val="center"/>
                    <w:rPr>
                      <w:color w:val="auto"/>
                      <w:lang w:val="zh-CN"/>
                    </w:rPr>
                  </w:pPr>
                  <w:r>
                    <w:rPr>
                      <w:color w:val="auto"/>
                      <w:lang w:val="zh-CN"/>
                    </w:rPr>
                    <w:t>贡献值</w:t>
                  </w:r>
                </w:p>
              </w:tc>
              <w:tc>
                <w:tcPr>
                  <w:tcW w:w="1155" w:type="dxa"/>
                  <w:vAlign w:val="center"/>
                </w:tcPr>
                <w:p>
                  <w:pPr>
                    <w:jc w:val="center"/>
                    <w:rPr>
                      <w:color w:val="auto"/>
                      <w:lang w:val="zh-CN"/>
                    </w:rPr>
                  </w:pPr>
                  <w:r>
                    <w:rPr>
                      <w:color w:val="auto"/>
                      <w:lang w:val="zh-CN"/>
                    </w:rPr>
                    <w:t>标准值</w:t>
                  </w:r>
                </w:p>
              </w:tc>
              <w:tc>
                <w:tcPr>
                  <w:tcW w:w="1050" w:type="dxa"/>
                  <w:vAlign w:val="center"/>
                </w:tcPr>
                <w:p>
                  <w:pPr>
                    <w:jc w:val="center"/>
                    <w:rPr>
                      <w:color w:val="auto"/>
                      <w:lang w:val="zh-CN"/>
                    </w:rPr>
                  </w:pPr>
                  <w:r>
                    <w:rPr>
                      <w:color w:val="auto"/>
                      <w:lang w:val="zh-CN"/>
                    </w:rPr>
                    <w:t>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trPr>
              <w:tc>
                <w:tcPr>
                  <w:tcW w:w="980" w:type="dxa"/>
                  <w:vAlign w:val="center"/>
                </w:tcPr>
                <w:p>
                  <w:pPr>
                    <w:jc w:val="center"/>
                    <w:rPr>
                      <w:color w:val="auto"/>
                      <w:lang w:val="zh-CN"/>
                    </w:rPr>
                  </w:pPr>
                  <w:r>
                    <w:rPr>
                      <w:color w:val="auto"/>
                      <w:lang w:val="zh-CN"/>
                    </w:rPr>
                    <w:t>东厂界</w:t>
                  </w:r>
                </w:p>
              </w:tc>
              <w:tc>
                <w:tcPr>
                  <w:tcW w:w="1227" w:type="dxa"/>
                  <w:vAlign w:val="center"/>
                </w:tcPr>
                <w:p>
                  <w:pPr>
                    <w:pStyle w:val="77"/>
                    <w:spacing w:line="240" w:lineRule="auto"/>
                    <w:ind w:firstLine="0" w:firstLineChars="0"/>
                    <w:jc w:val="center"/>
                    <w:rPr>
                      <w:color w:val="auto"/>
                      <w:sz w:val="21"/>
                      <w:szCs w:val="21"/>
                    </w:rPr>
                  </w:pPr>
                  <w:r>
                    <w:rPr>
                      <w:rFonts w:hint="eastAsia"/>
                      <w:color w:val="auto"/>
                      <w:sz w:val="21"/>
                      <w:szCs w:val="21"/>
                    </w:rPr>
                    <w:t>46.5</w:t>
                  </w:r>
                </w:p>
              </w:tc>
              <w:tc>
                <w:tcPr>
                  <w:tcW w:w="1372" w:type="dxa"/>
                  <w:vAlign w:val="center"/>
                </w:tcPr>
                <w:p>
                  <w:pPr>
                    <w:jc w:val="center"/>
                    <w:rPr>
                      <w:color w:val="auto"/>
                    </w:rPr>
                  </w:pPr>
                  <w:r>
                    <w:rPr>
                      <w:color w:val="auto"/>
                    </w:rPr>
                    <w:t>6</w:t>
                  </w:r>
                  <w:r>
                    <w:rPr>
                      <w:rFonts w:hint="eastAsia"/>
                      <w:color w:val="auto"/>
                    </w:rPr>
                    <w:t>5</w:t>
                  </w:r>
                </w:p>
              </w:tc>
              <w:tc>
                <w:tcPr>
                  <w:tcW w:w="1195" w:type="dxa"/>
                  <w:vAlign w:val="center"/>
                </w:tcPr>
                <w:p>
                  <w:pPr>
                    <w:jc w:val="center"/>
                    <w:rPr>
                      <w:color w:val="auto"/>
                    </w:rPr>
                  </w:pPr>
                  <w:r>
                    <w:rPr>
                      <w:color w:val="auto"/>
                    </w:rPr>
                    <w:t>达标</w:t>
                  </w:r>
                </w:p>
              </w:tc>
              <w:tc>
                <w:tcPr>
                  <w:tcW w:w="1220" w:type="dxa"/>
                  <w:vAlign w:val="center"/>
                </w:tcPr>
                <w:p>
                  <w:pPr>
                    <w:pStyle w:val="77"/>
                    <w:spacing w:line="240" w:lineRule="auto"/>
                    <w:ind w:firstLine="0" w:firstLineChars="0"/>
                    <w:jc w:val="center"/>
                    <w:rPr>
                      <w:color w:val="auto"/>
                      <w:sz w:val="21"/>
                      <w:szCs w:val="21"/>
                    </w:rPr>
                  </w:pPr>
                  <w:r>
                    <w:rPr>
                      <w:rFonts w:hint="eastAsia"/>
                      <w:color w:val="auto"/>
                      <w:sz w:val="21"/>
                      <w:szCs w:val="21"/>
                    </w:rPr>
                    <w:t>46.5</w:t>
                  </w:r>
                </w:p>
              </w:tc>
              <w:tc>
                <w:tcPr>
                  <w:tcW w:w="1155" w:type="dxa"/>
                  <w:vAlign w:val="center"/>
                </w:tcPr>
                <w:p>
                  <w:pPr>
                    <w:jc w:val="center"/>
                    <w:rPr>
                      <w:color w:val="auto"/>
                    </w:rPr>
                  </w:pPr>
                  <w:r>
                    <w:rPr>
                      <w:rFonts w:hint="eastAsia"/>
                      <w:color w:val="auto"/>
                    </w:rPr>
                    <w:t>55</w:t>
                  </w:r>
                </w:p>
              </w:tc>
              <w:tc>
                <w:tcPr>
                  <w:tcW w:w="1050" w:type="dxa"/>
                  <w:vAlign w:val="center"/>
                </w:tcPr>
                <w:p>
                  <w:pPr>
                    <w:jc w:val="center"/>
                    <w:rPr>
                      <w:color w:val="auto"/>
                    </w:rPr>
                  </w:pPr>
                  <w:r>
                    <w:rPr>
                      <w:color w:val="auto"/>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 w:hRule="atLeast"/>
              </w:trPr>
              <w:tc>
                <w:tcPr>
                  <w:tcW w:w="980" w:type="dxa"/>
                  <w:vAlign w:val="center"/>
                </w:tcPr>
                <w:p>
                  <w:pPr>
                    <w:jc w:val="center"/>
                    <w:rPr>
                      <w:color w:val="auto"/>
                      <w:lang w:val="zh-CN"/>
                    </w:rPr>
                  </w:pPr>
                  <w:r>
                    <w:rPr>
                      <w:color w:val="auto"/>
                      <w:lang w:val="zh-CN"/>
                    </w:rPr>
                    <w:t>南厂界</w:t>
                  </w:r>
                </w:p>
              </w:tc>
              <w:tc>
                <w:tcPr>
                  <w:tcW w:w="1227" w:type="dxa"/>
                  <w:vAlign w:val="center"/>
                </w:tcPr>
                <w:p>
                  <w:pPr>
                    <w:pStyle w:val="77"/>
                    <w:spacing w:line="240" w:lineRule="auto"/>
                    <w:ind w:firstLine="0" w:firstLineChars="0"/>
                    <w:jc w:val="center"/>
                    <w:rPr>
                      <w:color w:val="auto"/>
                      <w:sz w:val="21"/>
                      <w:szCs w:val="21"/>
                    </w:rPr>
                  </w:pPr>
                  <w:r>
                    <w:rPr>
                      <w:rFonts w:hint="eastAsia"/>
                      <w:color w:val="auto"/>
                      <w:sz w:val="21"/>
                      <w:szCs w:val="21"/>
                    </w:rPr>
                    <w:t>45.7</w:t>
                  </w:r>
                </w:p>
              </w:tc>
              <w:tc>
                <w:tcPr>
                  <w:tcW w:w="1372" w:type="dxa"/>
                  <w:vAlign w:val="center"/>
                </w:tcPr>
                <w:p>
                  <w:pPr>
                    <w:jc w:val="center"/>
                    <w:rPr>
                      <w:color w:val="auto"/>
                    </w:rPr>
                  </w:pPr>
                  <w:r>
                    <w:rPr>
                      <w:color w:val="auto"/>
                    </w:rPr>
                    <w:t>6</w:t>
                  </w:r>
                  <w:r>
                    <w:rPr>
                      <w:rFonts w:hint="eastAsia"/>
                      <w:color w:val="auto"/>
                    </w:rPr>
                    <w:t>5</w:t>
                  </w:r>
                </w:p>
              </w:tc>
              <w:tc>
                <w:tcPr>
                  <w:tcW w:w="1195" w:type="dxa"/>
                  <w:vAlign w:val="center"/>
                </w:tcPr>
                <w:p>
                  <w:pPr>
                    <w:jc w:val="center"/>
                    <w:rPr>
                      <w:color w:val="auto"/>
                    </w:rPr>
                  </w:pPr>
                  <w:r>
                    <w:rPr>
                      <w:color w:val="auto"/>
                    </w:rPr>
                    <w:t>达标</w:t>
                  </w:r>
                </w:p>
              </w:tc>
              <w:tc>
                <w:tcPr>
                  <w:tcW w:w="1220" w:type="dxa"/>
                  <w:vAlign w:val="center"/>
                </w:tcPr>
                <w:p>
                  <w:pPr>
                    <w:pStyle w:val="77"/>
                    <w:spacing w:line="240" w:lineRule="auto"/>
                    <w:ind w:firstLine="0" w:firstLineChars="0"/>
                    <w:jc w:val="center"/>
                    <w:rPr>
                      <w:color w:val="auto"/>
                      <w:sz w:val="21"/>
                      <w:szCs w:val="21"/>
                    </w:rPr>
                  </w:pPr>
                  <w:r>
                    <w:rPr>
                      <w:rFonts w:hint="eastAsia"/>
                      <w:color w:val="auto"/>
                      <w:sz w:val="21"/>
                      <w:szCs w:val="21"/>
                    </w:rPr>
                    <w:t>45.7</w:t>
                  </w:r>
                </w:p>
              </w:tc>
              <w:tc>
                <w:tcPr>
                  <w:tcW w:w="1155" w:type="dxa"/>
                  <w:vAlign w:val="center"/>
                </w:tcPr>
                <w:p>
                  <w:pPr>
                    <w:jc w:val="center"/>
                    <w:rPr>
                      <w:color w:val="auto"/>
                    </w:rPr>
                  </w:pPr>
                  <w:r>
                    <w:rPr>
                      <w:rFonts w:hint="eastAsia"/>
                      <w:color w:val="auto"/>
                    </w:rPr>
                    <w:t>55</w:t>
                  </w:r>
                </w:p>
              </w:tc>
              <w:tc>
                <w:tcPr>
                  <w:tcW w:w="1050" w:type="dxa"/>
                  <w:vAlign w:val="center"/>
                </w:tcPr>
                <w:p>
                  <w:pPr>
                    <w:jc w:val="center"/>
                    <w:rPr>
                      <w:color w:val="auto"/>
                    </w:rPr>
                  </w:pPr>
                  <w:r>
                    <w:rPr>
                      <w:color w:val="auto"/>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980" w:type="dxa"/>
                  <w:vAlign w:val="center"/>
                </w:tcPr>
                <w:p>
                  <w:pPr>
                    <w:jc w:val="center"/>
                    <w:rPr>
                      <w:color w:val="auto"/>
                      <w:lang w:val="zh-CN"/>
                    </w:rPr>
                  </w:pPr>
                  <w:r>
                    <w:rPr>
                      <w:color w:val="auto"/>
                      <w:lang w:val="zh-CN"/>
                    </w:rPr>
                    <w:t>西厂界</w:t>
                  </w:r>
                </w:p>
              </w:tc>
              <w:tc>
                <w:tcPr>
                  <w:tcW w:w="1227" w:type="dxa"/>
                  <w:vAlign w:val="center"/>
                </w:tcPr>
                <w:p>
                  <w:pPr>
                    <w:pStyle w:val="77"/>
                    <w:spacing w:line="240" w:lineRule="auto"/>
                    <w:ind w:firstLine="0" w:firstLineChars="0"/>
                    <w:jc w:val="center"/>
                    <w:rPr>
                      <w:color w:val="auto"/>
                      <w:sz w:val="21"/>
                      <w:szCs w:val="21"/>
                    </w:rPr>
                  </w:pPr>
                  <w:r>
                    <w:rPr>
                      <w:rFonts w:hint="eastAsia"/>
                      <w:color w:val="auto"/>
                      <w:sz w:val="21"/>
                      <w:szCs w:val="21"/>
                    </w:rPr>
                    <w:t>47.4</w:t>
                  </w:r>
                </w:p>
              </w:tc>
              <w:tc>
                <w:tcPr>
                  <w:tcW w:w="1372" w:type="dxa"/>
                  <w:vAlign w:val="center"/>
                </w:tcPr>
                <w:p>
                  <w:pPr>
                    <w:jc w:val="center"/>
                    <w:rPr>
                      <w:color w:val="auto"/>
                    </w:rPr>
                  </w:pPr>
                  <w:r>
                    <w:rPr>
                      <w:color w:val="auto"/>
                    </w:rPr>
                    <w:t>6</w:t>
                  </w:r>
                  <w:r>
                    <w:rPr>
                      <w:rFonts w:hint="eastAsia"/>
                      <w:color w:val="auto"/>
                    </w:rPr>
                    <w:t>5</w:t>
                  </w:r>
                </w:p>
              </w:tc>
              <w:tc>
                <w:tcPr>
                  <w:tcW w:w="1195" w:type="dxa"/>
                  <w:vAlign w:val="center"/>
                </w:tcPr>
                <w:p>
                  <w:pPr>
                    <w:jc w:val="center"/>
                    <w:rPr>
                      <w:color w:val="auto"/>
                    </w:rPr>
                  </w:pPr>
                  <w:r>
                    <w:rPr>
                      <w:color w:val="auto"/>
                    </w:rPr>
                    <w:t>达标</w:t>
                  </w:r>
                </w:p>
              </w:tc>
              <w:tc>
                <w:tcPr>
                  <w:tcW w:w="1220" w:type="dxa"/>
                  <w:vAlign w:val="center"/>
                </w:tcPr>
                <w:p>
                  <w:pPr>
                    <w:pStyle w:val="77"/>
                    <w:spacing w:line="240" w:lineRule="auto"/>
                    <w:ind w:firstLine="0" w:firstLineChars="0"/>
                    <w:jc w:val="center"/>
                    <w:rPr>
                      <w:color w:val="auto"/>
                      <w:sz w:val="21"/>
                      <w:szCs w:val="21"/>
                    </w:rPr>
                  </w:pPr>
                  <w:r>
                    <w:rPr>
                      <w:rFonts w:hint="eastAsia"/>
                      <w:color w:val="auto"/>
                      <w:sz w:val="21"/>
                      <w:szCs w:val="21"/>
                    </w:rPr>
                    <w:t>47.4</w:t>
                  </w:r>
                </w:p>
              </w:tc>
              <w:tc>
                <w:tcPr>
                  <w:tcW w:w="1155" w:type="dxa"/>
                  <w:vAlign w:val="center"/>
                </w:tcPr>
                <w:p>
                  <w:pPr>
                    <w:jc w:val="center"/>
                    <w:rPr>
                      <w:color w:val="auto"/>
                    </w:rPr>
                  </w:pPr>
                  <w:r>
                    <w:rPr>
                      <w:rFonts w:hint="eastAsia"/>
                      <w:color w:val="auto"/>
                    </w:rPr>
                    <w:t>55</w:t>
                  </w:r>
                </w:p>
              </w:tc>
              <w:tc>
                <w:tcPr>
                  <w:tcW w:w="1050" w:type="dxa"/>
                  <w:vAlign w:val="center"/>
                </w:tcPr>
                <w:p>
                  <w:pPr>
                    <w:jc w:val="center"/>
                    <w:rPr>
                      <w:color w:val="auto"/>
                    </w:rPr>
                  </w:pPr>
                  <w:r>
                    <w:rPr>
                      <w:color w:val="auto"/>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80" w:type="dxa"/>
                  <w:vAlign w:val="center"/>
                </w:tcPr>
                <w:p>
                  <w:pPr>
                    <w:jc w:val="center"/>
                    <w:rPr>
                      <w:color w:val="auto"/>
                      <w:lang w:val="zh-CN"/>
                    </w:rPr>
                  </w:pPr>
                  <w:r>
                    <w:rPr>
                      <w:color w:val="auto"/>
                      <w:lang w:val="zh-CN"/>
                    </w:rPr>
                    <w:t>北厂界</w:t>
                  </w:r>
                </w:p>
              </w:tc>
              <w:tc>
                <w:tcPr>
                  <w:tcW w:w="1227" w:type="dxa"/>
                  <w:vAlign w:val="center"/>
                </w:tcPr>
                <w:p>
                  <w:pPr>
                    <w:pStyle w:val="77"/>
                    <w:spacing w:line="240" w:lineRule="auto"/>
                    <w:ind w:firstLine="0" w:firstLineChars="0"/>
                    <w:jc w:val="center"/>
                    <w:rPr>
                      <w:color w:val="auto"/>
                      <w:sz w:val="21"/>
                      <w:szCs w:val="21"/>
                    </w:rPr>
                  </w:pPr>
                  <w:r>
                    <w:rPr>
                      <w:rFonts w:hint="eastAsia"/>
                      <w:color w:val="auto"/>
                      <w:sz w:val="21"/>
                      <w:szCs w:val="21"/>
                    </w:rPr>
                    <w:t>48.3</w:t>
                  </w:r>
                </w:p>
              </w:tc>
              <w:tc>
                <w:tcPr>
                  <w:tcW w:w="1372" w:type="dxa"/>
                  <w:vAlign w:val="center"/>
                </w:tcPr>
                <w:p>
                  <w:pPr>
                    <w:jc w:val="center"/>
                    <w:rPr>
                      <w:color w:val="auto"/>
                    </w:rPr>
                  </w:pPr>
                  <w:r>
                    <w:rPr>
                      <w:color w:val="auto"/>
                    </w:rPr>
                    <w:t>6</w:t>
                  </w:r>
                  <w:r>
                    <w:rPr>
                      <w:rFonts w:hint="eastAsia"/>
                      <w:color w:val="auto"/>
                    </w:rPr>
                    <w:t>5</w:t>
                  </w:r>
                </w:p>
              </w:tc>
              <w:tc>
                <w:tcPr>
                  <w:tcW w:w="1195" w:type="dxa"/>
                  <w:vAlign w:val="center"/>
                </w:tcPr>
                <w:p>
                  <w:pPr>
                    <w:jc w:val="center"/>
                    <w:rPr>
                      <w:color w:val="auto"/>
                    </w:rPr>
                  </w:pPr>
                  <w:r>
                    <w:rPr>
                      <w:color w:val="auto"/>
                    </w:rPr>
                    <w:t>达标</w:t>
                  </w:r>
                </w:p>
              </w:tc>
              <w:tc>
                <w:tcPr>
                  <w:tcW w:w="1220" w:type="dxa"/>
                  <w:vAlign w:val="center"/>
                </w:tcPr>
                <w:p>
                  <w:pPr>
                    <w:pStyle w:val="77"/>
                    <w:spacing w:line="240" w:lineRule="auto"/>
                    <w:ind w:firstLine="0" w:firstLineChars="0"/>
                    <w:jc w:val="center"/>
                    <w:rPr>
                      <w:color w:val="auto"/>
                      <w:sz w:val="21"/>
                      <w:szCs w:val="21"/>
                    </w:rPr>
                  </w:pPr>
                  <w:r>
                    <w:rPr>
                      <w:rFonts w:hint="eastAsia"/>
                      <w:color w:val="auto"/>
                      <w:sz w:val="21"/>
                      <w:szCs w:val="21"/>
                    </w:rPr>
                    <w:t>48.3</w:t>
                  </w:r>
                </w:p>
              </w:tc>
              <w:tc>
                <w:tcPr>
                  <w:tcW w:w="1155" w:type="dxa"/>
                  <w:vAlign w:val="center"/>
                </w:tcPr>
                <w:p>
                  <w:pPr>
                    <w:jc w:val="center"/>
                    <w:rPr>
                      <w:color w:val="auto"/>
                    </w:rPr>
                  </w:pPr>
                  <w:r>
                    <w:rPr>
                      <w:rFonts w:hint="eastAsia"/>
                      <w:color w:val="auto"/>
                    </w:rPr>
                    <w:t>55</w:t>
                  </w:r>
                </w:p>
              </w:tc>
              <w:tc>
                <w:tcPr>
                  <w:tcW w:w="1050" w:type="dxa"/>
                  <w:vAlign w:val="center"/>
                </w:tcPr>
                <w:p>
                  <w:pPr>
                    <w:jc w:val="center"/>
                    <w:rPr>
                      <w:color w:val="auto"/>
                    </w:rPr>
                  </w:pPr>
                  <w:r>
                    <w:rPr>
                      <w:color w:val="auto"/>
                    </w:rPr>
                    <w:t>达标</w:t>
                  </w:r>
                </w:p>
              </w:tc>
            </w:tr>
          </w:tbl>
          <w:p>
            <w:pPr>
              <w:spacing w:line="360" w:lineRule="auto"/>
              <w:ind w:firstLine="480" w:firstLineChars="200"/>
              <w:rPr>
                <w:color w:val="auto"/>
                <w:sz w:val="24"/>
                <w:szCs w:val="24"/>
              </w:rPr>
            </w:pPr>
            <w:r>
              <w:rPr>
                <w:color w:val="auto"/>
                <w:sz w:val="24"/>
                <w:szCs w:val="24"/>
              </w:rPr>
              <w:t>对照评价标准，对本项目建成后预测数据分析评价表明：项目建成后排放的噪声对各测点周围声环境影响不明显，厂界噪声贡献值可以满足《工业企业厂界环境噪声排放标准》(GB12348-2008) 3类标准，因此本</w:t>
            </w:r>
            <w:r>
              <w:rPr>
                <w:rFonts w:hint="eastAsia"/>
                <w:color w:val="auto"/>
                <w:sz w:val="24"/>
                <w:szCs w:val="24"/>
              </w:rPr>
              <w:t>项目</w:t>
            </w:r>
            <w:r>
              <w:rPr>
                <w:color w:val="auto"/>
                <w:sz w:val="24"/>
                <w:szCs w:val="24"/>
              </w:rPr>
              <w:t>环境噪声污染对周围环境影响较小。</w:t>
            </w:r>
          </w:p>
          <w:p>
            <w:pPr>
              <w:pStyle w:val="78"/>
              <w:ind w:firstLine="482"/>
              <w:rPr>
                <w:b/>
                <w:bCs/>
                <w:color w:val="auto"/>
                <w:sz w:val="24"/>
                <w:szCs w:val="24"/>
              </w:rPr>
            </w:pPr>
            <w:r>
              <w:rPr>
                <w:b/>
                <w:bCs/>
                <w:color w:val="auto"/>
                <w:sz w:val="24"/>
                <w:szCs w:val="24"/>
              </w:rPr>
              <w:t>3.4声环境监测计划</w:t>
            </w:r>
          </w:p>
          <w:p>
            <w:pPr>
              <w:pStyle w:val="20"/>
              <w:spacing w:before="0" w:beforeAutospacing="0" w:after="0" w:afterAutospacing="0" w:line="360" w:lineRule="auto"/>
              <w:ind w:firstLine="480" w:firstLineChars="200"/>
              <w:jc w:val="both"/>
              <w:rPr>
                <w:rStyle w:val="79"/>
                <w:color w:val="auto"/>
                <w:sz w:val="24"/>
                <w:szCs w:val="24"/>
              </w:rPr>
            </w:pPr>
            <w:r>
              <w:rPr>
                <w:rFonts w:ascii="Times New Roman" w:hAnsi="Times New Roman"/>
                <w:color w:val="auto"/>
                <w:kern w:val="2"/>
              </w:rPr>
              <w:t>项目营运期的噪声环境监测按《环境监测技术规范》、《污染源监测管理办法》、《排污许可证申请与核发技术规范 总则》、《排污单位自行监测技术指南 总则》（HJ 819-2017）</w:t>
            </w:r>
            <w:r>
              <w:rPr>
                <w:rFonts w:hint="eastAsia" w:ascii="Times New Roman" w:hAnsi="Times New Roman"/>
                <w:color w:val="auto"/>
                <w:kern w:val="2"/>
              </w:rPr>
              <w:t>、</w:t>
            </w:r>
            <w:r>
              <w:rPr>
                <w:rFonts w:ascii="Times New Roman" w:hAnsi="Times New Roman"/>
                <w:color w:val="auto"/>
                <w:kern w:val="2"/>
              </w:rPr>
              <w:t xml:space="preserve">《排污许可证申请与核发技术规范 </w:t>
            </w:r>
            <w:r>
              <w:rPr>
                <w:rFonts w:hint="eastAsia" w:ascii="Times New Roman" w:hAnsi="Times New Roman"/>
                <w:color w:val="auto"/>
                <w:kern w:val="2"/>
              </w:rPr>
              <w:t>农副食品加工工业—饲料加工、植物油加工工业</w:t>
            </w:r>
            <w:r>
              <w:rPr>
                <w:rFonts w:ascii="Times New Roman" w:hAnsi="Times New Roman"/>
                <w:color w:val="auto"/>
                <w:kern w:val="2"/>
              </w:rPr>
              <w:t xml:space="preserve">》（HJ </w:t>
            </w:r>
            <w:r>
              <w:rPr>
                <w:rFonts w:hint="eastAsia" w:ascii="Times New Roman" w:hAnsi="Times New Roman"/>
                <w:color w:val="auto"/>
                <w:kern w:val="2"/>
              </w:rPr>
              <w:t>1110</w:t>
            </w:r>
            <w:r>
              <w:rPr>
                <w:rFonts w:ascii="Times New Roman" w:hAnsi="Times New Roman"/>
                <w:color w:val="auto"/>
                <w:kern w:val="2"/>
              </w:rPr>
              <w:t>-20</w:t>
            </w:r>
            <w:r>
              <w:rPr>
                <w:rFonts w:hint="eastAsia" w:ascii="Times New Roman" w:hAnsi="Times New Roman"/>
                <w:color w:val="auto"/>
                <w:kern w:val="2"/>
              </w:rPr>
              <w:t>20</w:t>
            </w:r>
            <w:r>
              <w:rPr>
                <w:rFonts w:ascii="Times New Roman" w:hAnsi="Times New Roman"/>
                <w:color w:val="auto"/>
                <w:kern w:val="2"/>
              </w:rPr>
              <w:t>）等文件，具体监测工作委托有资质单位进行，执行本项目环境影响评价中的标准，具体计划如下：</w:t>
            </w:r>
          </w:p>
          <w:p>
            <w:pPr>
              <w:widowControl/>
              <w:tabs>
                <w:tab w:val="left" w:pos="420"/>
              </w:tabs>
              <w:spacing w:line="360" w:lineRule="auto"/>
              <w:jc w:val="center"/>
              <w:rPr>
                <w:rStyle w:val="79"/>
                <w:color w:val="auto"/>
                <w:sz w:val="24"/>
                <w:szCs w:val="24"/>
              </w:rPr>
            </w:pPr>
            <w:r>
              <w:rPr>
                <w:rStyle w:val="79"/>
                <w:color w:val="auto"/>
                <w:sz w:val="24"/>
                <w:szCs w:val="24"/>
              </w:rPr>
              <w:t>表4-</w:t>
            </w:r>
            <w:r>
              <w:rPr>
                <w:rStyle w:val="79"/>
                <w:rFonts w:hint="eastAsia"/>
                <w:color w:val="auto"/>
                <w:sz w:val="24"/>
                <w:szCs w:val="24"/>
              </w:rPr>
              <w:t>16</w:t>
            </w:r>
            <w:r>
              <w:rPr>
                <w:rStyle w:val="79"/>
                <w:color w:val="auto"/>
                <w:sz w:val="24"/>
                <w:szCs w:val="24"/>
              </w:rPr>
              <w:t xml:space="preserve">  声环境监测计划一览表</w:t>
            </w:r>
          </w:p>
          <w:tbl>
            <w:tblPr>
              <w:tblStyle w:val="23"/>
              <w:tblW w:w="82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1"/>
              <w:gridCol w:w="1090"/>
              <w:gridCol w:w="1709"/>
              <w:gridCol w:w="955"/>
              <w:gridCol w:w="1163"/>
              <w:gridCol w:w="26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9" w:hRule="atLeast"/>
                <w:jc w:val="center"/>
              </w:trPr>
              <w:tc>
                <w:tcPr>
                  <w:tcW w:w="431" w:type="pct"/>
                  <w:tcBorders>
                    <w:top w:val="single" w:color="auto" w:sz="4" w:space="0"/>
                    <w:left w:val="single" w:color="auto" w:sz="4" w:space="0"/>
                    <w:bottom w:val="single" w:color="auto" w:sz="4" w:space="0"/>
                    <w:right w:val="single" w:color="auto" w:sz="4" w:space="0"/>
                  </w:tcBorders>
                  <w:vAlign w:val="center"/>
                </w:tcPr>
                <w:p>
                  <w:pPr>
                    <w:pStyle w:val="53"/>
                    <w:spacing w:before="24" w:after="24"/>
                    <w:rPr>
                      <w:rFonts w:ascii="Times New Roman"/>
                      <w:b/>
                      <w:bCs/>
                      <w:color w:val="auto"/>
                    </w:rPr>
                  </w:pPr>
                  <w:r>
                    <w:rPr>
                      <w:rFonts w:ascii="Times New Roman"/>
                      <w:b/>
                      <w:bCs/>
                      <w:color w:val="auto"/>
                    </w:rPr>
                    <w:t>序号</w:t>
                  </w:r>
                </w:p>
              </w:tc>
              <w:tc>
                <w:tcPr>
                  <w:tcW w:w="661" w:type="pct"/>
                  <w:tcBorders>
                    <w:top w:val="single" w:color="auto" w:sz="4" w:space="0"/>
                    <w:left w:val="single" w:color="auto" w:sz="4" w:space="0"/>
                    <w:bottom w:val="single" w:color="auto" w:sz="4" w:space="0"/>
                    <w:right w:val="single" w:color="auto" w:sz="4" w:space="0"/>
                  </w:tcBorders>
                  <w:vAlign w:val="center"/>
                </w:tcPr>
                <w:p>
                  <w:pPr>
                    <w:pStyle w:val="53"/>
                    <w:spacing w:before="24" w:after="24"/>
                    <w:rPr>
                      <w:rFonts w:ascii="Times New Roman"/>
                      <w:b/>
                      <w:bCs/>
                      <w:color w:val="auto"/>
                    </w:rPr>
                  </w:pPr>
                  <w:r>
                    <w:rPr>
                      <w:rFonts w:ascii="Times New Roman"/>
                      <w:b/>
                      <w:bCs/>
                      <w:color w:val="auto"/>
                    </w:rPr>
                    <w:t>监测点位</w:t>
                  </w:r>
                </w:p>
              </w:tc>
              <w:tc>
                <w:tcPr>
                  <w:tcW w:w="1037" w:type="pct"/>
                  <w:tcBorders>
                    <w:top w:val="single" w:color="auto" w:sz="4" w:space="0"/>
                    <w:left w:val="single" w:color="auto" w:sz="4" w:space="0"/>
                    <w:bottom w:val="single" w:color="auto" w:sz="4" w:space="0"/>
                    <w:right w:val="single" w:color="auto" w:sz="4" w:space="0"/>
                  </w:tcBorders>
                  <w:vAlign w:val="center"/>
                </w:tcPr>
                <w:p>
                  <w:pPr>
                    <w:pStyle w:val="53"/>
                    <w:spacing w:before="24" w:after="24"/>
                    <w:rPr>
                      <w:rFonts w:ascii="Times New Roman"/>
                      <w:b/>
                      <w:bCs/>
                      <w:color w:val="auto"/>
                    </w:rPr>
                  </w:pPr>
                  <w:r>
                    <w:rPr>
                      <w:rFonts w:ascii="Times New Roman"/>
                      <w:b/>
                      <w:bCs/>
                      <w:color w:val="auto"/>
                    </w:rPr>
                    <w:t>监测项目</w:t>
                  </w:r>
                </w:p>
              </w:tc>
              <w:tc>
                <w:tcPr>
                  <w:tcW w:w="580" w:type="pct"/>
                  <w:tcBorders>
                    <w:top w:val="single" w:color="auto" w:sz="4" w:space="0"/>
                    <w:left w:val="single" w:color="auto" w:sz="4" w:space="0"/>
                    <w:bottom w:val="single" w:color="auto" w:sz="4" w:space="0"/>
                    <w:right w:val="single" w:color="auto" w:sz="4" w:space="0"/>
                  </w:tcBorders>
                  <w:vAlign w:val="center"/>
                </w:tcPr>
                <w:p>
                  <w:pPr>
                    <w:pStyle w:val="53"/>
                    <w:spacing w:before="24" w:after="24"/>
                    <w:rPr>
                      <w:rFonts w:ascii="Times New Roman"/>
                      <w:b/>
                      <w:bCs/>
                      <w:color w:val="auto"/>
                    </w:rPr>
                  </w:pPr>
                  <w:r>
                    <w:rPr>
                      <w:rFonts w:ascii="Times New Roman"/>
                      <w:b/>
                      <w:bCs/>
                      <w:color w:val="auto"/>
                    </w:rPr>
                    <w:t>频率</w:t>
                  </w:r>
                </w:p>
              </w:tc>
              <w:tc>
                <w:tcPr>
                  <w:tcW w:w="706" w:type="pct"/>
                  <w:tcBorders>
                    <w:top w:val="single" w:color="auto" w:sz="4" w:space="0"/>
                    <w:left w:val="single" w:color="auto" w:sz="4" w:space="0"/>
                    <w:bottom w:val="single" w:color="auto" w:sz="4" w:space="0"/>
                    <w:right w:val="single" w:color="auto" w:sz="4" w:space="0"/>
                  </w:tcBorders>
                  <w:vAlign w:val="center"/>
                </w:tcPr>
                <w:p>
                  <w:pPr>
                    <w:pStyle w:val="53"/>
                    <w:spacing w:before="24" w:after="24"/>
                    <w:rPr>
                      <w:rFonts w:ascii="Times New Roman"/>
                      <w:b/>
                      <w:bCs/>
                      <w:color w:val="auto"/>
                    </w:rPr>
                  </w:pPr>
                  <w:r>
                    <w:rPr>
                      <w:rFonts w:ascii="Times New Roman"/>
                      <w:b/>
                      <w:bCs/>
                      <w:color w:val="auto"/>
                    </w:rPr>
                    <w:t>实施单位</w:t>
                  </w:r>
                </w:p>
              </w:tc>
              <w:tc>
                <w:tcPr>
                  <w:tcW w:w="1583" w:type="pct"/>
                  <w:tcBorders>
                    <w:top w:val="single" w:color="auto" w:sz="4" w:space="0"/>
                    <w:left w:val="single" w:color="auto" w:sz="4" w:space="0"/>
                    <w:bottom w:val="single" w:color="auto" w:sz="4" w:space="0"/>
                    <w:right w:val="single" w:color="auto" w:sz="4" w:space="0"/>
                  </w:tcBorders>
                  <w:vAlign w:val="center"/>
                </w:tcPr>
                <w:p>
                  <w:pPr>
                    <w:pStyle w:val="53"/>
                    <w:spacing w:before="24" w:after="24"/>
                    <w:rPr>
                      <w:rFonts w:ascii="Times New Roman"/>
                      <w:b/>
                      <w:bCs/>
                      <w:color w:val="auto"/>
                    </w:rPr>
                  </w:pPr>
                  <w:r>
                    <w:rPr>
                      <w:rFonts w:ascii="Times New Roman"/>
                      <w:b/>
                      <w:bCs/>
                      <w:color w:val="auto"/>
                    </w:rPr>
                    <w:t>执行标准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431" w:type="pct"/>
                  <w:tcBorders>
                    <w:top w:val="single" w:color="auto" w:sz="4" w:space="0"/>
                    <w:left w:val="single" w:color="auto" w:sz="4" w:space="0"/>
                    <w:bottom w:val="single" w:color="auto" w:sz="4" w:space="0"/>
                    <w:right w:val="single" w:color="auto" w:sz="4" w:space="0"/>
                  </w:tcBorders>
                  <w:vAlign w:val="center"/>
                </w:tcPr>
                <w:p>
                  <w:pPr>
                    <w:pStyle w:val="53"/>
                    <w:spacing w:before="24" w:after="24"/>
                    <w:rPr>
                      <w:rFonts w:ascii="Times New Roman"/>
                      <w:color w:val="auto"/>
                    </w:rPr>
                  </w:pPr>
                  <w:r>
                    <w:rPr>
                      <w:rFonts w:ascii="Times New Roman"/>
                      <w:color w:val="auto"/>
                    </w:rPr>
                    <w:t>1</w:t>
                  </w:r>
                </w:p>
              </w:tc>
              <w:tc>
                <w:tcPr>
                  <w:tcW w:w="661" w:type="pct"/>
                  <w:tcBorders>
                    <w:top w:val="single" w:color="auto" w:sz="4" w:space="0"/>
                    <w:left w:val="single" w:color="auto" w:sz="4" w:space="0"/>
                    <w:bottom w:val="single" w:color="auto" w:sz="4" w:space="0"/>
                    <w:right w:val="single" w:color="auto" w:sz="4" w:space="0"/>
                  </w:tcBorders>
                  <w:vAlign w:val="center"/>
                </w:tcPr>
                <w:p>
                  <w:pPr>
                    <w:pStyle w:val="53"/>
                    <w:spacing w:before="24" w:after="24"/>
                    <w:rPr>
                      <w:rStyle w:val="28"/>
                      <w:rFonts w:ascii="Times New Roman"/>
                      <w:color w:val="auto"/>
                    </w:rPr>
                  </w:pPr>
                  <w:r>
                    <w:rPr>
                      <w:rFonts w:ascii="Times New Roman"/>
                      <w:color w:val="auto"/>
                    </w:rPr>
                    <w:t>厂界噪声</w:t>
                  </w:r>
                </w:p>
              </w:tc>
              <w:tc>
                <w:tcPr>
                  <w:tcW w:w="1037" w:type="pct"/>
                  <w:tcBorders>
                    <w:top w:val="single" w:color="auto" w:sz="4" w:space="0"/>
                    <w:left w:val="single" w:color="auto" w:sz="4" w:space="0"/>
                    <w:bottom w:val="single" w:color="auto" w:sz="4" w:space="0"/>
                    <w:right w:val="single" w:color="auto" w:sz="4" w:space="0"/>
                  </w:tcBorders>
                  <w:vAlign w:val="center"/>
                </w:tcPr>
                <w:p>
                  <w:pPr>
                    <w:pStyle w:val="53"/>
                    <w:spacing w:before="24" w:after="24"/>
                    <w:rPr>
                      <w:rFonts w:ascii="Times New Roman"/>
                      <w:color w:val="auto"/>
                    </w:rPr>
                  </w:pPr>
                  <w:r>
                    <w:rPr>
                      <w:rFonts w:ascii="Times New Roman"/>
                      <w:color w:val="auto"/>
                    </w:rPr>
                    <w:t>等效连续A声级</w:t>
                  </w:r>
                </w:p>
              </w:tc>
              <w:tc>
                <w:tcPr>
                  <w:tcW w:w="580" w:type="pct"/>
                  <w:tcBorders>
                    <w:top w:val="single" w:color="auto" w:sz="4" w:space="0"/>
                    <w:left w:val="single" w:color="auto" w:sz="4" w:space="0"/>
                    <w:bottom w:val="single" w:color="auto" w:sz="4" w:space="0"/>
                    <w:right w:val="single" w:color="auto" w:sz="4" w:space="0"/>
                  </w:tcBorders>
                  <w:vAlign w:val="center"/>
                </w:tcPr>
                <w:p>
                  <w:pPr>
                    <w:pStyle w:val="53"/>
                    <w:spacing w:before="24" w:after="24"/>
                    <w:rPr>
                      <w:rFonts w:ascii="Times New Roman"/>
                      <w:color w:val="auto"/>
                    </w:rPr>
                  </w:pPr>
                  <w:r>
                    <w:rPr>
                      <w:rFonts w:ascii="Times New Roman"/>
                      <w:color w:val="auto"/>
                    </w:rPr>
                    <w:t>1次/季</w:t>
                  </w:r>
                </w:p>
              </w:tc>
              <w:tc>
                <w:tcPr>
                  <w:tcW w:w="706" w:type="pct"/>
                  <w:tcBorders>
                    <w:top w:val="single" w:color="auto" w:sz="4" w:space="0"/>
                    <w:left w:val="single" w:color="auto" w:sz="4" w:space="0"/>
                    <w:bottom w:val="single" w:color="auto" w:sz="4" w:space="0"/>
                    <w:right w:val="single" w:color="auto" w:sz="4" w:space="0"/>
                  </w:tcBorders>
                  <w:vAlign w:val="center"/>
                </w:tcPr>
                <w:p>
                  <w:pPr>
                    <w:pStyle w:val="53"/>
                    <w:spacing w:before="24" w:after="24"/>
                    <w:rPr>
                      <w:rFonts w:ascii="Times New Roman"/>
                      <w:color w:val="auto"/>
                    </w:rPr>
                  </w:pPr>
                  <w:r>
                    <w:rPr>
                      <w:rFonts w:ascii="Times New Roman"/>
                      <w:color w:val="auto"/>
                    </w:rPr>
                    <w:t>有资质的监测单位</w:t>
                  </w:r>
                </w:p>
              </w:tc>
              <w:tc>
                <w:tcPr>
                  <w:tcW w:w="1583" w:type="pct"/>
                  <w:tcBorders>
                    <w:top w:val="single" w:color="auto" w:sz="4" w:space="0"/>
                    <w:left w:val="single" w:color="auto" w:sz="4" w:space="0"/>
                    <w:bottom w:val="single" w:color="auto" w:sz="4" w:space="0"/>
                    <w:right w:val="single" w:color="auto" w:sz="4" w:space="0"/>
                  </w:tcBorders>
                  <w:vAlign w:val="center"/>
                </w:tcPr>
                <w:p>
                  <w:pPr>
                    <w:pStyle w:val="53"/>
                    <w:spacing w:before="24" w:after="24"/>
                    <w:rPr>
                      <w:rFonts w:ascii="Times New Roman"/>
                      <w:color w:val="auto"/>
                    </w:rPr>
                  </w:pPr>
                  <w:r>
                    <w:rPr>
                      <w:rFonts w:ascii="Times New Roman"/>
                      <w:color w:val="auto"/>
                    </w:rPr>
                    <w:t>《工业企业厂界环境噪声排放标准》（GB12348- 2008）3类标准要求</w:t>
                  </w:r>
                </w:p>
              </w:tc>
            </w:tr>
          </w:tbl>
          <w:p>
            <w:pPr>
              <w:spacing w:line="360" w:lineRule="auto"/>
              <w:ind w:firstLine="482" w:firstLineChars="200"/>
              <w:rPr>
                <w:b/>
                <w:bCs/>
                <w:color w:val="auto"/>
                <w:sz w:val="24"/>
                <w:szCs w:val="24"/>
              </w:rPr>
            </w:pPr>
            <w:r>
              <w:rPr>
                <w:b/>
                <w:bCs/>
                <w:color w:val="auto"/>
                <w:sz w:val="24"/>
                <w:szCs w:val="24"/>
              </w:rPr>
              <w:t>4、固体废物</w:t>
            </w:r>
          </w:p>
          <w:p>
            <w:pPr>
              <w:spacing w:line="360" w:lineRule="auto"/>
              <w:ind w:firstLine="482" w:firstLineChars="200"/>
              <w:rPr>
                <w:b/>
                <w:bCs/>
                <w:color w:val="auto"/>
                <w:sz w:val="24"/>
                <w:szCs w:val="24"/>
              </w:rPr>
            </w:pPr>
            <w:r>
              <w:rPr>
                <w:b/>
                <w:bCs/>
                <w:color w:val="auto"/>
                <w:sz w:val="24"/>
                <w:szCs w:val="24"/>
              </w:rPr>
              <w:t>4.1固体废物污染源分析</w:t>
            </w:r>
          </w:p>
          <w:p>
            <w:pPr>
              <w:spacing w:line="360" w:lineRule="auto"/>
              <w:ind w:firstLine="480" w:firstLineChars="200"/>
              <w:rPr>
                <w:color w:val="auto"/>
                <w:sz w:val="24"/>
                <w:szCs w:val="24"/>
              </w:rPr>
            </w:pPr>
            <w:r>
              <w:rPr>
                <w:color w:val="auto"/>
                <w:sz w:val="24"/>
                <w:szCs w:val="24"/>
              </w:rPr>
              <w:t>本项目运营期固体废物主要为生活垃圾、</w:t>
            </w:r>
            <w:r>
              <w:rPr>
                <w:rFonts w:hint="eastAsia"/>
                <w:color w:val="auto"/>
                <w:sz w:val="24"/>
                <w:szCs w:val="24"/>
              </w:rPr>
              <w:t>初清筛杂质</w:t>
            </w:r>
            <w:r>
              <w:rPr>
                <w:color w:val="auto"/>
                <w:sz w:val="24"/>
                <w:szCs w:val="24"/>
              </w:rPr>
              <w:t>、</w:t>
            </w:r>
            <w:r>
              <w:rPr>
                <w:rFonts w:hint="eastAsia"/>
                <w:color w:val="auto"/>
                <w:sz w:val="24"/>
                <w:szCs w:val="24"/>
              </w:rPr>
              <w:t>磁选杂质</w:t>
            </w:r>
            <w:r>
              <w:rPr>
                <w:color w:val="auto"/>
                <w:sz w:val="24"/>
                <w:szCs w:val="24"/>
              </w:rPr>
              <w:t>、</w:t>
            </w:r>
            <w:r>
              <w:rPr>
                <w:rFonts w:hint="eastAsia"/>
                <w:color w:val="auto"/>
                <w:sz w:val="24"/>
                <w:szCs w:val="24"/>
              </w:rPr>
              <w:t>废包装袋、除尘器收集的粉尘、</w:t>
            </w:r>
            <w:r>
              <w:rPr>
                <w:rFonts w:hint="eastAsia"/>
                <w:color w:val="auto"/>
                <w:sz w:val="24"/>
                <w:szCs w:val="24"/>
                <w:lang w:eastAsia="zh-CN"/>
              </w:rPr>
              <w:t>纯</w:t>
            </w:r>
            <w:r>
              <w:rPr>
                <w:rFonts w:hint="eastAsia"/>
                <w:color w:val="auto"/>
                <w:sz w:val="24"/>
                <w:szCs w:val="24"/>
              </w:rPr>
              <w:t>水制备废离子交换树脂、废弃的含油抹布、劳保用品、</w:t>
            </w:r>
            <w:r>
              <w:rPr>
                <w:color w:val="auto"/>
                <w:sz w:val="24"/>
                <w:szCs w:val="24"/>
              </w:rPr>
              <w:t>废</w:t>
            </w:r>
            <w:r>
              <w:rPr>
                <w:rFonts w:hint="eastAsia"/>
                <w:color w:val="auto"/>
                <w:sz w:val="24"/>
                <w:szCs w:val="24"/>
              </w:rPr>
              <w:t>机油和废机油桶</w:t>
            </w:r>
            <w:r>
              <w:rPr>
                <w:color w:val="auto"/>
                <w:sz w:val="24"/>
                <w:szCs w:val="24"/>
              </w:rPr>
              <w:t>。</w:t>
            </w:r>
          </w:p>
          <w:p>
            <w:pPr>
              <w:spacing w:line="360" w:lineRule="auto"/>
              <w:ind w:firstLine="480" w:firstLineChars="200"/>
              <w:rPr>
                <w:color w:val="auto"/>
                <w:sz w:val="24"/>
                <w:szCs w:val="24"/>
              </w:rPr>
            </w:pPr>
            <w:r>
              <w:rPr>
                <w:color w:val="auto"/>
                <w:sz w:val="24"/>
                <w:szCs w:val="24"/>
              </w:rPr>
              <w:t>①生活垃圾</w:t>
            </w:r>
          </w:p>
          <w:p>
            <w:pPr>
              <w:spacing w:line="360" w:lineRule="auto"/>
              <w:ind w:firstLine="480" w:firstLineChars="200"/>
              <w:rPr>
                <w:color w:val="auto"/>
                <w:sz w:val="24"/>
              </w:rPr>
            </w:pPr>
            <w:r>
              <w:rPr>
                <w:color w:val="auto"/>
                <w:sz w:val="24"/>
              </w:rPr>
              <w:t>项目劳动定员共计</w:t>
            </w:r>
            <w:r>
              <w:rPr>
                <w:rFonts w:hint="eastAsia"/>
                <w:color w:val="auto"/>
                <w:sz w:val="24"/>
              </w:rPr>
              <w:t>4</w:t>
            </w:r>
            <w:r>
              <w:rPr>
                <w:color w:val="auto"/>
                <w:sz w:val="24"/>
              </w:rPr>
              <w:t>0人，年工作300天，按每人每天产生0.5kg垃圾计算，项目生活垃圾产生量约</w:t>
            </w:r>
            <w:r>
              <w:rPr>
                <w:rFonts w:hint="eastAsia"/>
                <w:color w:val="auto"/>
                <w:sz w:val="24"/>
              </w:rPr>
              <w:t>6</w:t>
            </w:r>
            <w:r>
              <w:rPr>
                <w:color w:val="auto"/>
                <w:sz w:val="24"/>
              </w:rPr>
              <w:t>t/a，厂区设置垃圾桶，生活垃圾经厂内垃圾桶收集后委托环卫部门统一处理。</w:t>
            </w:r>
          </w:p>
          <w:p>
            <w:pPr>
              <w:spacing w:line="360" w:lineRule="auto"/>
              <w:ind w:firstLine="480" w:firstLineChars="200"/>
              <w:rPr>
                <w:color w:val="auto"/>
                <w:sz w:val="24"/>
                <w:szCs w:val="24"/>
              </w:rPr>
            </w:pPr>
            <w:r>
              <w:rPr>
                <w:color w:val="auto"/>
                <w:sz w:val="24"/>
                <w:szCs w:val="24"/>
              </w:rPr>
              <w:t>②</w:t>
            </w:r>
            <w:r>
              <w:rPr>
                <w:rFonts w:hint="eastAsia"/>
                <w:color w:val="auto"/>
                <w:sz w:val="24"/>
                <w:szCs w:val="24"/>
              </w:rPr>
              <w:t>粒料初清筛杂质</w:t>
            </w:r>
          </w:p>
          <w:p>
            <w:pPr>
              <w:spacing w:line="360" w:lineRule="auto"/>
              <w:ind w:firstLine="480" w:firstLineChars="200"/>
              <w:rPr>
                <w:color w:val="auto"/>
                <w:sz w:val="24"/>
                <w:szCs w:val="24"/>
              </w:rPr>
            </w:pPr>
            <w:r>
              <w:rPr>
                <w:rFonts w:hint="eastAsia"/>
                <w:color w:val="auto"/>
                <w:sz w:val="24"/>
                <w:szCs w:val="24"/>
              </w:rPr>
              <w:t>本项目粒料、粉料用量约为176400t/a，在粉碎前对粒料进行筛分，主要去除较大块的杂质，可能产生的杂质主要为石块、土块、塑料等，根据业主提供的资料可知，初清筛杂质的产生量按原料用量的0.01%计算，则初清筛杂质的产生量约为17.64t/a，统一收集后，委托环卫部门清运处置。</w:t>
            </w:r>
          </w:p>
          <w:p>
            <w:pPr>
              <w:spacing w:line="360" w:lineRule="auto"/>
              <w:ind w:firstLine="480" w:firstLineChars="200"/>
              <w:rPr>
                <w:color w:val="auto"/>
                <w:sz w:val="24"/>
                <w:szCs w:val="24"/>
              </w:rPr>
            </w:pPr>
            <w:r>
              <w:rPr>
                <w:color w:val="auto"/>
                <w:sz w:val="24"/>
                <w:szCs w:val="24"/>
              </w:rPr>
              <w:t>③</w:t>
            </w:r>
            <w:r>
              <w:rPr>
                <w:rFonts w:hint="eastAsia"/>
                <w:color w:val="auto"/>
                <w:sz w:val="24"/>
                <w:szCs w:val="24"/>
              </w:rPr>
              <w:t>磁选杂质</w:t>
            </w:r>
          </w:p>
          <w:p>
            <w:pPr>
              <w:spacing w:line="360" w:lineRule="auto"/>
              <w:ind w:firstLine="480" w:firstLineChars="200"/>
              <w:rPr>
                <w:color w:val="auto"/>
                <w:sz w:val="24"/>
                <w:szCs w:val="24"/>
              </w:rPr>
            </w:pPr>
            <w:r>
              <w:rPr>
                <w:rFonts w:hint="eastAsia"/>
                <w:color w:val="auto"/>
                <w:sz w:val="24"/>
                <w:szCs w:val="24"/>
              </w:rPr>
              <w:t>为保证饲料质量，项目采用永磁筒对粒料原料、粉料原料进行磁选，磁选过程主要去除原料中的磁选杂质，主要为铁质等金属杂质。根据业主提供的资料可知，磁选杂质的产生量按原料用量的0.005%计算，本项目粒料、粉料使用量约为176400t/a，则磁选杂质的产生量约为8.82t/a，统一收集后，外售综合利用。</w:t>
            </w:r>
          </w:p>
          <w:p>
            <w:pPr>
              <w:spacing w:line="360" w:lineRule="auto"/>
              <w:ind w:firstLine="480" w:firstLineChars="200"/>
              <w:rPr>
                <w:color w:val="auto"/>
                <w:sz w:val="24"/>
                <w:szCs w:val="24"/>
              </w:rPr>
            </w:pPr>
            <w:r>
              <w:rPr>
                <w:color w:val="auto"/>
                <w:sz w:val="24"/>
                <w:szCs w:val="24"/>
              </w:rPr>
              <w:t>④</w:t>
            </w:r>
            <w:r>
              <w:rPr>
                <w:rFonts w:hint="eastAsia"/>
                <w:color w:val="auto"/>
                <w:sz w:val="24"/>
                <w:szCs w:val="24"/>
              </w:rPr>
              <w:t>废包装袋</w:t>
            </w:r>
          </w:p>
          <w:p>
            <w:pPr>
              <w:spacing w:line="360" w:lineRule="auto"/>
              <w:ind w:firstLine="480" w:firstLineChars="200"/>
              <w:rPr>
                <w:color w:val="auto"/>
                <w:sz w:val="24"/>
                <w:szCs w:val="24"/>
              </w:rPr>
            </w:pPr>
            <w:r>
              <w:rPr>
                <w:rFonts w:hint="eastAsia"/>
                <w:color w:val="auto"/>
                <w:sz w:val="24"/>
                <w:szCs w:val="24"/>
              </w:rPr>
              <w:t>本项目原辅料投料前拆除包装会产生废包装袋，根据业主提供的资料可知，废包装袋的产生量约为15t/a，统一收集后，暂存于一般固废间，之后外售综合处理。</w:t>
            </w:r>
          </w:p>
          <w:p>
            <w:pPr>
              <w:spacing w:line="360" w:lineRule="auto"/>
              <w:ind w:firstLine="480" w:firstLineChars="200"/>
              <w:rPr>
                <w:color w:val="auto"/>
                <w:sz w:val="24"/>
                <w:szCs w:val="24"/>
              </w:rPr>
            </w:pPr>
            <w:r>
              <w:rPr>
                <w:color w:val="auto"/>
                <w:sz w:val="24"/>
                <w:szCs w:val="24"/>
              </w:rPr>
              <w:t>⑤</w:t>
            </w:r>
            <w:r>
              <w:rPr>
                <w:rFonts w:hint="eastAsia"/>
                <w:color w:val="auto"/>
                <w:sz w:val="24"/>
                <w:szCs w:val="24"/>
              </w:rPr>
              <w:t>除尘器收集的粉尘</w:t>
            </w:r>
          </w:p>
          <w:p>
            <w:pPr>
              <w:pStyle w:val="30"/>
              <w:spacing w:line="360" w:lineRule="auto"/>
              <w:ind w:firstLine="480" w:firstLineChars="200"/>
              <w:rPr>
                <w:rFonts w:ascii="Times New Roman" w:hAnsi="Times New Roman" w:cs="Times New Roman"/>
                <w:color w:val="auto"/>
              </w:rPr>
            </w:pPr>
            <w:r>
              <w:rPr>
                <w:rFonts w:ascii="Times New Roman" w:hAnsi="Times New Roman"/>
                <w:color w:val="auto"/>
              </w:rPr>
              <w:t>本项目</w:t>
            </w:r>
            <w:r>
              <w:rPr>
                <w:rFonts w:hint="eastAsia" w:ascii="Times New Roman" w:hAnsi="Times New Roman"/>
                <w:color w:val="auto"/>
              </w:rPr>
              <w:t>饲料生产过程中</w:t>
            </w:r>
            <w:r>
              <w:rPr>
                <w:rFonts w:ascii="Times New Roman" w:hAnsi="Times New Roman"/>
                <w:color w:val="auto"/>
              </w:rPr>
              <w:t>会有粉尘产生，经除尘器处理后，收集到的粉尘回用于生产。根据前文计算可知，除尘</w:t>
            </w:r>
            <w:r>
              <w:rPr>
                <w:rFonts w:hint="eastAsia" w:ascii="Times New Roman" w:hAnsi="Times New Roman"/>
                <w:color w:val="auto"/>
              </w:rPr>
              <w:t>器</w:t>
            </w:r>
            <w:r>
              <w:rPr>
                <w:rFonts w:ascii="Times New Roman" w:hAnsi="Times New Roman"/>
                <w:color w:val="auto"/>
              </w:rPr>
              <w:t>收集</w:t>
            </w:r>
            <w:r>
              <w:rPr>
                <w:rFonts w:hint="eastAsia" w:ascii="Times New Roman" w:hAnsi="Times New Roman"/>
                <w:color w:val="auto"/>
              </w:rPr>
              <w:t>的</w:t>
            </w:r>
            <w:r>
              <w:rPr>
                <w:rFonts w:ascii="Times New Roman" w:hAnsi="Times New Roman"/>
                <w:color w:val="auto"/>
              </w:rPr>
              <w:t>粉尘量约为</w:t>
            </w:r>
            <w:r>
              <w:rPr>
                <w:rFonts w:hint="eastAsia" w:ascii="Times New Roman" w:hAnsi="Times New Roman"/>
                <w:color w:val="auto"/>
                <w:lang w:eastAsia="zh-CN"/>
              </w:rPr>
              <w:t>12.147</w:t>
            </w:r>
            <w:r>
              <w:rPr>
                <w:rFonts w:ascii="Times New Roman" w:hAnsi="Times New Roman"/>
                <w:color w:val="auto"/>
              </w:rPr>
              <w:t>t/a，收集后作为原料回用于生产。</w:t>
            </w:r>
          </w:p>
          <w:p>
            <w:pPr>
              <w:pStyle w:val="20"/>
              <w:spacing w:before="0" w:beforeAutospacing="0" w:after="0" w:afterAutospacing="0" w:line="360" w:lineRule="auto"/>
              <w:ind w:firstLine="480" w:firstLineChars="200"/>
              <w:jc w:val="both"/>
              <w:rPr>
                <w:rFonts w:ascii="Times New Roman" w:hAnsi="Times New Roman" w:cs="宋体"/>
                <w:color w:val="auto"/>
                <w:kern w:val="2"/>
              </w:rPr>
            </w:pPr>
            <w:r>
              <w:rPr>
                <w:rFonts w:ascii="Times New Roman" w:hAnsi="Times New Roman" w:cs="宋体"/>
                <w:color w:val="auto"/>
                <w:kern w:val="2"/>
              </w:rPr>
              <w:t>⑥废机油</w:t>
            </w:r>
          </w:p>
          <w:p>
            <w:pPr>
              <w:pStyle w:val="20"/>
              <w:spacing w:before="0" w:beforeAutospacing="0" w:after="0" w:afterAutospacing="0" w:line="360" w:lineRule="auto"/>
              <w:ind w:firstLine="480" w:firstLineChars="200"/>
              <w:jc w:val="both"/>
              <w:rPr>
                <w:rFonts w:ascii="Times New Roman" w:hAnsi="Times New Roman" w:cs="宋体"/>
                <w:color w:val="auto"/>
                <w:kern w:val="2"/>
              </w:rPr>
            </w:pPr>
            <w:r>
              <w:rPr>
                <w:rFonts w:ascii="Times New Roman" w:hAnsi="Times New Roman" w:cs="宋体"/>
                <w:color w:val="auto"/>
                <w:kern w:val="2"/>
              </w:rPr>
              <w:t>根据</w:t>
            </w:r>
            <w:r>
              <w:rPr>
                <w:rFonts w:hint="eastAsia" w:ascii="Times New Roman" w:hAnsi="Times New Roman" w:cs="宋体"/>
                <w:color w:val="auto"/>
                <w:kern w:val="2"/>
              </w:rPr>
              <w:t>业主</w:t>
            </w:r>
            <w:r>
              <w:rPr>
                <w:rFonts w:ascii="Times New Roman" w:hAnsi="Times New Roman" w:cs="宋体"/>
                <w:color w:val="auto"/>
                <w:kern w:val="2"/>
              </w:rPr>
              <w:t>提供的资料可知，本项目机油的年用量约为</w:t>
            </w:r>
            <w:r>
              <w:rPr>
                <w:rFonts w:hint="eastAsia" w:ascii="Times New Roman" w:hAnsi="Times New Roman" w:cs="宋体"/>
                <w:color w:val="auto"/>
                <w:kern w:val="2"/>
                <w:lang w:val="en-US" w:eastAsia="zh-CN"/>
              </w:rPr>
              <w:t>0.4</w:t>
            </w:r>
            <w:r>
              <w:rPr>
                <w:rFonts w:ascii="Times New Roman" w:hAnsi="Times New Roman" w:cs="宋体"/>
                <w:color w:val="auto"/>
                <w:kern w:val="2"/>
              </w:rPr>
              <w:t>t/a，给生产设备维护时约</w:t>
            </w:r>
            <w:r>
              <w:rPr>
                <w:rFonts w:hint="eastAsia" w:ascii="Times New Roman" w:hAnsi="Times New Roman" w:cs="宋体"/>
                <w:color w:val="auto"/>
                <w:kern w:val="2"/>
                <w:lang w:val="en-US" w:eastAsia="zh-CN"/>
              </w:rPr>
              <w:t>1</w:t>
            </w:r>
            <w:r>
              <w:rPr>
                <w:rFonts w:ascii="Times New Roman" w:hAnsi="Times New Roman" w:cs="宋体"/>
                <w:color w:val="auto"/>
                <w:kern w:val="2"/>
              </w:rPr>
              <w:t>0%的机油量转化为废机油，则本项目产生的废机油量约为</w:t>
            </w:r>
            <w:r>
              <w:rPr>
                <w:rFonts w:hint="eastAsia" w:ascii="Times New Roman" w:hAnsi="Times New Roman" w:cs="宋体"/>
                <w:color w:val="auto"/>
                <w:kern w:val="2"/>
              </w:rPr>
              <w:t>0.</w:t>
            </w:r>
            <w:r>
              <w:rPr>
                <w:rFonts w:hint="eastAsia" w:ascii="Times New Roman" w:hAnsi="Times New Roman" w:cs="宋体"/>
                <w:color w:val="auto"/>
                <w:kern w:val="2"/>
                <w:lang w:val="en-US" w:eastAsia="zh-CN"/>
              </w:rPr>
              <w:t>04</w:t>
            </w:r>
            <w:r>
              <w:rPr>
                <w:rFonts w:ascii="Times New Roman" w:hAnsi="Times New Roman" w:cs="宋体"/>
                <w:color w:val="auto"/>
                <w:kern w:val="2"/>
              </w:rPr>
              <w:t>t/a，废机油属于危险废物，废物代码为HW08-900-214-08。废机油经收集后放入专用的储存桶内暂存于危险废物暂存间内，委托有危险废物处理资质的单位妥善处置。</w:t>
            </w:r>
          </w:p>
          <w:p>
            <w:pPr>
              <w:pStyle w:val="20"/>
              <w:spacing w:before="0" w:beforeAutospacing="0" w:after="0" w:afterAutospacing="0" w:line="360" w:lineRule="auto"/>
              <w:ind w:firstLine="480" w:firstLineChars="200"/>
              <w:jc w:val="both"/>
              <w:rPr>
                <w:rFonts w:ascii="Times New Roman" w:hAnsi="Times New Roman" w:cs="宋体"/>
                <w:color w:val="auto"/>
                <w:kern w:val="2"/>
              </w:rPr>
            </w:pPr>
            <w:r>
              <w:rPr>
                <w:rFonts w:ascii="Times New Roman" w:hAnsi="Times New Roman" w:cs="宋体"/>
                <w:color w:val="auto"/>
                <w:kern w:val="2"/>
              </w:rPr>
              <w:t>⑦废机油桶</w:t>
            </w:r>
          </w:p>
          <w:p>
            <w:pPr>
              <w:pStyle w:val="30"/>
              <w:spacing w:line="360" w:lineRule="auto"/>
              <w:ind w:firstLine="480" w:firstLineChars="200"/>
              <w:rPr>
                <w:rFonts w:ascii="Times New Roman" w:hAnsi="Times New Roman" w:cs="Times New Roman"/>
                <w:color w:val="auto"/>
              </w:rPr>
            </w:pPr>
            <w:r>
              <w:rPr>
                <w:rFonts w:ascii="Times New Roman" w:hAnsi="Times New Roman"/>
                <w:color w:val="auto"/>
              </w:rPr>
              <w:t>根据建设单位提供的资料可知，本项目产生的废机油桶量</w:t>
            </w:r>
            <w:r>
              <w:rPr>
                <w:rFonts w:hint="eastAsia" w:ascii="Times New Roman" w:hAnsi="Times New Roman"/>
                <w:color w:val="auto"/>
              </w:rPr>
              <w:t>约</w:t>
            </w:r>
            <w:r>
              <w:rPr>
                <w:rFonts w:ascii="Times New Roman" w:hAnsi="Times New Roman"/>
                <w:color w:val="auto"/>
              </w:rPr>
              <w:t>为</w:t>
            </w:r>
            <w:r>
              <w:rPr>
                <w:rFonts w:hint="eastAsia" w:ascii="Times New Roman" w:hAnsi="Times New Roman"/>
                <w:color w:val="auto"/>
              </w:rPr>
              <w:t>0.</w:t>
            </w:r>
            <w:r>
              <w:rPr>
                <w:rFonts w:hint="eastAsia" w:ascii="Times New Roman" w:hAnsi="Times New Roman"/>
                <w:color w:val="auto"/>
                <w:lang w:val="en-US" w:eastAsia="zh-CN"/>
              </w:rPr>
              <w:t>05</w:t>
            </w:r>
            <w:r>
              <w:rPr>
                <w:rFonts w:ascii="Times New Roman" w:hAnsi="Times New Roman"/>
                <w:color w:val="auto"/>
              </w:rPr>
              <w:t>t/a。废机油桶属于危险废物，危险废物代码为HW49-900-041-49，经收集后暂存于危险废物暂存间，委托有危险废物处理资质的单位妥善处置</w:t>
            </w:r>
            <w:r>
              <w:rPr>
                <w:rFonts w:hint="eastAsia" w:ascii="Times New Roman" w:hAnsi="Times New Roman"/>
                <w:color w:val="auto"/>
              </w:rPr>
              <w:t>。</w:t>
            </w:r>
          </w:p>
          <w:p>
            <w:pPr>
              <w:pStyle w:val="32"/>
              <w:spacing w:line="360" w:lineRule="auto"/>
              <w:ind w:left="0" w:firstLine="480" w:firstLineChars="200"/>
              <w:rPr>
                <w:rFonts w:ascii="Times New Roman" w:cs="Times New Roman"/>
                <w:b w:val="0"/>
                <w:bCs w:val="0"/>
                <w:color w:val="auto"/>
                <w:sz w:val="24"/>
                <w:szCs w:val="24"/>
              </w:rPr>
            </w:pPr>
            <w:r>
              <w:rPr>
                <w:rFonts w:ascii="Times New Roman" w:cs="Times New Roman"/>
                <w:b w:val="0"/>
                <w:bCs w:val="0"/>
                <w:color w:val="auto"/>
                <w:sz w:val="24"/>
                <w:szCs w:val="24"/>
              </w:rPr>
              <w:t>⑧</w:t>
            </w:r>
            <w:r>
              <w:rPr>
                <w:rFonts w:hint="eastAsia" w:ascii="Times New Roman" w:cs="Times New Roman"/>
                <w:b w:val="0"/>
                <w:bCs w:val="0"/>
                <w:color w:val="auto"/>
                <w:sz w:val="24"/>
                <w:szCs w:val="24"/>
                <w:lang w:eastAsia="zh-CN"/>
              </w:rPr>
              <w:t>纯</w:t>
            </w:r>
            <w:r>
              <w:rPr>
                <w:rFonts w:hint="eastAsia"/>
                <w:b w:val="0"/>
                <w:bCs w:val="0"/>
                <w:color w:val="auto"/>
                <w:sz w:val="24"/>
                <w:szCs w:val="24"/>
              </w:rPr>
              <w:t>水制备废离子交换树脂</w:t>
            </w:r>
          </w:p>
          <w:p>
            <w:pPr>
              <w:pStyle w:val="32"/>
              <w:spacing w:line="360" w:lineRule="auto"/>
              <w:ind w:left="0" w:firstLine="480" w:firstLineChars="200"/>
              <w:rPr>
                <w:rFonts w:ascii="Times New Roman" w:cs="Times New Roman"/>
                <w:b w:val="0"/>
                <w:bCs w:val="0"/>
                <w:color w:val="auto"/>
                <w:sz w:val="24"/>
                <w:szCs w:val="24"/>
              </w:rPr>
            </w:pPr>
            <w:r>
              <w:rPr>
                <w:rFonts w:hint="eastAsia" w:ascii="Times New Roman" w:cs="Times New Roman"/>
                <w:b w:val="0"/>
                <w:bCs w:val="0"/>
                <w:color w:val="auto"/>
                <w:sz w:val="24"/>
                <w:szCs w:val="24"/>
              </w:rPr>
              <w:t>本项目锅炉配套</w:t>
            </w:r>
            <w:r>
              <w:rPr>
                <w:rFonts w:hint="eastAsia" w:ascii="Times New Roman" w:cs="Times New Roman"/>
                <w:b w:val="0"/>
                <w:bCs w:val="0"/>
                <w:color w:val="auto"/>
                <w:sz w:val="24"/>
                <w:szCs w:val="24"/>
                <w:lang w:eastAsia="zh-CN"/>
              </w:rPr>
              <w:t>纯</w:t>
            </w:r>
            <w:r>
              <w:rPr>
                <w:rFonts w:hint="eastAsia" w:ascii="Times New Roman" w:cs="Times New Roman"/>
                <w:b w:val="0"/>
                <w:bCs w:val="0"/>
                <w:color w:val="auto"/>
                <w:sz w:val="24"/>
                <w:szCs w:val="24"/>
              </w:rPr>
              <w:t>水制备系统，每2~3年跟换一次，由此产生的</w:t>
            </w:r>
            <w:r>
              <w:rPr>
                <w:rFonts w:hint="eastAsia" w:ascii="Times New Roman" w:cs="Times New Roman"/>
                <w:b w:val="0"/>
                <w:bCs w:val="0"/>
                <w:color w:val="auto"/>
                <w:sz w:val="24"/>
                <w:szCs w:val="24"/>
                <w:lang w:eastAsia="zh-CN"/>
              </w:rPr>
              <w:t>纯</w:t>
            </w:r>
            <w:r>
              <w:rPr>
                <w:rFonts w:hint="eastAsia" w:ascii="Times New Roman" w:cs="Times New Roman"/>
                <w:b w:val="0"/>
                <w:bCs w:val="0"/>
                <w:color w:val="auto"/>
                <w:sz w:val="24"/>
                <w:szCs w:val="24"/>
              </w:rPr>
              <w:t>水制备废离子交换树脂约0.1t/a，由厂家回收处置。</w:t>
            </w:r>
          </w:p>
          <w:p>
            <w:pPr>
              <w:pStyle w:val="32"/>
              <w:spacing w:line="360" w:lineRule="auto"/>
              <w:ind w:left="0" w:firstLine="480" w:firstLineChars="200"/>
              <w:rPr>
                <w:rFonts w:ascii="Times New Roman" w:cs="Times New Roman"/>
                <w:b w:val="0"/>
                <w:bCs w:val="0"/>
                <w:color w:val="auto"/>
                <w:sz w:val="24"/>
                <w:szCs w:val="24"/>
              </w:rPr>
            </w:pPr>
            <w:r>
              <w:rPr>
                <w:rFonts w:ascii="Times New Roman" w:cs="Times New Roman"/>
                <w:b w:val="0"/>
                <w:bCs w:val="0"/>
                <w:color w:val="auto"/>
                <w:sz w:val="24"/>
                <w:szCs w:val="24"/>
              </w:rPr>
              <w:t>⑨</w:t>
            </w:r>
            <w:r>
              <w:rPr>
                <w:rFonts w:hint="eastAsia"/>
                <w:b w:val="0"/>
                <w:bCs w:val="0"/>
                <w:color w:val="auto"/>
                <w:sz w:val="24"/>
                <w:szCs w:val="24"/>
              </w:rPr>
              <w:t>废弃的含油抹布、劳保用品</w:t>
            </w:r>
          </w:p>
          <w:p>
            <w:pPr>
              <w:pStyle w:val="32"/>
              <w:spacing w:line="360" w:lineRule="auto"/>
              <w:ind w:left="0" w:firstLine="480" w:firstLineChars="200"/>
              <w:rPr>
                <w:rFonts w:ascii="Times New Roman" w:cs="Times New Roman"/>
                <w:b w:val="0"/>
                <w:bCs w:val="0"/>
                <w:color w:val="auto"/>
                <w:sz w:val="24"/>
                <w:szCs w:val="24"/>
              </w:rPr>
            </w:pPr>
            <w:r>
              <w:rPr>
                <w:rFonts w:hAnsi="宋体"/>
                <w:b w:val="0"/>
                <w:bCs w:val="0"/>
                <w:color w:val="auto"/>
                <w:sz w:val="24"/>
                <w:szCs w:val="24"/>
              </w:rPr>
              <w:t>根据建设单位提供的资料可知，本项目在生产过程中产生的废弃的含油抹布、劳保用品用量约为</w:t>
            </w:r>
            <w:r>
              <w:rPr>
                <w:rFonts w:ascii="Times New Roman" w:cs="Times New Roman"/>
                <w:b w:val="0"/>
                <w:bCs w:val="0"/>
                <w:color w:val="auto"/>
                <w:sz w:val="24"/>
                <w:szCs w:val="24"/>
              </w:rPr>
              <w:t>0.</w:t>
            </w:r>
            <w:r>
              <w:rPr>
                <w:rFonts w:hint="eastAsia" w:ascii="Times New Roman" w:cs="Times New Roman"/>
                <w:b w:val="0"/>
                <w:bCs w:val="0"/>
                <w:color w:val="auto"/>
                <w:sz w:val="24"/>
                <w:szCs w:val="24"/>
                <w:lang w:val="en-US" w:eastAsia="zh-CN"/>
              </w:rPr>
              <w:t>1</w:t>
            </w:r>
            <w:r>
              <w:rPr>
                <w:rFonts w:ascii="Times New Roman" w:cs="Times New Roman"/>
                <w:b w:val="0"/>
                <w:bCs w:val="0"/>
                <w:color w:val="auto"/>
                <w:sz w:val="24"/>
                <w:szCs w:val="24"/>
              </w:rPr>
              <w:t>t/a</w:t>
            </w:r>
            <w:r>
              <w:rPr>
                <w:rFonts w:hAnsi="宋体"/>
                <w:b w:val="0"/>
                <w:bCs w:val="0"/>
                <w:color w:val="auto"/>
                <w:sz w:val="24"/>
                <w:szCs w:val="24"/>
              </w:rPr>
              <w:t>，危险废物代码为</w:t>
            </w:r>
            <w:r>
              <w:rPr>
                <w:rFonts w:ascii="Times New Roman" w:cs="Times New Roman"/>
                <w:b w:val="0"/>
                <w:bCs w:val="0"/>
                <w:color w:val="auto"/>
                <w:sz w:val="24"/>
                <w:szCs w:val="24"/>
              </w:rPr>
              <w:t>HW49-900-041-49</w:t>
            </w:r>
            <w:r>
              <w:rPr>
                <w:rFonts w:hAnsi="宋体"/>
                <w:b w:val="0"/>
                <w:bCs w:val="0"/>
                <w:color w:val="auto"/>
                <w:sz w:val="24"/>
                <w:szCs w:val="24"/>
              </w:rPr>
              <w:t>。废弃的含油抹布、劳保用品经收集后放入专用的储存桶内暂存于危险废物暂存间内，委托有危险废物处理资质的单位妥善处置。</w:t>
            </w:r>
          </w:p>
          <w:p>
            <w:pPr>
              <w:pStyle w:val="32"/>
              <w:spacing w:line="360" w:lineRule="auto"/>
              <w:ind w:left="0" w:firstLine="480" w:firstLineChars="200"/>
              <w:rPr>
                <w:rFonts w:ascii="Times New Roman" w:cs="Times New Roman"/>
                <w:color w:val="auto"/>
                <w:sz w:val="24"/>
                <w:szCs w:val="24"/>
              </w:rPr>
            </w:pPr>
            <w:r>
              <w:rPr>
                <w:rFonts w:ascii="Times New Roman" w:cs="Times New Roman"/>
                <w:b w:val="0"/>
                <w:bCs w:val="0"/>
                <w:color w:val="auto"/>
                <w:sz w:val="24"/>
                <w:szCs w:val="24"/>
              </w:rPr>
              <w:t>根据《固体废物鉴别标准通则》（GB34330-2017）和《国家危险废物名录》（2021版）等相关文件判定，本项目固体废物鉴别分析汇总见下表：</w:t>
            </w:r>
          </w:p>
          <w:p>
            <w:pPr>
              <w:spacing w:line="360" w:lineRule="auto"/>
              <w:jc w:val="center"/>
              <w:rPr>
                <w:b/>
                <w:bCs/>
                <w:color w:val="auto"/>
                <w:sz w:val="24"/>
                <w:szCs w:val="24"/>
              </w:rPr>
            </w:pPr>
            <w:r>
              <w:rPr>
                <w:b/>
                <w:bCs/>
                <w:color w:val="auto"/>
                <w:sz w:val="24"/>
                <w:szCs w:val="24"/>
              </w:rPr>
              <w:t>表4-</w:t>
            </w:r>
            <w:r>
              <w:rPr>
                <w:rFonts w:hint="eastAsia"/>
                <w:b/>
                <w:bCs/>
                <w:color w:val="auto"/>
                <w:sz w:val="24"/>
                <w:szCs w:val="24"/>
              </w:rPr>
              <w:t>17</w:t>
            </w:r>
            <w:r>
              <w:rPr>
                <w:b/>
                <w:bCs/>
                <w:color w:val="auto"/>
                <w:sz w:val="24"/>
                <w:szCs w:val="24"/>
              </w:rPr>
              <w:t xml:space="preserve">  本项目固废产生情况及属性判定表</w:t>
            </w:r>
          </w:p>
          <w:tbl>
            <w:tblPr>
              <w:tblStyle w:val="23"/>
              <w:tblW w:w="8182" w:type="dxa"/>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5"/>
              <w:gridCol w:w="1491"/>
              <w:gridCol w:w="1432"/>
              <w:gridCol w:w="675"/>
              <w:gridCol w:w="2001"/>
              <w:gridCol w:w="1050"/>
              <w:gridCol w:w="1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 w:hRule="atLeast"/>
              </w:trPr>
              <w:tc>
                <w:tcPr>
                  <w:tcW w:w="465"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color w:val="auto"/>
                    </w:rPr>
                    <w:t>序号</w:t>
                  </w:r>
                </w:p>
              </w:tc>
              <w:tc>
                <w:tcPr>
                  <w:tcW w:w="1491"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color w:val="auto"/>
                    </w:rPr>
                    <w:t>固废名称</w:t>
                  </w:r>
                </w:p>
              </w:tc>
              <w:tc>
                <w:tcPr>
                  <w:tcW w:w="1432"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color w:val="auto"/>
                    </w:rPr>
                    <w:t>产生工序</w:t>
                  </w:r>
                </w:p>
              </w:tc>
              <w:tc>
                <w:tcPr>
                  <w:tcW w:w="675"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color w:val="auto"/>
                    </w:rPr>
                    <w:t>形态</w:t>
                  </w:r>
                </w:p>
              </w:tc>
              <w:tc>
                <w:tcPr>
                  <w:tcW w:w="2001"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color w:val="auto"/>
                    </w:rPr>
                    <w:t>主要成分</w:t>
                  </w:r>
                </w:p>
              </w:tc>
              <w:tc>
                <w:tcPr>
                  <w:tcW w:w="1050"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color w:val="auto"/>
                    </w:rPr>
                    <w:t>是否属于固废</w:t>
                  </w:r>
                </w:p>
              </w:tc>
              <w:tc>
                <w:tcPr>
                  <w:tcW w:w="1068"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color w:val="auto"/>
                    </w:rPr>
                    <w:t>判定依据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65"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color w:val="auto"/>
                    </w:rPr>
                    <w:t>1</w:t>
                  </w:r>
                </w:p>
              </w:tc>
              <w:tc>
                <w:tcPr>
                  <w:tcW w:w="1491" w:type="dxa"/>
                  <w:tcBorders>
                    <w:top w:val="single" w:color="auto" w:sz="4" w:space="0"/>
                    <w:left w:val="single" w:color="auto" w:sz="4" w:space="0"/>
                    <w:right w:val="single" w:color="auto" w:sz="4" w:space="0"/>
                  </w:tcBorders>
                  <w:vAlign w:val="center"/>
                </w:tcPr>
                <w:p>
                  <w:pPr>
                    <w:jc w:val="center"/>
                    <w:rPr>
                      <w:color w:val="auto"/>
                    </w:rPr>
                  </w:pPr>
                  <w:r>
                    <w:rPr>
                      <w:color w:val="auto"/>
                    </w:rPr>
                    <w:t>生活垃圾</w:t>
                  </w:r>
                </w:p>
              </w:tc>
              <w:tc>
                <w:tcPr>
                  <w:tcW w:w="1432" w:type="dxa"/>
                  <w:tcBorders>
                    <w:top w:val="single" w:color="auto" w:sz="4" w:space="0"/>
                    <w:left w:val="single" w:color="auto" w:sz="4" w:space="0"/>
                    <w:right w:val="single" w:color="auto" w:sz="4" w:space="0"/>
                  </w:tcBorders>
                  <w:vAlign w:val="center"/>
                </w:tcPr>
                <w:p>
                  <w:pPr>
                    <w:jc w:val="center"/>
                    <w:rPr>
                      <w:color w:val="auto"/>
                    </w:rPr>
                  </w:pPr>
                  <w:r>
                    <w:rPr>
                      <w:color w:val="auto"/>
                    </w:rPr>
                    <w:t>员工生活办公</w:t>
                  </w:r>
                </w:p>
              </w:tc>
              <w:tc>
                <w:tcPr>
                  <w:tcW w:w="675" w:type="dxa"/>
                  <w:tcBorders>
                    <w:top w:val="single" w:color="auto" w:sz="4" w:space="0"/>
                    <w:left w:val="single" w:color="auto" w:sz="4" w:space="0"/>
                    <w:right w:val="single" w:color="auto" w:sz="4" w:space="0"/>
                  </w:tcBorders>
                  <w:vAlign w:val="center"/>
                </w:tcPr>
                <w:p>
                  <w:pPr>
                    <w:jc w:val="center"/>
                    <w:rPr>
                      <w:color w:val="auto"/>
                    </w:rPr>
                  </w:pPr>
                  <w:r>
                    <w:rPr>
                      <w:color w:val="auto"/>
                    </w:rPr>
                    <w:t>固态</w:t>
                  </w:r>
                </w:p>
              </w:tc>
              <w:tc>
                <w:tcPr>
                  <w:tcW w:w="2001" w:type="dxa"/>
                  <w:tcBorders>
                    <w:top w:val="single" w:color="auto" w:sz="4" w:space="0"/>
                    <w:left w:val="single" w:color="auto" w:sz="4" w:space="0"/>
                    <w:right w:val="single" w:color="auto" w:sz="4" w:space="0"/>
                  </w:tcBorders>
                  <w:vAlign w:val="center"/>
                </w:tcPr>
                <w:p>
                  <w:pPr>
                    <w:jc w:val="center"/>
                    <w:rPr>
                      <w:color w:val="auto"/>
                    </w:rPr>
                  </w:pPr>
                  <w:r>
                    <w:rPr>
                      <w:color w:val="auto"/>
                    </w:rPr>
                    <w:t>果皮纸屑等</w:t>
                  </w:r>
                </w:p>
              </w:tc>
              <w:tc>
                <w:tcPr>
                  <w:tcW w:w="1050" w:type="dxa"/>
                  <w:tcBorders>
                    <w:top w:val="single" w:color="auto" w:sz="4" w:space="0"/>
                    <w:left w:val="single" w:color="auto" w:sz="4" w:space="0"/>
                    <w:right w:val="single" w:color="auto" w:sz="4" w:space="0"/>
                  </w:tcBorders>
                  <w:vAlign w:val="center"/>
                </w:tcPr>
                <w:p>
                  <w:pPr>
                    <w:jc w:val="center"/>
                    <w:rPr>
                      <w:color w:val="auto"/>
                    </w:rPr>
                  </w:pPr>
                  <w:r>
                    <w:rPr>
                      <w:color w:val="auto"/>
                    </w:rPr>
                    <w:t>是</w:t>
                  </w:r>
                </w:p>
              </w:tc>
              <w:tc>
                <w:tcPr>
                  <w:tcW w:w="1068" w:type="dxa"/>
                  <w:vMerge w:val="restart"/>
                  <w:tcBorders>
                    <w:top w:val="single" w:color="auto" w:sz="4" w:space="0"/>
                    <w:left w:val="single" w:color="auto" w:sz="4" w:space="0"/>
                    <w:right w:val="single" w:color="auto" w:sz="4" w:space="0"/>
                  </w:tcBorders>
                  <w:vAlign w:val="center"/>
                </w:tcPr>
                <w:p>
                  <w:pPr>
                    <w:jc w:val="center"/>
                    <w:rPr>
                      <w:color w:val="auto"/>
                    </w:rPr>
                  </w:pPr>
                  <w:r>
                    <w:rPr>
                      <w:color w:val="auto"/>
                    </w:rPr>
                    <w:t>《固体废物鉴别标准 通则》（GB34330-2017）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65"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rFonts w:hint="eastAsia"/>
                      <w:color w:val="auto"/>
                    </w:rPr>
                    <w:t>2</w:t>
                  </w:r>
                </w:p>
              </w:tc>
              <w:tc>
                <w:tcPr>
                  <w:tcW w:w="1491"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rFonts w:hint="eastAsia"/>
                      <w:color w:val="auto"/>
                    </w:rPr>
                    <w:t>初清筛杂质</w:t>
                  </w:r>
                </w:p>
              </w:tc>
              <w:tc>
                <w:tcPr>
                  <w:tcW w:w="1432" w:type="dxa"/>
                  <w:tcBorders>
                    <w:top w:val="single" w:color="auto" w:sz="4" w:space="0"/>
                    <w:left w:val="single" w:color="auto" w:sz="4" w:space="0"/>
                    <w:bottom w:val="single" w:color="auto" w:sz="4" w:space="0"/>
                    <w:right w:val="single" w:color="auto" w:sz="4" w:space="0"/>
                  </w:tcBorders>
                  <w:vAlign w:val="center"/>
                </w:tcPr>
                <w:p>
                  <w:pPr>
                    <w:autoSpaceDE w:val="0"/>
                    <w:jc w:val="center"/>
                    <w:rPr>
                      <w:color w:val="auto"/>
                    </w:rPr>
                  </w:pPr>
                  <w:r>
                    <w:rPr>
                      <w:rFonts w:hint="eastAsia"/>
                      <w:color w:val="auto"/>
                    </w:rPr>
                    <w:t>生产过程</w:t>
                  </w:r>
                </w:p>
              </w:tc>
              <w:tc>
                <w:tcPr>
                  <w:tcW w:w="675" w:type="dxa"/>
                  <w:tcBorders>
                    <w:top w:val="single" w:color="auto" w:sz="4" w:space="0"/>
                    <w:left w:val="single" w:color="auto" w:sz="4" w:space="0"/>
                    <w:bottom w:val="single" w:color="auto" w:sz="4" w:space="0"/>
                    <w:right w:val="single" w:color="auto" w:sz="4" w:space="0"/>
                  </w:tcBorders>
                  <w:vAlign w:val="center"/>
                </w:tcPr>
                <w:p>
                  <w:pPr>
                    <w:autoSpaceDE w:val="0"/>
                    <w:jc w:val="center"/>
                    <w:rPr>
                      <w:color w:val="auto"/>
                    </w:rPr>
                  </w:pPr>
                  <w:r>
                    <w:rPr>
                      <w:rFonts w:hint="eastAsia"/>
                      <w:color w:val="auto"/>
                    </w:rPr>
                    <w:t>固态</w:t>
                  </w:r>
                </w:p>
              </w:tc>
              <w:tc>
                <w:tcPr>
                  <w:tcW w:w="2001" w:type="dxa"/>
                  <w:tcBorders>
                    <w:top w:val="single" w:color="auto" w:sz="4" w:space="0"/>
                    <w:left w:val="single" w:color="auto" w:sz="4" w:space="0"/>
                    <w:bottom w:val="single" w:color="auto" w:sz="4" w:space="0"/>
                    <w:right w:val="single" w:color="auto" w:sz="4" w:space="0"/>
                  </w:tcBorders>
                  <w:vAlign w:val="center"/>
                </w:tcPr>
                <w:p>
                  <w:pPr>
                    <w:autoSpaceDE w:val="0"/>
                    <w:jc w:val="center"/>
                    <w:rPr>
                      <w:color w:val="auto"/>
                    </w:rPr>
                  </w:pPr>
                  <w:r>
                    <w:rPr>
                      <w:rFonts w:hint="eastAsia"/>
                      <w:color w:val="auto"/>
                    </w:rPr>
                    <w:t>石块、土块、塑料等</w:t>
                  </w:r>
                </w:p>
              </w:tc>
              <w:tc>
                <w:tcPr>
                  <w:tcW w:w="1050" w:type="dxa"/>
                  <w:tcBorders>
                    <w:top w:val="single" w:color="auto" w:sz="4" w:space="0"/>
                    <w:left w:val="single" w:color="auto" w:sz="4" w:space="0"/>
                    <w:bottom w:val="single" w:color="auto" w:sz="4" w:space="0"/>
                    <w:right w:val="single" w:color="auto" w:sz="4" w:space="0"/>
                  </w:tcBorders>
                  <w:vAlign w:val="center"/>
                </w:tcPr>
                <w:p>
                  <w:pPr>
                    <w:autoSpaceDE w:val="0"/>
                    <w:jc w:val="center"/>
                    <w:rPr>
                      <w:color w:val="auto"/>
                    </w:rPr>
                  </w:pPr>
                  <w:r>
                    <w:rPr>
                      <w:rFonts w:hint="eastAsia"/>
                      <w:color w:val="auto"/>
                    </w:rPr>
                    <w:t>是</w:t>
                  </w:r>
                </w:p>
              </w:tc>
              <w:tc>
                <w:tcPr>
                  <w:tcW w:w="1068" w:type="dxa"/>
                  <w:vMerge w:val="continue"/>
                  <w:tcBorders>
                    <w:left w:val="single" w:color="auto" w:sz="4" w:space="0"/>
                    <w:right w:val="single" w:color="auto" w:sz="4" w:space="0"/>
                  </w:tcBorders>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65"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rFonts w:hint="eastAsia"/>
                      <w:color w:val="auto"/>
                    </w:rPr>
                    <w:t>3</w:t>
                  </w:r>
                </w:p>
              </w:tc>
              <w:tc>
                <w:tcPr>
                  <w:tcW w:w="1491"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rFonts w:hint="eastAsia"/>
                      <w:color w:val="auto"/>
                    </w:rPr>
                    <w:t>磁选杂质</w:t>
                  </w:r>
                </w:p>
              </w:tc>
              <w:tc>
                <w:tcPr>
                  <w:tcW w:w="1432" w:type="dxa"/>
                  <w:tcBorders>
                    <w:top w:val="single" w:color="auto" w:sz="4" w:space="0"/>
                    <w:left w:val="single" w:color="auto" w:sz="4" w:space="0"/>
                    <w:bottom w:val="single" w:color="auto" w:sz="4" w:space="0"/>
                    <w:right w:val="single" w:color="auto" w:sz="4" w:space="0"/>
                  </w:tcBorders>
                  <w:vAlign w:val="center"/>
                </w:tcPr>
                <w:p>
                  <w:pPr>
                    <w:autoSpaceDE w:val="0"/>
                    <w:jc w:val="center"/>
                    <w:rPr>
                      <w:color w:val="auto"/>
                    </w:rPr>
                  </w:pPr>
                  <w:r>
                    <w:rPr>
                      <w:rFonts w:hint="eastAsia"/>
                      <w:color w:val="auto"/>
                    </w:rPr>
                    <w:t>生产过程</w:t>
                  </w:r>
                </w:p>
              </w:tc>
              <w:tc>
                <w:tcPr>
                  <w:tcW w:w="675" w:type="dxa"/>
                  <w:tcBorders>
                    <w:top w:val="single" w:color="auto" w:sz="4" w:space="0"/>
                    <w:left w:val="single" w:color="auto" w:sz="4" w:space="0"/>
                    <w:bottom w:val="single" w:color="auto" w:sz="4" w:space="0"/>
                    <w:right w:val="single" w:color="auto" w:sz="4" w:space="0"/>
                  </w:tcBorders>
                  <w:vAlign w:val="center"/>
                </w:tcPr>
                <w:p>
                  <w:pPr>
                    <w:autoSpaceDE w:val="0"/>
                    <w:jc w:val="center"/>
                    <w:rPr>
                      <w:color w:val="auto"/>
                    </w:rPr>
                  </w:pPr>
                  <w:r>
                    <w:rPr>
                      <w:rFonts w:hint="eastAsia"/>
                      <w:color w:val="auto"/>
                    </w:rPr>
                    <w:t>固态</w:t>
                  </w:r>
                </w:p>
              </w:tc>
              <w:tc>
                <w:tcPr>
                  <w:tcW w:w="2001" w:type="dxa"/>
                  <w:tcBorders>
                    <w:top w:val="single" w:color="auto" w:sz="4" w:space="0"/>
                    <w:left w:val="single" w:color="auto" w:sz="4" w:space="0"/>
                    <w:bottom w:val="single" w:color="auto" w:sz="4" w:space="0"/>
                    <w:right w:val="single" w:color="auto" w:sz="4" w:space="0"/>
                  </w:tcBorders>
                  <w:vAlign w:val="center"/>
                </w:tcPr>
                <w:p>
                  <w:pPr>
                    <w:autoSpaceDE w:val="0"/>
                    <w:jc w:val="center"/>
                    <w:rPr>
                      <w:color w:val="auto"/>
                    </w:rPr>
                  </w:pPr>
                  <w:r>
                    <w:rPr>
                      <w:rFonts w:hint="eastAsia"/>
                      <w:color w:val="auto"/>
                    </w:rPr>
                    <w:t>铁质等金属杂质</w:t>
                  </w:r>
                </w:p>
              </w:tc>
              <w:tc>
                <w:tcPr>
                  <w:tcW w:w="1050" w:type="dxa"/>
                  <w:tcBorders>
                    <w:top w:val="single" w:color="auto" w:sz="4" w:space="0"/>
                    <w:left w:val="single" w:color="auto" w:sz="4" w:space="0"/>
                    <w:bottom w:val="single" w:color="auto" w:sz="4" w:space="0"/>
                    <w:right w:val="single" w:color="auto" w:sz="4" w:space="0"/>
                  </w:tcBorders>
                  <w:vAlign w:val="center"/>
                </w:tcPr>
                <w:p>
                  <w:pPr>
                    <w:autoSpaceDE w:val="0"/>
                    <w:jc w:val="center"/>
                    <w:rPr>
                      <w:color w:val="auto"/>
                    </w:rPr>
                  </w:pPr>
                  <w:r>
                    <w:rPr>
                      <w:rFonts w:hint="eastAsia"/>
                      <w:color w:val="auto"/>
                    </w:rPr>
                    <w:t>是</w:t>
                  </w:r>
                </w:p>
              </w:tc>
              <w:tc>
                <w:tcPr>
                  <w:tcW w:w="1068" w:type="dxa"/>
                  <w:vMerge w:val="continue"/>
                  <w:tcBorders>
                    <w:left w:val="single" w:color="auto" w:sz="4" w:space="0"/>
                    <w:right w:val="single" w:color="auto" w:sz="4" w:space="0"/>
                  </w:tcBorders>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65"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rFonts w:hint="eastAsia"/>
                      <w:color w:val="auto"/>
                    </w:rPr>
                    <w:t>4</w:t>
                  </w:r>
                </w:p>
              </w:tc>
              <w:tc>
                <w:tcPr>
                  <w:tcW w:w="1491" w:type="dxa"/>
                  <w:tcBorders>
                    <w:top w:val="single" w:color="auto" w:sz="4" w:space="0"/>
                    <w:left w:val="single" w:color="auto" w:sz="4" w:space="0"/>
                    <w:bottom w:val="single" w:color="auto" w:sz="4" w:space="0"/>
                    <w:right w:val="single" w:color="auto" w:sz="4" w:space="0"/>
                  </w:tcBorders>
                  <w:vAlign w:val="center"/>
                </w:tcPr>
                <w:p>
                  <w:pPr>
                    <w:pStyle w:val="30"/>
                    <w:jc w:val="center"/>
                    <w:rPr>
                      <w:rFonts w:ascii="Times New Roman" w:hAnsi="Times New Roman" w:cs="Times New Roman"/>
                      <w:color w:val="auto"/>
                      <w:sz w:val="21"/>
                      <w:szCs w:val="21"/>
                    </w:rPr>
                  </w:pPr>
                  <w:r>
                    <w:rPr>
                      <w:rFonts w:hint="eastAsia" w:ascii="Times New Roman" w:hAnsi="Times New Roman" w:cs="Times New Roman"/>
                      <w:color w:val="auto"/>
                      <w:sz w:val="21"/>
                      <w:szCs w:val="21"/>
                    </w:rPr>
                    <w:t>废包装袋</w:t>
                  </w:r>
                </w:p>
              </w:tc>
              <w:tc>
                <w:tcPr>
                  <w:tcW w:w="1432" w:type="dxa"/>
                  <w:tcBorders>
                    <w:top w:val="single" w:color="auto" w:sz="4" w:space="0"/>
                    <w:left w:val="single" w:color="auto" w:sz="4" w:space="0"/>
                    <w:bottom w:val="single" w:color="auto" w:sz="4" w:space="0"/>
                    <w:right w:val="single" w:color="auto" w:sz="4" w:space="0"/>
                  </w:tcBorders>
                  <w:vAlign w:val="center"/>
                </w:tcPr>
                <w:p>
                  <w:pPr>
                    <w:autoSpaceDE w:val="0"/>
                    <w:jc w:val="center"/>
                    <w:rPr>
                      <w:color w:val="auto"/>
                    </w:rPr>
                  </w:pPr>
                  <w:r>
                    <w:rPr>
                      <w:color w:val="auto"/>
                    </w:rPr>
                    <w:t>生产过程</w:t>
                  </w:r>
                </w:p>
              </w:tc>
              <w:tc>
                <w:tcPr>
                  <w:tcW w:w="675" w:type="dxa"/>
                  <w:tcBorders>
                    <w:top w:val="single" w:color="auto" w:sz="4" w:space="0"/>
                    <w:left w:val="single" w:color="auto" w:sz="4" w:space="0"/>
                    <w:bottom w:val="single" w:color="auto" w:sz="4" w:space="0"/>
                    <w:right w:val="single" w:color="auto" w:sz="4" w:space="0"/>
                  </w:tcBorders>
                  <w:vAlign w:val="center"/>
                </w:tcPr>
                <w:p>
                  <w:pPr>
                    <w:autoSpaceDE w:val="0"/>
                    <w:jc w:val="center"/>
                    <w:rPr>
                      <w:color w:val="auto"/>
                    </w:rPr>
                  </w:pPr>
                  <w:r>
                    <w:rPr>
                      <w:color w:val="auto"/>
                    </w:rPr>
                    <w:t>固态</w:t>
                  </w:r>
                </w:p>
              </w:tc>
              <w:tc>
                <w:tcPr>
                  <w:tcW w:w="2001" w:type="dxa"/>
                  <w:tcBorders>
                    <w:top w:val="single" w:color="auto" w:sz="4" w:space="0"/>
                    <w:left w:val="single" w:color="auto" w:sz="4" w:space="0"/>
                    <w:bottom w:val="single" w:color="auto" w:sz="4" w:space="0"/>
                    <w:right w:val="single" w:color="auto" w:sz="4" w:space="0"/>
                  </w:tcBorders>
                  <w:vAlign w:val="center"/>
                </w:tcPr>
                <w:p>
                  <w:pPr>
                    <w:autoSpaceDE w:val="0"/>
                    <w:jc w:val="center"/>
                    <w:rPr>
                      <w:color w:val="auto"/>
                    </w:rPr>
                  </w:pPr>
                  <w:r>
                    <w:rPr>
                      <w:rFonts w:hint="eastAsia"/>
                      <w:color w:val="auto"/>
                    </w:rPr>
                    <w:t>塑料等</w:t>
                  </w:r>
                </w:p>
              </w:tc>
              <w:tc>
                <w:tcPr>
                  <w:tcW w:w="1050" w:type="dxa"/>
                  <w:tcBorders>
                    <w:top w:val="single" w:color="auto" w:sz="4" w:space="0"/>
                    <w:left w:val="single" w:color="auto" w:sz="4" w:space="0"/>
                    <w:bottom w:val="single" w:color="auto" w:sz="4" w:space="0"/>
                    <w:right w:val="single" w:color="auto" w:sz="4" w:space="0"/>
                  </w:tcBorders>
                  <w:vAlign w:val="center"/>
                </w:tcPr>
                <w:p>
                  <w:pPr>
                    <w:autoSpaceDE w:val="0"/>
                    <w:jc w:val="center"/>
                    <w:rPr>
                      <w:color w:val="auto"/>
                    </w:rPr>
                  </w:pPr>
                  <w:r>
                    <w:rPr>
                      <w:color w:val="auto"/>
                    </w:rPr>
                    <w:t>是</w:t>
                  </w:r>
                </w:p>
              </w:tc>
              <w:tc>
                <w:tcPr>
                  <w:tcW w:w="1068" w:type="dxa"/>
                  <w:vMerge w:val="continue"/>
                  <w:tcBorders>
                    <w:left w:val="single" w:color="auto" w:sz="4" w:space="0"/>
                    <w:right w:val="single" w:color="auto" w:sz="4" w:space="0"/>
                  </w:tcBorders>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65"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rFonts w:hint="eastAsia"/>
                      <w:color w:val="auto"/>
                    </w:rPr>
                    <w:t>5</w:t>
                  </w:r>
                </w:p>
              </w:tc>
              <w:tc>
                <w:tcPr>
                  <w:tcW w:w="149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color w:val="auto"/>
                    </w:rPr>
                  </w:pPr>
                  <w:r>
                    <w:rPr>
                      <w:rFonts w:hint="eastAsia"/>
                      <w:color w:val="auto"/>
                    </w:rPr>
                    <w:t>除尘器收集的粉尘</w:t>
                  </w:r>
                </w:p>
              </w:tc>
              <w:tc>
                <w:tcPr>
                  <w:tcW w:w="1432" w:type="dxa"/>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color w:val="auto"/>
                    </w:rPr>
                  </w:pPr>
                  <w:r>
                    <w:rPr>
                      <w:color w:val="auto"/>
                    </w:rPr>
                    <w:t>废气处理</w:t>
                  </w:r>
                  <w:r>
                    <w:rPr>
                      <w:rFonts w:hint="eastAsia"/>
                      <w:color w:val="auto"/>
                    </w:rPr>
                    <w:t>过程</w:t>
                  </w:r>
                </w:p>
              </w:tc>
              <w:tc>
                <w:tcPr>
                  <w:tcW w:w="6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jc w:val="center"/>
                    <w:rPr>
                      <w:color w:val="auto"/>
                    </w:rPr>
                  </w:pPr>
                  <w:r>
                    <w:rPr>
                      <w:color w:val="auto"/>
                    </w:rPr>
                    <w:t>固态</w:t>
                  </w:r>
                </w:p>
              </w:tc>
              <w:tc>
                <w:tcPr>
                  <w:tcW w:w="2001"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rFonts w:hint="eastAsia"/>
                      <w:color w:val="auto"/>
                    </w:rPr>
                    <w:t>粉尘</w:t>
                  </w:r>
                </w:p>
              </w:tc>
              <w:tc>
                <w:tcPr>
                  <w:tcW w:w="1050" w:type="dxa"/>
                  <w:tcBorders>
                    <w:top w:val="single" w:color="auto" w:sz="4" w:space="0"/>
                    <w:left w:val="single" w:color="auto" w:sz="4" w:space="0"/>
                    <w:bottom w:val="single" w:color="auto" w:sz="4" w:space="0"/>
                    <w:right w:val="single" w:color="auto" w:sz="4" w:space="0"/>
                  </w:tcBorders>
                  <w:vAlign w:val="center"/>
                </w:tcPr>
                <w:p>
                  <w:pPr>
                    <w:autoSpaceDE w:val="0"/>
                    <w:jc w:val="center"/>
                    <w:rPr>
                      <w:color w:val="auto"/>
                    </w:rPr>
                  </w:pPr>
                  <w:r>
                    <w:rPr>
                      <w:color w:val="auto"/>
                    </w:rPr>
                    <w:t>是</w:t>
                  </w:r>
                </w:p>
              </w:tc>
              <w:tc>
                <w:tcPr>
                  <w:tcW w:w="1068" w:type="dxa"/>
                  <w:vMerge w:val="continue"/>
                  <w:tcBorders>
                    <w:left w:val="single" w:color="auto" w:sz="4" w:space="0"/>
                    <w:right w:val="single" w:color="auto" w:sz="4" w:space="0"/>
                  </w:tcBorders>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65"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rFonts w:hint="eastAsia"/>
                      <w:color w:val="auto"/>
                    </w:rPr>
                    <w:t>6</w:t>
                  </w:r>
                </w:p>
              </w:tc>
              <w:tc>
                <w:tcPr>
                  <w:tcW w:w="1491" w:type="dxa"/>
                  <w:tcBorders>
                    <w:top w:val="single" w:color="auto" w:sz="4" w:space="0"/>
                    <w:left w:val="single" w:color="auto" w:sz="4" w:space="0"/>
                    <w:bottom w:val="single" w:color="auto" w:sz="4" w:space="0"/>
                    <w:right w:val="single" w:color="auto" w:sz="4" w:space="0"/>
                  </w:tcBorders>
                  <w:vAlign w:val="center"/>
                </w:tcPr>
                <w:p>
                  <w:pPr>
                    <w:autoSpaceDE w:val="0"/>
                    <w:jc w:val="center"/>
                    <w:rPr>
                      <w:color w:val="auto"/>
                    </w:rPr>
                  </w:pPr>
                  <w:r>
                    <w:rPr>
                      <w:color w:val="auto"/>
                    </w:rPr>
                    <w:t>废机油</w:t>
                  </w:r>
                </w:p>
              </w:tc>
              <w:tc>
                <w:tcPr>
                  <w:tcW w:w="1432" w:type="dxa"/>
                  <w:tcBorders>
                    <w:top w:val="single" w:color="auto" w:sz="4" w:space="0"/>
                    <w:left w:val="single" w:color="auto" w:sz="4" w:space="0"/>
                    <w:bottom w:val="single" w:color="auto" w:sz="4" w:space="0"/>
                    <w:right w:val="single" w:color="auto" w:sz="4" w:space="0"/>
                  </w:tcBorders>
                  <w:vAlign w:val="center"/>
                </w:tcPr>
                <w:p>
                  <w:pPr>
                    <w:pStyle w:val="30"/>
                    <w:jc w:val="center"/>
                    <w:rPr>
                      <w:rFonts w:ascii="Times New Roman" w:hAnsi="Times New Roman" w:cs="Times New Roman"/>
                      <w:color w:val="auto"/>
                    </w:rPr>
                  </w:pPr>
                  <w:r>
                    <w:rPr>
                      <w:rFonts w:ascii="Times New Roman" w:hAnsi="Times New Roman"/>
                      <w:color w:val="auto"/>
                      <w:sz w:val="21"/>
                      <w:szCs w:val="21"/>
                    </w:rPr>
                    <w:t>机械设备维修等</w:t>
                  </w:r>
                </w:p>
              </w:tc>
              <w:tc>
                <w:tcPr>
                  <w:tcW w:w="675" w:type="dxa"/>
                  <w:tcBorders>
                    <w:top w:val="single" w:color="auto" w:sz="4" w:space="0"/>
                    <w:left w:val="single" w:color="auto" w:sz="4" w:space="0"/>
                    <w:bottom w:val="single" w:color="auto" w:sz="4" w:space="0"/>
                    <w:right w:val="single" w:color="auto" w:sz="4" w:space="0"/>
                  </w:tcBorders>
                  <w:vAlign w:val="center"/>
                </w:tcPr>
                <w:p>
                  <w:pPr>
                    <w:autoSpaceDE w:val="0"/>
                    <w:jc w:val="center"/>
                    <w:rPr>
                      <w:color w:val="auto"/>
                    </w:rPr>
                  </w:pPr>
                  <w:r>
                    <w:rPr>
                      <w:color w:val="auto"/>
                    </w:rPr>
                    <w:t>液态</w:t>
                  </w:r>
                </w:p>
              </w:tc>
              <w:tc>
                <w:tcPr>
                  <w:tcW w:w="2001" w:type="dxa"/>
                  <w:tcBorders>
                    <w:top w:val="single" w:color="auto" w:sz="4" w:space="0"/>
                    <w:left w:val="single" w:color="auto" w:sz="4" w:space="0"/>
                    <w:bottom w:val="single" w:color="auto" w:sz="4" w:space="0"/>
                    <w:right w:val="single" w:color="auto" w:sz="4" w:space="0"/>
                  </w:tcBorders>
                  <w:vAlign w:val="center"/>
                </w:tcPr>
                <w:p>
                  <w:pPr>
                    <w:autoSpaceDE w:val="0"/>
                    <w:jc w:val="center"/>
                    <w:rPr>
                      <w:color w:val="auto"/>
                    </w:rPr>
                  </w:pPr>
                  <w:r>
                    <w:rPr>
                      <w:rFonts w:hint="eastAsia"/>
                      <w:color w:val="auto"/>
                    </w:rPr>
                    <w:t>有机物</w:t>
                  </w:r>
                </w:p>
              </w:tc>
              <w:tc>
                <w:tcPr>
                  <w:tcW w:w="1050" w:type="dxa"/>
                  <w:tcBorders>
                    <w:top w:val="single" w:color="auto" w:sz="4" w:space="0"/>
                    <w:left w:val="single" w:color="auto" w:sz="4" w:space="0"/>
                    <w:bottom w:val="single" w:color="auto" w:sz="4" w:space="0"/>
                    <w:right w:val="single" w:color="auto" w:sz="4" w:space="0"/>
                  </w:tcBorders>
                  <w:vAlign w:val="center"/>
                </w:tcPr>
                <w:p>
                  <w:pPr>
                    <w:autoSpaceDE w:val="0"/>
                    <w:jc w:val="center"/>
                    <w:rPr>
                      <w:color w:val="auto"/>
                    </w:rPr>
                  </w:pPr>
                  <w:r>
                    <w:rPr>
                      <w:color w:val="auto"/>
                    </w:rPr>
                    <w:t>是</w:t>
                  </w:r>
                </w:p>
              </w:tc>
              <w:tc>
                <w:tcPr>
                  <w:tcW w:w="1068" w:type="dxa"/>
                  <w:vMerge w:val="continue"/>
                  <w:tcBorders>
                    <w:left w:val="single" w:color="auto" w:sz="4" w:space="0"/>
                    <w:right w:val="single" w:color="auto" w:sz="4" w:space="0"/>
                  </w:tcBorders>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465"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rFonts w:hint="eastAsia"/>
                      <w:color w:val="auto"/>
                    </w:rPr>
                    <w:t>7</w:t>
                  </w:r>
                </w:p>
              </w:tc>
              <w:tc>
                <w:tcPr>
                  <w:tcW w:w="1491" w:type="dxa"/>
                  <w:tcBorders>
                    <w:top w:val="single" w:color="auto" w:sz="4" w:space="0"/>
                    <w:left w:val="single" w:color="auto" w:sz="4" w:space="0"/>
                    <w:bottom w:val="single" w:color="auto" w:sz="4" w:space="0"/>
                    <w:right w:val="single" w:color="auto" w:sz="4" w:space="0"/>
                  </w:tcBorders>
                  <w:vAlign w:val="center"/>
                </w:tcPr>
                <w:p>
                  <w:pPr>
                    <w:autoSpaceDE w:val="0"/>
                    <w:jc w:val="center"/>
                    <w:rPr>
                      <w:color w:val="auto"/>
                    </w:rPr>
                  </w:pPr>
                  <w:r>
                    <w:rPr>
                      <w:color w:val="auto"/>
                    </w:rPr>
                    <w:t>废机油桶</w:t>
                  </w:r>
                </w:p>
              </w:tc>
              <w:tc>
                <w:tcPr>
                  <w:tcW w:w="1432" w:type="dxa"/>
                  <w:tcBorders>
                    <w:top w:val="single" w:color="auto" w:sz="4" w:space="0"/>
                    <w:left w:val="single" w:color="auto" w:sz="4" w:space="0"/>
                    <w:bottom w:val="single" w:color="auto" w:sz="4" w:space="0"/>
                    <w:right w:val="single" w:color="auto" w:sz="4" w:space="0"/>
                  </w:tcBorders>
                  <w:vAlign w:val="center"/>
                </w:tcPr>
                <w:p>
                  <w:pPr>
                    <w:autoSpaceDE w:val="0"/>
                    <w:jc w:val="center"/>
                    <w:rPr>
                      <w:color w:val="auto"/>
                    </w:rPr>
                  </w:pPr>
                  <w:r>
                    <w:rPr>
                      <w:color w:val="auto"/>
                    </w:rPr>
                    <w:t>机油盛装</w:t>
                  </w:r>
                </w:p>
              </w:tc>
              <w:tc>
                <w:tcPr>
                  <w:tcW w:w="675" w:type="dxa"/>
                  <w:tcBorders>
                    <w:top w:val="single" w:color="auto" w:sz="4" w:space="0"/>
                    <w:left w:val="single" w:color="auto" w:sz="4" w:space="0"/>
                    <w:bottom w:val="single" w:color="auto" w:sz="4" w:space="0"/>
                    <w:right w:val="single" w:color="auto" w:sz="4" w:space="0"/>
                  </w:tcBorders>
                  <w:vAlign w:val="center"/>
                </w:tcPr>
                <w:p>
                  <w:pPr>
                    <w:autoSpaceDE w:val="0"/>
                    <w:jc w:val="center"/>
                    <w:rPr>
                      <w:color w:val="auto"/>
                    </w:rPr>
                  </w:pPr>
                  <w:r>
                    <w:rPr>
                      <w:color w:val="auto"/>
                    </w:rPr>
                    <w:t>固态</w:t>
                  </w:r>
                </w:p>
              </w:tc>
              <w:tc>
                <w:tcPr>
                  <w:tcW w:w="2001" w:type="dxa"/>
                  <w:tcBorders>
                    <w:top w:val="single" w:color="auto" w:sz="4" w:space="0"/>
                    <w:left w:val="single" w:color="auto" w:sz="4" w:space="0"/>
                    <w:bottom w:val="single" w:color="auto" w:sz="4" w:space="0"/>
                    <w:right w:val="single" w:color="auto" w:sz="4" w:space="0"/>
                  </w:tcBorders>
                  <w:vAlign w:val="center"/>
                </w:tcPr>
                <w:p>
                  <w:pPr>
                    <w:autoSpaceDE w:val="0"/>
                    <w:jc w:val="center"/>
                    <w:rPr>
                      <w:color w:val="auto"/>
                    </w:rPr>
                  </w:pPr>
                  <w:r>
                    <w:rPr>
                      <w:color w:val="auto"/>
                    </w:rPr>
                    <w:t>废机油、机油桶</w:t>
                  </w:r>
                </w:p>
              </w:tc>
              <w:tc>
                <w:tcPr>
                  <w:tcW w:w="1050" w:type="dxa"/>
                  <w:tcBorders>
                    <w:top w:val="single" w:color="auto" w:sz="4" w:space="0"/>
                    <w:left w:val="single" w:color="auto" w:sz="4" w:space="0"/>
                    <w:bottom w:val="single" w:color="auto" w:sz="4" w:space="0"/>
                    <w:right w:val="single" w:color="auto" w:sz="4" w:space="0"/>
                  </w:tcBorders>
                  <w:vAlign w:val="center"/>
                </w:tcPr>
                <w:p>
                  <w:pPr>
                    <w:autoSpaceDE w:val="0"/>
                    <w:jc w:val="center"/>
                    <w:rPr>
                      <w:color w:val="auto"/>
                    </w:rPr>
                  </w:pPr>
                  <w:r>
                    <w:rPr>
                      <w:color w:val="auto"/>
                    </w:rPr>
                    <w:t>是</w:t>
                  </w:r>
                </w:p>
              </w:tc>
              <w:tc>
                <w:tcPr>
                  <w:tcW w:w="1068" w:type="dxa"/>
                  <w:vMerge w:val="continue"/>
                  <w:tcBorders>
                    <w:left w:val="single" w:color="auto" w:sz="4" w:space="0"/>
                    <w:right w:val="single" w:color="auto" w:sz="4" w:space="0"/>
                  </w:tcBorders>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465"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rFonts w:hint="eastAsia"/>
                      <w:color w:val="auto"/>
                    </w:rPr>
                    <w:t>8</w:t>
                  </w:r>
                </w:p>
              </w:tc>
              <w:tc>
                <w:tcPr>
                  <w:tcW w:w="1491" w:type="dxa"/>
                  <w:tcBorders>
                    <w:top w:val="single" w:color="auto" w:sz="4" w:space="0"/>
                    <w:left w:val="single" w:color="auto" w:sz="4" w:space="0"/>
                    <w:bottom w:val="single" w:color="auto" w:sz="4" w:space="0"/>
                    <w:right w:val="single" w:color="auto" w:sz="4" w:space="0"/>
                  </w:tcBorders>
                  <w:vAlign w:val="center"/>
                </w:tcPr>
                <w:p>
                  <w:pPr>
                    <w:pStyle w:val="30"/>
                    <w:jc w:val="center"/>
                    <w:rPr>
                      <w:color w:val="auto"/>
                    </w:rPr>
                  </w:pPr>
                  <w:r>
                    <w:rPr>
                      <w:rFonts w:ascii="Times New Roman" w:hAnsi="Times New Roman"/>
                      <w:bCs/>
                      <w:color w:val="auto"/>
                      <w:sz w:val="21"/>
                      <w:szCs w:val="21"/>
                    </w:rPr>
                    <w:t>废弃的含油抹布、劳保用品</w:t>
                  </w:r>
                </w:p>
              </w:tc>
              <w:tc>
                <w:tcPr>
                  <w:tcW w:w="1432" w:type="dxa"/>
                  <w:tcBorders>
                    <w:top w:val="single" w:color="auto" w:sz="4" w:space="0"/>
                    <w:left w:val="single" w:color="auto" w:sz="4" w:space="0"/>
                    <w:bottom w:val="single" w:color="auto" w:sz="4" w:space="0"/>
                    <w:right w:val="single" w:color="auto" w:sz="4" w:space="0"/>
                  </w:tcBorders>
                  <w:vAlign w:val="center"/>
                </w:tcPr>
                <w:p>
                  <w:pPr>
                    <w:autoSpaceDE w:val="0"/>
                    <w:jc w:val="center"/>
                    <w:rPr>
                      <w:color w:val="auto"/>
                    </w:rPr>
                  </w:pPr>
                  <w:r>
                    <w:rPr>
                      <w:color w:val="auto"/>
                    </w:rPr>
                    <w:t>机械维修养护</w:t>
                  </w:r>
                </w:p>
              </w:tc>
              <w:tc>
                <w:tcPr>
                  <w:tcW w:w="675" w:type="dxa"/>
                  <w:tcBorders>
                    <w:top w:val="single" w:color="auto" w:sz="4" w:space="0"/>
                    <w:left w:val="single" w:color="auto" w:sz="4" w:space="0"/>
                    <w:bottom w:val="single" w:color="auto" w:sz="4" w:space="0"/>
                    <w:right w:val="single" w:color="auto" w:sz="4" w:space="0"/>
                  </w:tcBorders>
                  <w:vAlign w:val="center"/>
                </w:tcPr>
                <w:p>
                  <w:pPr>
                    <w:autoSpaceDE w:val="0"/>
                    <w:jc w:val="center"/>
                    <w:rPr>
                      <w:color w:val="auto"/>
                    </w:rPr>
                  </w:pPr>
                  <w:r>
                    <w:rPr>
                      <w:color w:val="auto"/>
                    </w:rPr>
                    <w:t>固态</w:t>
                  </w:r>
                </w:p>
              </w:tc>
              <w:tc>
                <w:tcPr>
                  <w:tcW w:w="2001" w:type="dxa"/>
                  <w:tcBorders>
                    <w:top w:val="single" w:color="auto" w:sz="4" w:space="0"/>
                    <w:left w:val="single" w:color="auto" w:sz="4" w:space="0"/>
                    <w:bottom w:val="single" w:color="auto" w:sz="4" w:space="0"/>
                    <w:right w:val="single" w:color="auto" w:sz="4" w:space="0"/>
                  </w:tcBorders>
                  <w:vAlign w:val="center"/>
                </w:tcPr>
                <w:p>
                  <w:pPr>
                    <w:autoSpaceDE w:val="0"/>
                    <w:jc w:val="center"/>
                    <w:rPr>
                      <w:color w:val="auto"/>
                    </w:rPr>
                  </w:pPr>
                  <w:r>
                    <w:rPr>
                      <w:color w:val="auto"/>
                    </w:rPr>
                    <w:t>劳保用品、废机油等</w:t>
                  </w:r>
                </w:p>
              </w:tc>
              <w:tc>
                <w:tcPr>
                  <w:tcW w:w="1050" w:type="dxa"/>
                  <w:tcBorders>
                    <w:top w:val="single" w:color="auto" w:sz="4" w:space="0"/>
                    <w:left w:val="single" w:color="auto" w:sz="4" w:space="0"/>
                    <w:bottom w:val="single" w:color="auto" w:sz="4" w:space="0"/>
                    <w:right w:val="single" w:color="auto" w:sz="4" w:space="0"/>
                  </w:tcBorders>
                  <w:vAlign w:val="center"/>
                </w:tcPr>
                <w:p>
                  <w:pPr>
                    <w:autoSpaceDE w:val="0"/>
                    <w:jc w:val="center"/>
                    <w:rPr>
                      <w:color w:val="auto"/>
                    </w:rPr>
                  </w:pPr>
                  <w:r>
                    <w:rPr>
                      <w:color w:val="auto"/>
                    </w:rPr>
                    <w:t>是</w:t>
                  </w:r>
                </w:p>
              </w:tc>
              <w:tc>
                <w:tcPr>
                  <w:tcW w:w="1068" w:type="dxa"/>
                  <w:vMerge w:val="continue"/>
                  <w:tcBorders>
                    <w:left w:val="single" w:color="auto" w:sz="4" w:space="0"/>
                    <w:right w:val="single" w:color="auto" w:sz="4" w:space="0"/>
                  </w:tcBorders>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465"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rFonts w:hint="eastAsia"/>
                      <w:color w:val="auto"/>
                    </w:rPr>
                    <w:t>9</w:t>
                  </w:r>
                </w:p>
              </w:tc>
              <w:tc>
                <w:tcPr>
                  <w:tcW w:w="1491" w:type="dxa"/>
                  <w:tcBorders>
                    <w:top w:val="single" w:color="auto" w:sz="4" w:space="0"/>
                    <w:left w:val="single" w:color="auto" w:sz="4" w:space="0"/>
                    <w:bottom w:val="single" w:color="auto" w:sz="4" w:space="0"/>
                    <w:right w:val="single" w:color="auto" w:sz="4" w:space="0"/>
                  </w:tcBorders>
                  <w:vAlign w:val="center"/>
                </w:tcPr>
                <w:p>
                  <w:pPr>
                    <w:pStyle w:val="30"/>
                    <w:jc w:val="center"/>
                    <w:rPr>
                      <w:rFonts w:ascii="Times New Roman" w:hAnsi="Times New Roman"/>
                      <w:bCs/>
                      <w:color w:val="auto"/>
                      <w:sz w:val="21"/>
                      <w:szCs w:val="21"/>
                    </w:rPr>
                  </w:pPr>
                  <w:r>
                    <w:rPr>
                      <w:rFonts w:hint="eastAsia" w:ascii="Times New Roman" w:hAnsi="Times New Roman"/>
                      <w:bCs/>
                      <w:color w:val="auto"/>
                      <w:sz w:val="21"/>
                      <w:szCs w:val="21"/>
                      <w:lang w:eastAsia="zh-CN"/>
                    </w:rPr>
                    <w:t>纯</w:t>
                  </w:r>
                  <w:r>
                    <w:rPr>
                      <w:rFonts w:hint="eastAsia" w:ascii="Times New Roman" w:hAnsi="Times New Roman"/>
                      <w:bCs/>
                      <w:color w:val="auto"/>
                      <w:sz w:val="21"/>
                      <w:szCs w:val="21"/>
                    </w:rPr>
                    <w:t>水制备废离子交换树脂</w:t>
                  </w:r>
                </w:p>
              </w:tc>
              <w:tc>
                <w:tcPr>
                  <w:tcW w:w="1432" w:type="dxa"/>
                  <w:tcBorders>
                    <w:top w:val="single" w:color="auto" w:sz="4" w:space="0"/>
                    <w:left w:val="single" w:color="auto" w:sz="4" w:space="0"/>
                    <w:bottom w:val="single" w:color="auto" w:sz="4" w:space="0"/>
                    <w:right w:val="single" w:color="auto" w:sz="4" w:space="0"/>
                  </w:tcBorders>
                  <w:vAlign w:val="center"/>
                </w:tcPr>
                <w:p>
                  <w:pPr>
                    <w:autoSpaceDE w:val="0"/>
                    <w:jc w:val="center"/>
                    <w:rPr>
                      <w:color w:val="auto"/>
                    </w:rPr>
                  </w:pPr>
                  <w:r>
                    <w:rPr>
                      <w:rFonts w:hint="eastAsia"/>
                      <w:color w:val="auto"/>
                    </w:rPr>
                    <w:t>锅炉</w:t>
                  </w:r>
                  <w:r>
                    <w:rPr>
                      <w:rFonts w:hint="eastAsia"/>
                      <w:color w:val="auto"/>
                      <w:lang w:eastAsia="zh-CN"/>
                    </w:rPr>
                    <w:t>纯</w:t>
                  </w:r>
                  <w:r>
                    <w:rPr>
                      <w:rFonts w:hint="eastAsia"/>
                      <w:color w:val="auto"/>
                    </w:rPr>
                    <w:t>水制备过程</w:t>
                  </w:r>
                </w:p>
              </w:tc>
              <w:tc>
                <w:tcPr>
                  <w:tcW w:w="675" w:type="dxa"/>
                  <w:tcBorders>
                    <w:top w:val="single" w:color="auto" w:sz="4" w:space="0"/>
                    <w:left w:val="single" w:color="auto" w:sz="4" w:space="0"/>
                    <w:bottom w:val="single" w:color="auto" w:sz="4" w:space="0"/>
                    <w:right w:val="single" w:color="auto" w:sz="4" w:space="0"/>
                  </w:tcBorders>
                  <w:vAlign w:val="center"/>
                </w:tcPr>
                <w:p>
                  <w:pPr>
                    <w:autoSpaceDE w:val="0"/>
                    <w:jc w:val="center"/>
                    <w:rPr>
                      <w:color w:val="auto"/>
                    </w:rPr>
                  </w:pPr>
                  <w:r>
                    <w:rPr>
                      <w:rFonts w:hint="eastAsia"/>
                      <w:color w:val="auto"/>
                    </w:rPr>
                    <w:t>固体</w:t>
                  </w:r>
                </w:p>
              </w:tc>
              <w:tc>
                <w:tcPr>
                  <w:tcW w:w="2001" w:type="dxa"/>
                  <w:tcBorders>
                    <w:top w:val="single" w:color="auto" w:sz="4" w:space="0"/>
                    <w:left w:val="single" w:color="auto" w:sz="4" w:space="0"/>
                    <w:bottom w:val="single" w:color="auto" w:sz="4" w:space="0"/>
                    <w:right w:val="single" w:color="auto" w:sz="4" w:space="0"/>
                  </w:tcBorders>
                  <w:vAlign w:val="center"/>
                </w:tcPr>
                <w:p>
                  <w:pPr>
                    <w:autoSpaceDE w:val="0"/>
                    <w:jc w:val="center"/>
                    <w:rPr>
                      <w:color w:val="auto"/>
                    </w:rPr>
                  </w:pPr>
                  <w:r>
                    <w:rPr>
                      <w:rFonts w:hint="eastAsia"/>
                      <w:color w:val="auto"/>
                    </w:rPr>
                    <w:t>离子交换树脂</w:t>
                  </w:r>
                </w:p>
              </w:tc>
              <w:tc>
                <w:tcPr>
                  <w:tcW w:w="1050" w:type="dxa"/>
                  <w:tcBorders>
                    <w:top w:val="single" w:color="auto" w:sz="4" w:space="0"/>
                    <w:left w:val="single" w:color="auto" w:sz="4" w:space="0"/>
                    <w:bottom w:val="single" w:color="auto" w:sz="4" w:space="0"/>
                    <w:right w:val="single" w:color="auto" w:sz="4" w:space="0"/>
                  </w:tcBorders>
                  <w:vAlign w:val="center"/>
                </w:tcPr>
                <w:p>
                  <w:pPr>
                    <w:autoSpaceDE w:val="0"/>
                    <w:jc w:val="center"/>
                    <w:rPr>
                      <w:color w:val="auto"/>
                    </w:rPr>
                  </w:pPr>
                  <w:r>
                    <w:rPr>
                      <w:rFonts w:hint="eastAsia"/>
                      <w:color w:val="auto"/>
                    </w:rPr>
                    <w:t>是</w:t>
                  </w:r>
                </w:p>
              </w:tc>
              <w:tc>
                <w:tcPr>
                  <w:tcW w:w="1068" w:type="dxa"/>
                  <w:vMerge w:val="continue"/>
                  <w:tcBorders>
                    <w:left w:val="single" w:color="auto" w:sz="4" w:space="0"/>
                    <w:bottom w:val="single" w:color="auto" w:sz="4" w:space="0"/>
                    <w:right w:val="single" w:color="auto" w:sz="4" w:space="0"/>
                  </w:tcBorders>
                  <w:vAlign w:val="center"/>
                </w:tcPr>
                <w:p>
                  <w:pPr>
                    <w:jc w:val="center"/>
                    <w:rPr>
                      <w:color w:val="auto"/>
                    </w:rPr>
                  </w:pPr>
                </w:p>
              </w:tc>
            </w:tr>
          </w:tbl>
          <w:p>
            <w:pPr>
              <w:spacing w:line="360" w:lineRule="auto"/>
              <w:ind w:firstLine="480" w:firstLineChars="200"/>
              <w:rPr>
                <w:b/>
                <w:bCs/>
                <w:color w:val="auto"/>
                <w:sz w:val="24"/>
                <w:szCs w:val="24"/>
              </w:rPr>
            </w:pPr>
            <w:r>
              <w:rPr>
                <w:color w:val="auto"/>
                <w:sz w:val="24"/>
                <w:szCs w:val="24"/>
              </w:rPr>
              <w:t>本项目一般固废产生和处置情况详见下表：</w:t>
            </w:r>
          </w:p>
          <w:p>
            <w:pPr>
              <w:spacing w:line="360" w:lineRule="auto"/>
              <w:jc w:val="center"/>
              <w:rPr>
                <w:b/>
                <w:bCs/>
                <w:color w:val="auto"/>
                <w:sz w:val="24"/>
                <w:szCs w:val="24"/>
              </w:rPr>
            </w:pPr>
            <w:r>
              <w:rPr>
                <w:b/>
                <w:bCs/>
                <w:color w:val="auto"/>
                <w:sz w:val="24"/>
                <w:szCs w:val="24"/>
              </w:rPr>
              <w:t>表4-</w:t>
            </w:r>
            <w:r>
              <w:rPr>
                <w:rFonts w:hint="eastAsia"/>
                <w:b/>
                <w:bCs/>
                <w:color w:val="auto"/>
                <w:sz w:val="24"/>
                <w:szCs w:val="24"/>
              </w:rPr>
              <w:t>18</w:t>
            </w:r>
            <w:r>
              <w:rPr>
                <w:b/>
                <w:bCs/>
                <w:color w:val="auto"/>
                <w:sz w:val="24"/>
                <w:szCs w:val="24"/>
              </w:rPr>
              <w:t xml:space="preserve">  本项目一般固体废物产生及处置一览表</w:t>
            </w:r>
          </w:p>
          <w:tbl>
            <w:tblPr>
              <w:tblStyle w:val="23"/>
              <w:tblW w:w="82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1159"/>
              <w:gridCol w:w="847"/>
              <w:gridCol w:w="1290"/>
              <w:gridCol w:w="1140"/>
              <w:gridCol w:w="1354"/>
              <w:gridCol w:w="17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5"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color w:val="auto"/>
                    </w:rPr>
                    <w:t>序号</w:t>
                  </w:r>
                </w:p>
              </w:tc>
              <w:tc>
                <w:tcPr>
                  <w:tcW w:w="1159"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color w:val="auto"/>
                    </w:rPr>
                    <w:t>固废名称</w:t>
                  </w:r>
                </w:p>
              </w:tc>
              <w:tc>
                <w:tcPr>
                  <w:tcW w:w="847"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color w:val="auto"/>
                    </w:rPr>
                    <w:t>形态</w:t>
                  </w:r>
                </w:p>
              </w:tc>
              <w:tc>
                <w:tcPr>
                  <w:tcW w:w="1290"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color w:val="auto"/>
                    </w:rPr>
                    <w:t>代码</w:t>
                  </w:r>
                </w:p>
              </w:tc>
              <w:tc>
                <w:tcPr>
                  <w:tcW w:w="1140"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color w:val="auto"/>
                    </w:rPr>
                    <w:t>产生工序</w:t>
                  </w:r>
                </w:p>
              </w:tc>
              <w:tc>
                <w:tcPr>
                  <w:tcW w:w="1354"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color w:val="auto"/>
                    </w:rPr>
                    <w:t>产生量（t/a）</w:t>
                  </w:r>
                </w:p>
              </w:tc>
              <w:tc>
                <w:tcPr>
                  <w:tcW w:w="1774"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color w:val="auto"/>
                    </w:rPr>
                    <w:t>处置方式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trPr>
              <w:tc>
                <w:tcPr>
                  <w:tcW w:w="705"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color w:val="auto"/>
                    </w:rPr>
                    <w:t>1</w:t>
                  </w:r>
                </w:p>
              </w:tc>
              <w:tc>
                <w:tcPr>
                  <w:tcW w:w="1159"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color w:val="auto"/>
                    </w:rPr>
                    <w:t>生活垃圾</w:t>
                  </w:r>
                </w:p>
              </w:tc>
              <w:tc>
                <w:tcPr>
                  <w:tcW w:w="847"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color w:val="auto"/>
                    </w:rPr>
                    <w:t>固态</w:t>
                  </w:r>
                </w:p>
              </w:tc>
              <w:tc>
                <w:tcPr>
                  <w:tcW w:w="1290"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color w:val="auto"/>
                    </w:rPr>
                    <w:t>/</w:t>
                  </w:r>
                </w:p>
              </w:tc>
              <w:tc>
                <w:tcPr>
                  <w:tcW w:w="1140"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color w:val="auto"/>
                    </w:rPr>
                    <w:t>员工生活办公</w:t>
                  </w:r>
                </w:p>
              </w:tc>
              <w:tc>
                <w:tcPr>
                  <w:tcW w:w="1354"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rFonts w:hint="eastAsia"/>
                      <w:color w:val="auto"/>
                    </w:rPr>
                    <w:t>6</w:t>
                  </w:r>
                </w:p>
              </w:tc>
              <w:tc>
                <w:tcPr>
                  <w:tcW w:w="1774"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color w:val="auto"/>
                    </w:rPr>
                    <w:t>袋装或桶装分类收集，委托环卫部门统一处理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5"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rFonts w:hint="eastAsia"/>
                      <w:color w:val="auto"/>
                    </w:rPr>
                    <w:t>2</w:t>
                  </w:r>
                </w:p>
              </w:tc>
              <w:tc>
                <w:tcPr>
                  <w:tcW w:w="1159" w:type="dxa"/>
                  <w:tcBorders>
                    <w:top w:val="single" w:color="auto" w:sz="4" w:space="0"/>
                    <w:left w:val="single" w:color="auto" w:sz="4" w:space="0"/>
                    <w:right w:val="single" w:color="auto" w:sz="4" w:space="0"/>
                  </w:tcBorders>
                  <w:vAlign w:val="center"/>
                </w:tcPr>
                <w:p>
                  <w:pPr>
                    <w:jc w:val="center"/>
                    <w:rPr>
                      <w:color w:val="auto"/>
                    </w:rPr>
                  </w:pPr>
                  <w:r>
                    <w:rPr>
                      <w:rFonts w:hint="eastAsia"/>
                      <w:color w:val="auto"/>
                    </w:rPr>
                    <w:t>初清筛杂质</w:t>
                  </w:r>
                </w:p>
              </w:tc>
              <w:tc>
                <w:tcPr>
                  <w:tcW w:w="847" w:type="dxa"/>
                  <w:tcBorders>
                    <w:top w:val="single" w:color="auto" w:sz="4" w:space="0"/>
                    <w:left w:val="single" w:color="auto" w:sz="4" w:space="0"/>
                    <w:right w:val="single" w:color="auto" w:sz="4" w:space="0"/>
                  </w:tcBorders>
                  <w:vAlign w:val="center"/>
                </w:tcPr>
                <w:p>
                  <w:pPr>
                    <w:autoSpaceDE w:val="0"/>
                    <w:jc w:val="center"/>
                    <w:rPr>
                      <w:color w:val="auto"/>
                    </w:rPr>
                  </w:pPr>
                  <w:r>
                    <w:rPr>
                      <w:rFonts w:hint="eastAsia"/>
                      <w:color w:val="auto"/>
                    </w:rPr>
                    <w:t>固态</w:t>
                  </w:r>
                </w:p>
              </w:tc>
              <w:tc>
                <w:tcPr>
                  <w:tcW w:w="1290" w:type="dxa"/>
                  <w:tcBorders>
                    <w:top w:val="single" w:color="auto" w:sz="4" w:space="0"/>
                    <w:left w:val="single" w:color="auto" w:sz="4" w:space="0"/>
                    <w:right w:val="single" w:color="auto" w:sz="4" w:space="0"/>
                  </w:tcBorders>
                  <w:vAlign w:val="center"/>
                </w:tcPr>
                <w:p>
                  <w:pPr>
                    <w:jc w:val="center"/>
                    <w:rPr>
                      <w:color w:val="auto"/>
                    </w:rPr>
                  </w:pPr>
                  <w:r>
                    <w:rPr>
                      <w:rFonts w:hint="eastAsia"/>
                      <w:color w:val="auto"/>
                    </w:rPr>
                    <w:t>130-001-39</w:t>
                  </w:r>
                </w:p>
              </w:tc>
              <w:tc>
                <w:tcPr>
                  <w:tcW w:w="1140" w:type="dxa"/>
                  <w:tcBorders>
                    <w:top w:val="single" w:color="auto" w:sz="4" w:space="0"/>
                    <w:left w:val="single" w:color="auto" w:sz="4" w:space="0"/>
                    <w:right w:val="single" w:color="auto" w:sz="4" w:space="0"/>
                  </w:tcBorders>
                  <w:vAlign w:val="center"/>
                </w:tcPr>
                <w:p>
                  <w:pPr>
                    <w:autoSpaceDE w:val="0"/>
                    <w:jc w:val="center"/>
                    <w:rPr>
                      <w:color w:val="auto"/>
                    </w:rPr>
                  </w:pPr>
                  <w:r>
                    <w:rPr>
                      <w:rFonts w:hint="eastAsia"/>
                      <w:color w:val="auto"/>
                    </w:rPr>
                    <w:t>生产过程</w:t>
                  </w:r>
                </w:p>
              </w:tc>
              <w:tc>
                <w:tcPr>
                  <w:tcW w:w="1354" w:type="dxa"/>
                  <w:tcBorders>
                    <w:top w:val="single" w:color="auto" w:sz="4" w:space="0"/>
                    <w:left w:val="single" w:color="auto" w:sz="4" w:space="0"/>
                    <w:right w:val="single" w:color="auto" w:sz="4" w:space="0"/>
                  </w:tcBorders>
                  <w:vAlign w:val="center"/>
                </w:tcPr>
                <w:p>
                  <w:pPr>
                    <w:jc w:val="center"/>
                    <w:rPr>
                      <w:color w:val="auto"/>
                    </w:rPr>
                  </w:pPr>
                  <w:r>
                    <w:rPr>
                      <w:rFonts w:hint="eastAsia"/>
                      <w:color w:val="auto"/>
                    </w:rPr>
                    <w:t>17.64</w:t>
                  </w:r>
                </w:p>
              </w:tc>
              <w:tc>
                <w:tcPr>
                  <w:tcW w:w="1774" w:type="dxa"/>
                  <w:tcBorders>
                    <w:top w:val="single" w:color="auto" w:sz="4" w:space="0"/>
                    <w:left w:val="single" w:color="auto" w:sz="4" w:space="0"/>
                    <w:right w:val="single" w:color="auto" w:sz="4" w:space="0"/>
                  </w:tcBorders>
                  <w:vAlign w:val="center"/>
                </w:tcPr>
                <w:p>
                  <w:pPr>
                    <w:jc w:val="center"/>
                    <w:rPr>
                      <w:color w:val="auto"/>
                    </w:rPr>
                  </w:pPr>
                  <w:r>
                    <w:rPr>
                      <w:rFonts w:hint="eastAsia"/>
                      <w:color w:val="auto"/>
                    </w:rPr>
                    <w:t>收集后</w:t>
                  </w:r>
                  <w:r>
                    <w:rPr>
                      <w:color w:val="auto"/>
                    </w:rPr>
                    <w:t>委托环卫部门统一处理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5"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rFonts w:hint="eastAsia"/>
                      <w:color w:val="auto"/>
                    </w:rPr>
                    <w:t>3</w:t>
                  </w:r>
                </w:p>
              </w:tc>
              <w:tc>
                <w:tcPr>
                  <w:tcW w:w="1159"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rFonts w:hint="eastAsia"/>
                      <w:color w:val="auto"/>
                    </w:rPr>
                    <w:t>磁选杂质</w:t>
                  </w:r>
                </w:p>
              </w:tc>
              <w:tc>
                <w:tcPr>
                  <w:tcW w:w="847" w:type="dxa"/>
                  <w:tcBorders>
                    <w:top w:val="single" w:color="auto" w:sz="4" w:space="0"/>
                    <w:left w:val="single" w:color="auto" w:sz="4" w:space="0"/>
                    <w:bottom w:val="single" w:color="auto" w:sz="4" w:space="0"/>
                    <w:right w:val="single" w:color="auto" w:sz="4" w:space="0"/>
                  </w:tcBorders>
                  <w:vAlign w:val="center"/>
                </w:tcPr>
                <w:p>
                  <w:pPr>
                    <w:autoSpaceDE w:val="0"/>
                    <w:jc w:val="center"/>
                    <w:rPr>
                      <w:color w:val="auto"/>
                    </w:rPr>
                  </w:pPr>
                  <w:r>
                    <w:rPr>
                      <w:color w:val="auto"/>
                    </w:rPr>
                    <w:t>固态</w:t>
                  </w:r>
                </w:p>
              </w:tc>
              <w:tc>
                <w:tcPr>
                  <w:tcW w:w="1290"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rFonts w:hint="eastAsia"/>
                      <w:color w:val="auto"/>
                    </w:rPr>
                    <w:t>130-001-39</w:t>
                  </w:r>
                </w:p>
              </w:tc>
              <w:tc>
                <w:tcPr>
                  <w:tcW w:w="1140" w:type="dxa"/>
                  <w:tcBorders>
                    <w:top w:val="single" w:color="auto" w:sz="4" w:space="0"/>
                    <w:left w:val="single" w:color="auto" w:sz="4" w:space="0"/>
                    <w:bottom w:val="single" w:color="auto" w:sz="4" w:space="0"/>
                    <w:right w:val="single" w:color="auto" w:sz="4" w:space="0"/>
                  </w:tcBorders>
                  <w:vAlign w:val="center"/>
                </w:tcPr>
                <w:p>
                  <w:pPr>
                    <w:autoSpaceDE w:val="0"/>
                    <w:jc w:val="center"/>
                    <w:rPr>
                      <w:color w:val="auto"/>
                    </w:rPr>
                  </w:pPr>
                  <w:r>
                    <w:rPr>
                      <w:rFonts w:hint="eastAsia"/>
                      <w:color w:val="auto"/>
                    </w:rPr>
                    <w:t>生产过程</w:t>
                  </w:r>
                </w:p>
              </w:tc>
              <w:tc>
                <w:tcPr>
                  <w:tcW w:w="1354"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rFonts w:hint="eastAsia"/>
                      <w:color w:val="auto"/>
                    </w:rPr>
                    <w:t>8.82</w:t>
                  </w:r>
                </w:p>
              </w:tc>
              <w:tc>
                <w:tcPr>
                  <w:tcW w:w="1774"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rFonts w:hint="eastAsia"/>
                      <w:color w:val="auto"/>
                    </w:rPr>
                    <w:t>收集后外售综合利用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5"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rFonts w:hint="eastAsia"/>
                      <w:color w:val="auto"/>
                    </w:rPr>
                    <w:t>4</w:t>
                  </w:r>
                </w:p>
              </w:tc>
              <w:tc>
                <w:tcPr>
                  <w:tcW w:w="1159" w:type="dxa"/>
                  <w:tcBorders>
                    <w:top w:val="single" w:color="auto" w:sz="4" w:space="0"/>
                    <w:left w:val="single" w:color="auto" w:sz="4" w:space="0"/>
                    <w:bottom w:val="single" w:color="auto" w:sz="4" w:space="0"/>
                    <w:right w:val="single" w:color="auto" w:sz="4" w:space="0"/>
                  </w:tcBorders>
                  <w:vAlign w:val="center"/>
                </w:tcPr>
                <w:p>
                  <w:pPr>
                    <w:pStyle w:val="30"/>
                    <w:jc w:val="center"/>
                    <w:rPr>
                      <w:rFonts w:ascii="Times New Roman" w:hAnsi="Times New Roman" w:cs="Times New Roman"/>
                      <w:color w:val="auto"/>
                      <w:sz w:val="21"/>
                      <w:szCs w:val="21"/>
                    </w:rPr>
                  </w:pPr>
                  <w:r>
                    <w:rPr>
                      <w:rFonts w:hint="eastAsia" w:ascii="Times New Roman" w:hAnsi="Times New Roman" w:cs="Times New Roman"/>
                      <w:color w:val="auto"/>
                      <w:sz w:val="21"/>
                      <w:szCs w:val="21"/>
                    </w:rPr>
                    <w:t>废包装袋</w:t>
                  </w:r>
                </w:p>
              </w:tc>
              <w:tc>
                <w:tcPr>
                  <w:tcW w:w="847" w:type="dxa"/>
                  <w:tcBorders>
                    <w:top w:val="single" w:color="auto" w:sz="4" w:space="0"/>
                    <w:left w:val="single" w:color="auto" w:sz="4" w:space="0"/>
                    <w:bottom w:val="single" w:color="auto" w:sz="4" w:space="0"/>
                    <w:right w:val="single" w:color="auto" w:sz="4" w:space="0"/>
                  </w:tcBorders>
                  <w:vAlign w:val="center"/>
                </w:tcPr>
                <w:p>
                  <w:pPr>
                    <w:autoSpaceDE w:val="0"/>
                    <w:jc w:val="center"/>
                    <w:rPr>
                      <w:color w:val="auto"/>
                    </w:rPr>
                  </w:pPr>
                  <w:r>
                    <w:rPr>
                      <w:rFonts w:hint="eastAsia"/>
                      <w:color w:val="auto"/>
                    </w:rPr>
                    <w:t>固态</w:t>
                  </w:r>
                </w:p>
              </w:tc>
              <w:tc>
                <w:tcPr>
                  <w:tcW w:w="1290"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rFonts w:hint="eastAsia"/>
                      <w:color w:val="auto"/>
                    </w:rPr>
                    <w:t>900</w:t>
                  </w:r>
                  <w:r>
                    <w:rPr>
                      <w:color w:val="auto"/>
                    </w:rPr>
                    <w:t>-</w:t>
                  </w:r>
                  <w:r>
                    <w:rPr>
                      <w:rFonts w:hint="eastAsia"/>
                      <w:color w:val="auto"/>
                    </w:rPr>
                    <w:t>999</w:t>
                  </w:r>
                  <w:r>
                    <w:rPr>
                      <w:color w:val="auto"/>
                    </w:rPr>
                    <w:t>-</w:t>
                  </w:r>
                  <w:r>
                    <w:rPr>
                      <w:rFonts w:hint="eastAsia"/>
                      <w:color w:val="auto"/>
                    </w:rPr>
                    <w:t>99</w:t>
                  </w:r>
                </w:p>
              </w:tc>
              <w:tc>
                <w:tcPr>
                  <w:tcW w:w="1140" w:type="dxa"/>
                  <w:tcBorders>
                    <w:top w:val="single" w:color="auto" w:sz="4" w:space="0"/>
                    <w:left w:val="single" w:color="auto" w:sz="4" w:space="0"/>
                    <w:bottom w:val="single" w:color="auto" w:sz="4" w:space="0"/>
                    <w:right w:val="single" w:color="auto" w:sz="4" w:space="0"/>
                  </w:tcBorders>
                  <w:vAlign w:val="center"/>
                </w:tcPr>
                <w:p>
                  <w:pPr>
                    <w:autoSpaceDE w:val="0"/>
                    <w:jc w:val="center"/>
                    <w:rPr>
                      <w:color w:val="auto"/>
                    </w:rPr>
                  </w:pPr>
                  <w:r>
                    <w:rPr>
                      <w:color w:val="auto"/>
                    </w:rPr>
                    <w:t>生产过程</w:t>
                  </w:r>
                </w:p>
              </w:tc>
              <w:tc>
                <w:tcPr>
                  <w:tcW w:w="1354"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rFonts w:hint="eastAsia"/>
                      <w:color w:val="auto"/>
                    </w:rPr>
                    <w:t>15</w:t>
                  </w:r>
                </w:p>
              </w:tc>
              <w:tc>
                <w:tcPr>
                  <w:tcW w:w="1774"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rFonts w:hint="eastAsia"/>
                      <w:color w:val="auto"/>
                    </w:rPr>
                    <w:t>收集后外售综合利用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5"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rFonts w:hint="eastAsia"/>
                      <w:color w:val="auto"/>
                    </w:rPr>
                    <w:t>5</w:t>
                  </w:r>
                </w:p>
              </w:tc>
              <w:tc>
                <w:tcPr>
                  <w:tcW w:w="115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color w:val="auto"/>
                    </w:rPr>
                  </w:pPr>
                  <w:r>
                    <w:rPr>
                      <w:rFonts w:hint="eastAsia"/>
                      <w:color w:val="auto"/>
                    </w:rPr>
                    <w:t>除尘器收集的粉尘</w:t>
                  </w:r>
                </w:p>
              </w:tc>
              <w:tc>
                <w:tcPr>
                  <w:tcW w:w="847" w:type="dxa"/>
                  <w:tcBorders>
                    <w:top w:val="single" w:color="auto" w:sz="4" w:space="0"/>
                    <w:left w:val="single" w:color="auto" w:sz="4" w:space="0"/>
                    <w:bottom w:val="single" w:color="auto" w:sz="4" w:space="0"/>
                    <w:right w:val="single" w:color="auto" w:sz="4" w:space="0"/>
                  </w:tcBorders>
                  <w:vAlign w:val="center"/>
                </w:tcPr>
                <w:p>
                  <w:pPr>
                    <w:autoSpaceDE w:val="0"/>
                    <w:jc w:val="center"/>
                    <w:rPr>
                      <w:color w:val="auto"/>
                    </w:rPr>
                  </w:pPr>
                  <w:r>
                    <w:rPr>
                      <w:rFonts w:hint="eastAsia"/>
                      <w:color w:val="auto"/>
                    </w:rPr>
                    <w:t>固态</w:t>
                  </w:r>
                </w:p>
              </w:tc>
              <w:tc>
                <w:tcPr>
                  <w:tcW w:w="1290"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rFonts w:hint="eastAsia"/>
                      <w:color w:val="auto"/>
                    </w:rPr>
                    <w:t>900</w:t>
                  </w:r>
                  <w:r>
                    <w:rPr>
                      <w:color w:val="auto"/>
                    </w:rPr>
                    <w:t>-</w:t>
                  </w:r>
                  <w:r>
                    <w:rPr>
                      <w:rFonts w:hint="eastAsia"/>
                      <w:color w:val="auto"/>
                    </w:rPr>
                    <w:t>999</w:t>
                  </w:r>
                  <w:r>
                    <w:rPr>
                      <w:color w:val="auto"/>
                    </w:rPr>
                    <w:t>-</w:t>
                  </w:r>
                  <w:r>
                    <w:rPr>
                      <w:rFonts w:hint="eastAsia"/>
                      <w:color w:val="auto"/>
                    </w:rPr>
                    <w:t>66</w:t>
                  </w:r>
                </w:p>
              </w:tc>
              <w:tc>
                <w:tcPr>
                  <w:tcW w:w="1140" w:type="dxa"/>
                  <w:tcBorders>
                    <w:top w:val="single" w:color="auto" w:sz="4" w:space="0"/>
                    <w:left w:val="single" w:color="auto" w:sz="4" w:space="0"/>
                    <w:bottom w:val="single" w:color="auto" w:sz="4" w:space="0"/>
                    <w:right w:val="single" w:color="auto" w:sz="4" w:space="0"/>
                  </w:tcBorders>
                  <w:vAlign w:val="center"/>
                </w:tcPr>
                <w:p>
                  <w:pPr>
                    <w:adjustRightInd w:val="0"/>
                    <w:jc w:val="center"/>
                    <w:textAlignment w:val="baseline"/>
                    <w:rPr>
                      <w:color w:val="auto"/>
                    </w:rPr>
                  </w:pPr>
                  <w:r>
                    <w:rPr>
                      <w:color w:val="auto"/>
                    </w:rPr>
                    <w:t>废气处理</w:t>
                  </w:r>
                  <w:r>
                    <w:rPr>
                      <w:rFonts w:hint="eastAsia"/>
                      <w:color w:val="auto"/>
                    </w:rPr>
                    <w:t>过程</w:t>
                  </w:r>
                </w:p>
              </w:tc>
              <w:tc>
                <w:tcPr>
                  <w:tcW w:w="1354"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color w:val="auto"/>
                      <w:lang w:val="en-US" w:eastAsia="zh-CN"/>
                    </w:rPr>
                  </w:pPr>
                  <w:r>
                    <w:rPr>
                      <w:rFonts w:hint="eastAsia"/>
                      <w:color w:val="auto"/>
                      <w:lang w:eastAsia="zh-CN"/>
                    </w:rPr>
                    <w:t>12.147</w:t>
                  </w:r>
                </w:p>
              </w:tc>
              <w:tc>
                <w:tcPr>
                  <w:tcW w:w="1774"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rFonts w:hint="eastAsia"/>
                      <w:color w:val="auto"/>
                    </w:rPr>
                    <w:t>收集后回用于生产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5"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rFonts w:hint="eastAsia"/>
                      <w:color w:val="auto"/>
                    </w:rPr>
                    <w:t>6</w:t>
                  </w:r>
                </w:p>
              </w:tc>
              <w:tc>
                <w:tcPr>
                  <w:tcW w:w="1159" w:type="dxa"/>
                  <w:tcBorders>
                    <w:top w:val="single" w:color="auto" w:sz="4" w:space="0"/>
                    <w:left w:val="single" w:color="auto" w:sz="4" w:space="0"/>
                    <w:bottom w:val="single" w:color="auto" w:sz="4" w:space="0"/>
                    <w:right w:val="single" w:color="auto" w:sz="4" w:space="0"/>
                  </w:tcBorders>
                  <w:vAlign w:val="center"/>
                </w:tcPr>
                <w:p>
                  <w:pPr>
                    <w:pStyle w:val="30"/>
                    <w:jc w:val="center"/>
                    <w:rPr>
                      <w:rFonts w:ascii="Times New Roman" w:hAnsi="Times New Roman"/>
                      <w:bCs/>
                      <w:color w:val="auto"/>
                      <w:sz w:val="21"/>
                      <w:szCs w:val="21"/>
                    </w:rPr>
                  </w:pPr>
                  <w:r>
                    <w:rPr>
                      <w:rFonts w:hint="eastAsia" w:ascii="Times New Roman" w:hAnsi="Times New Roman"/>
                      <w:bCs/>
                      <w:color w:val="auto"/>
                      <w:sz w:val="21"/>
                      <w:szCs w:val="21"/>
                      <w:lang w:eastAsia="zh-CN"/>
                    </w:rPr>
                    <w:t>纯</w:t>
                  </w:r>
                  <w:r>
                    <w:rPr>
                      <w:rFonts w:hint="eastAsia" w:ascii="Times New Roman" w:hAnsi="Times New Roman"/>
                      <w:bCs/>
                      <w:color w:val="auto"/>
                      <w:sz w:val="21"/>
                      <w:szCs w:val="21"/>
                    </w:rPr>
                    <w:t>水制备废离子交换树脂</w:t>
                  </w:r>
                </w:p>
              </w:tc>
              <w:tc>
                <w:tcPr>
                  <w:tcW w:w="847" w:type="dxa"/>
                  <w:tcBorders>
                    <w:top w:val="single" w:color="auto" w:sz="4" w:space="0"/>
                    <w:left w:val="single" w:color="auto" w:sz="4" w:space="0"/>
                    <w:bottom w:val="single" w:color="auto" w:sz="4" w:space="0"/>
                    <w:right w:val="single" w:color="auto" w:sz="4" w:space="0"/>
                  </w:tcBorders>
                  <w:vAlign w:val="center"/>
                </w:tcPr>
                <w:p>
                  <w:pPr>
                    <w:autoSpaceDE w:val="0"/>
                    <w:jc w:val="center"/>
                    <w:rPr>
                      <w:color w:val="auto"/>
                    </w:rPr>
                  </w:pPr>
                  <w:r>
                    <w:rPr>
                      <w:rFonts w:hint="eastAsia"/>
                      <w:color w:val="auto"/>
                    </w:rPr>
                    <w:t>固态</w:t>
                  </w:r>
                </w:p>
              </w:tc>
              <w:tc>
                <w:tcPr>
                  <w:tcW w:w="1290"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rFonts w:hint="eastAsia"/>
                      <w:color w:val="auto"/>
                    </w:rPr>
                    <w:t>900</w:t>
                  </w:r>
                  <w:r>
                    <w:rPr>
                      <w:color w:val="auto"/>
                    </w:rPr>
                    <w:t>-</w:t>
                  </w:r>
                  <w:r>
                    <w:rPr>
                      <w:rFonts w:hint="eastAsia"/>
                      <w:color w:val="auto"/>
                    </w:rPr>
                    <w:t>999</w:t>
                  </w:r>
                  <w:r>
                    <w:rPr>
                      <w:color w:val="auto"/>
                    </w:rPr>
                    <w:t>-</w:t>
                  </w:r>
                  <w:r>
                    <w:rPr>
                      <w:rFonts w:hint="eastAsia"/>
                      <w:color w:val="auto"/>
                    </w:rPr>
                    <w:t>99</w:t>
                  </w:r>
                </w:p>
              </w:tc>
              <w:tc>
                <w:tcPr>
                  <w:tcW w:w="1140" w:type="dxa"/>
                  <w:tcBorders>
                    <w:top w:val="single" w:color="auto" w:sz="4" w:space="0"/>
                    <w:left w:val="single" w:color="auto" w:sz="4" w:space="0"/>
                    <w:bottom w:val="single" w:color="auto" w:sz="4" w:space="0"/>
                    <w:right w:val="single" w:color="auto" w:sz="4" w:space="0"/>
                  </w:tcBorders>
                  <w:vAlign w:val="center"/>
                </w:tcPr>
                <w:p>
                  <w:pPr>
                    <w:autoSpaceDE w:val="0"/>
                    <w:jc w:val="center"/>
                    <w:rPr>
                      <w:color w:val="auto"/>
                    </w:rPr>
                  </w:pPr>
                  <w:r>
                    <w:rPr>
                      <w:rFonts w:hint="eastAsia"/>
                      <w:color w:val="auto"/>
                    </w:rPr>
                    <w:t>锅炉</w:t>
                  </w:r>
                  <w:r>
                    <w:rPr>
                      <w:rFonts w:hint="eastAsia"/>
                      <w:color w:val="auto"/>
                      <w:lang w:eastAsia="zh-CN"/>
                    </w:rPr>
                    <w:t>纯</w:t>
                  </w:r>
                  <w:r>
                    <w:rPr>
                      <w:rFonts w:hint="eastAsia"/>
                      <w:color w:val="auto"/>
                    </w:rPr>
                    <w:t>水制备过程</w:t>
                  </w:r>
                </w:p>
              </w:tc>
              <w:tc>
                <w:tcPr>
                  <w:tcW w:w="1354"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rFonts w:hint="eastAsia"/>
                      <w:color w:val="auto"/>
                    </w:rPr>
                    <w:t>0.1</w:t>
                  </w:r>
                </w:p>
              </w:tc>
              <w:tc>
                <w:tcPr>
                  <w:tcW w:w="1774"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rFonts w:hint="eastAsia"/>
                      <w:color w:val="auto"/>
                    </w:rPr>
                    <w:t>更换时，由厂家回收处置</w:t>
                  </w:r>
                </w:p>
              </w:tc>
            </w:tr>
          </w:tbl>
          <w:p>
            <w:pPr>
              <w:spacing w:line="360" w:lineRule="auto"/>
              <w:jc w:val="center"/>
              <w:rPr>
                <w:b/>
                <w:bCs/>
                <w:color w:val="auto"/>
                <w:sz w:val="24"/>
                <w:szCs w:val="24"/>
              </w:rPr>
            </w:pPr>
            <w:r>
              <w:rPr>
                <w:b/>
                <w:bCs/>
                <w:color w:val="auto"/>
                <w:sz w:val="24"/>
                <w:szCs w:val="24"/>
              </w:rPr>
              <w:t>表4-</w:t>
            </w:r>
            <w:r>
              <w:rPr>
                <w:rFonts w:hint="eastAsia"/>
                <w:b/>
                <w:bCs/>
                <w:color w:val="auto"/>
                <w:sz w:val="24"/>
                <w:szCs w:val="24"/>
              </w:rPr>
              <w:t>19</w:t>
            </w:r>
            <w:r>
              <w:rPr>
                <w:b/>
                <w:bCs/>
                <w:color w:val="auto"/>
                <w:sz w:val="24"/>
                <w:szCs w:val="24"/>
              </w:rPr>
              <w:t xml:space="preserve">  本项目危险废物汇总表</w:t>
            </w:r>
          </w:p>
          <w:tbl>
            <w:tblPr>
              <w:tblStyle w:val="23"/>
              <w:tblW w:w="82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5"/>
              <w:gridCol w:w="870"/>
              <w:gridCol w:w="900"/>
              <w:gridCol w:w="990"/>
              <w:gridCol w:w="705"/>
              <w:gridCol w:w="780"/>
              <w:gridCol w:w="495"/>
              <w:gridCol w:w="615"/>
              <w:gridCol w:w="702"/>
              <w:gridCol w:w="615"/>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385" w:type="dxa"/>
                  <w:vAlign w:val="center"/>
                </w:tcPr>
                <w:p>
                  <w:pPr>
                    <w:jc w:val="center"/>
                    <w:rPr>
                      <w:color w:val="auto"/>
                    </w:rPr>
                  </w:pPr>
                  <w:r>
                    <w:rPr>
                      <w:color w:val="auto"/>
                    </w:rPr>
                    <w:t>序号</w:t>
                  </w:r>
                </w:p>
              </w:tc>
              <w:tc>
                <w:tcPr>
                  <w:tcW w:w="870" w:type="dxa"/>
                  <w:vAlign w:val="center"/>
                </w:tcPr>
                <w:p>
                  <w:pPr>
                    <w:jc w:val="center"/>
                    <w:rPr>
                      <w:color w:val="auto"/>
                    </w:rPr>
                  </w:pPr>
                  <w:r>
                    <w:rPr>
                      <w:rFonts w:hint="eastAsia"/>
                      <w:color w:val="auto"/>
                    </w:rPr>
                    <w:t>危险废物</w:t>
                  </w:r>
                  <w:r>
                    <w:rPr>
                      <w:color w:val="auto"/>
                    </w:rPr>
                    <w:t>名称</w:t>
                  </w:r>
                </w:p>
              </w:tc>
              <w:tc>
                <w:tcPr>
                  <w:tcW w:w="900" w:type="dxa"/>
                  <w:vAlign w:val="center"/>
                </w:tcPr>
                <w:p>
                  <w:pPr>
                    <w:jc w:val="center"/>
                    <w:rPr>
                      <w:color w:val="auto"/>
                    </w:rPr>
                  </w:pPr>
                  <w:r>
                    <w:rPr>
                      <w:rFonts w:hint="eastAsia"/>
                      <w:color w:val="auto"/>
                    </w:rPr>
                    <w:t>危险废物类别</w:t>
                  </w:r>
                </w:p>
              </w:tc>
              <w:tc>
                <w:tcPr>
                  <w:tcW w:w="990" w:type="dxa"/>
                  <w:vAlign w:val="center"/>
                </w:tcPr>
                <w:p>
                  <w:pPr>
                    <w:jc w:val="center"/>
                    <w:rPr>
                      <w:color w:val="auto"/>
                    </w:rPr>
                  </w:pPr>
                  <w:r>
                    <w:rPr>
                      <w:rFonts w:hint="eastAsia"/>
                      <w:color w:val="auto"/>
                    </w:rPr>
                    <w:t>代码</w:t>
                  </w:r>
                </w:p>
              </w:tc>
              <w:tc>
                <w:tcPr>
                  <w:tcW w:w="705" w:type="dxa"/>
                  <w:vAlign w:val="center"/>
                </w:tcPr>
                <w:p>
                  <w:pPr>
                    <w:jc w:val="center"/>
                    <w:rPr>
                      <w:color w:val="auto"/>
                    </w:rPr>
                  </w:pPr>
                  <w:r>
                    <w:rPr>
                      <w:color w:val="auto"/>
                    </w:rPr>
                    <w:t>产生工序</w:t>
                  </w:r>
                </w:p>
              </w:tc>
              <w:tc>
                <w:tcPr>
                  <w:tcW w:w="780" w:type="dxa"/>
                  <w:vAlign w:val="center"/>
                </w:tcPr>
                <w:p>
                  <w:pPr>
                    <w:jc w:val="center"/>
                    <w:rPr>
                      <w:color w:val="auto"/>
                    </w:rPr>
                  </w:pPr>
                  <w:r>
                    <w:rPr>
                      <w:color w:val="auto"/>
                    </w:rPr>
                    <w:t>产生量</w:t>
                  </w:r>
                </w:p>
                <w:p>
                  <w:pPr>
                    <w:jc w:val="center"/>
                    <w:rPr>
                      <w:color w:val="auto"/>
                    </w:rPr>
                  </w:pPr>
                  <w:r>
                    <w:rPr>
                      <w:color w:val="auto"/>
                    </w:rPr>
                    <w:t>（t/a）</w:t>
                  </w:r>
                </w:p>
              </w:tc>
              <w:tc>
                <w:tcPr>
                  <w:tcW w:w="495" w:type="dxa"/>
                  <w:vAlign w:val="center"/>
                </w:tcPr>
                <w:p>
                  <w:pPr>
                    <w:jc w:val="center"/>
                    <w:rPr>
                      <w:color w:val="auto"/>
                    </w:rPr>
                  </w:pPr>
                  <w:r>
                    <w:rPr>
                      <w:rFonts w:hint="eastAsia"/>
                      <w:color w:val="auto"/>
                    </w:rPr>
                    <w:t>形态</w:t>
                  </w:r>
                </w:p>
              </w:tc>
              <w:tc>
                <w:tcPr>
                  <w:tcW w:w="615" w:type="dxa"/>
                  <w:vAlign w:val="center"/>
                </w:tcPr>
                <w:p>
                  <w:pPr>
                    <w:jc w:val="center"/>
                    <w:rPr>
                      <w:color w:val="auto"/>
                    </w:rPr>
                  </w:pPr>
                  <w:r>
                    <w:rPr>
                      <w:rFonts w:hint="eastAsia"/>
                      <w:color w:val="auto"/>
                    </w:rPr>
                    <w:t>产废周期</w:t>
                  </w:r>
                </w:p>
              </w:tc>
              <w:tc>
                <w:tcPr>
                  <w:tcW w:w="702" w:type="dxa"/>
                  <w:vAlign w:val="center"/>
                </w:tcPr>
                <w:p>
                  <w:pPr>
                    <w:jc w:val="center"/>
                    <w:rPr>
                      <w:color w:val="auto"/>
                    </w:rPr>
                  </w:pPr>
                  <w:r>
                    <w:rPr>
                      <w:rFonts w:hint="eastAsia"/>
                      <w:color w:val="auto"/>
                    </w:rPr>
                    <w:t>有害成分</w:t>
                  </w:r>
                </w:p>
              </w:tc>
              <w:tc>
                <w:tcPr>
                  <w:tcW w:w="615" w:type="dxa"/>
                  <w:vAlign w:val="center"/>
                </w:tcPr>
                <w:p>
                  <w:pPr>
                    <w:jc w:val="center"/>
                    <w:rPr>
                      <w:color w:val="auto"/>
                    </w:rPr>
                  </w:pPr>
                  <w:r>
                    <w:rPr>
                      <w:rFonts w:hint="eastAsia"/>
                      <w:color w:val="auto"/>
                    </w:rPr>
                    <w:t>危废特性</w:t>
                  </w:r>
                </w:p>
              </w:tc>
              <w:tc>
                <w:tcPr>
                  <w:tcW w:w="1185" w:type="dxa"/>
                  <w:vAlign w:val="center"/>
                </w:tcPr>
                <w:p>
                  <w:pPr>
                    <w:jc w:val="center"/>
                    <w:rPr>
                      <w:color w:val="auto"/>
                    </w:rPr>
                  </w:pPr>
                  <w:r>
                    <w:rPr>
                      <w:rFonts w:hint="eastAsia"/>
                      <w:color w:val="auto"/>
                    </w:rPr>
                    <w:t>处置方式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25" w:hRule="atLeast"/>
              </w:trPr>
              <w:tc>
                <w:tcPr>
                  <w:tcW w:w="385" w:type="dxa"/>
                  <w:vAlign w:val="center"/>
                </w:tcPr>
                <w:p>
                  <w:pPr>
                    <w:jc w:val="center"/>
                    <w:rPr>
                      <w:color w:val="auto"/>
                    </w:rPr>
                  </w:pPr>
                  <w:r>
                    <w:rPr>
                      <w:rFonts w:hint="eastAsia"/>
                      <w:color w:val="auto"/>
                    </w:rPr>
                    <w:t>1</w:t>
                  </w:r>
                </w:p>
              </w:tc>
              <w:tc>
                <w:tcPr>
                  <w:tcW w:w="870" w:type="dxa"/>
                  <w:vAlign w:val="center"/>
                </w:tcPr>
                <w:p>
                  <w:pPr>
                    <w:autoSpaceDE w:val="0"/>
                    <w:jc w:val="center"/>
                    <w:rPr>
                      <w:color w:val="auto"/>
                    </w:rPr>
                  </w:pPr>
                  <w:r>
                    <w:rPr>
                      <w:color w:val="auto"/>
                    </w:rPr>
                    <w:t>废机油</w:t>
                  </w:r>
                </w:p>
              </w:tc>
              <w:tc>
                <w:tcPr>
                  <w:tcW w:w="900" w:type="dxa"/>
                  <w:vAlign w:val="center"/>
                </w:tcPr>
                <w:p>
                  <w:pPr>
                    <w:jc w:val="center"/>
                    <w:rPr>
                      <w:color w:val="auto"/>
                    </w:rPr>
                  </w:pPr>
                  <w:r>
                    <w:rPr>
                      <w:rFonts w:hint="eastAsia"/>
                      <w:color w:val="auto"/>
                    </w:rPr>
                    <w:t>HW08废矿物油与含矿物油废物</w:t>
                  </w:r>
                </w:p>
              </w:tc>
              <w:tc>
                <w:tcPr>
                  <w:tcW w:w="990" w:type="dxa"/>
                  <w:vAlign w:val="center"/>
                </w:tcPr>
                <w:p>
                  <w:pPr>
                    <w:pStyle w:val="30"/>
                    <w:jc w:val="center"/>
                    <w:rPr>
                      <w:rFonts w:ascii="Times New Roman" w:hAnsi="Times New Roman"/>
                      <w:color w:val="auto"/>
                      <w:sz w:val="21"/>
                      <w:szCs w:val="21"/>
                    </w:rPr>
                  </w:pPr>
                  <w:r>
                    <w:rPr>
                      <w:rFonts w:ascii="Times New Roman" w:hAnsi="Times New Roman"/>
                      <w:color w:val="auto"/>
                      <w:sz w:val="21"/>
                      <w:szCs w:val="21"/>
                    </w:rPr>
                    <w:t>900-214-08</w:t>
                  </w:r>
                </w:p>
              </w:tc>
              <w:tc>
                <w:tcPr>
                  <w:tcW w:w="705" w:type="dxa"/>
                  <w:vAlign w:val="center"/>
                </w:tcPr>
                <w:p>
                  <w:pPr>
                    <w:pStyle w:val="30"/>
                    <w:jc w:val="center"/>
                    <w:rPr>
                      <w:rFonts w:ascii="Times New Roman" w:hAnsi="Times New Roman"/>
                      <w:color w:val="auto"/>
                      <w:sz w:val="21"/>
                      <w:szCs w:val="21"/>
                    </w:rPr>
                  </w:pPr>
                  <w:r>
                    <w:rPr>
                      <w:rFonts w:ascii="Times New Roman" w:hAnsi="Times New Roman"/>
                      <w:color w:val="auto"/>
                      <w:sz w:val="21"/>
                      <w:szCs w:val="21"/>
                    </w:rPr>
                    <w:t>机械设备维修等</w:t>
                  </w:r>
                </w:p>
              </w:tc>
              <w:tc>
                <w:tcPr>
                  <w:tcW w:w="780" w:type="dxa"/>
                  <w:vAlign w:val="center"/>
                </w:tcPr>
                <w:p>
                  <w:pPr>
                    <w:jc w:val="center"/>
                    <w:rPr>
                      <w:rFonts w:hint="default" w:eastAsia="宋体"/>
                      <w:color w:val="auto"/>
                      <w:lang w:val="en-US" w:eastAsia="zh-CN"/>
                    </w:rPr>
                  </w:pPr>
                  <w:r>
                    <w:rPr>
                      <w:rFonts w:hint="eastAsia"/>
                      <w:color w:val="auto"/>
                    </w:rPr>
                    <w:t>0.</w:t>
                  </w:r>
                  <w:r>
                    <w:rPr>
                      <w:rFonts w:hint="eastAsia"/>
                      <w:color w:val="auto"/>
                      <w:lang w:val="en-US" w:eastAsia="zh-CN"/>
                    </w:rPr>
                    <w:t>04</w:t>
                  </w:r>
                </w:p>
              </w:tc>
              <w:tc>
                <w:tcPr>
                  <w:tcW w:w="495" w:type="dxa"/>
                  <w:vAlign w:val="center"/>
                </w:tcPr>
                <w:p>
                  <w:pPr>
                    <w:autoSpaceDE w:val="0"/>
                    <w:jc w:val="center"/>
                    <w:rPr>
                      <w:color w:val="auto"/>
                    </w:rPr>
                  </w:pPr>
                  <w:r>
                    <w:rPr>
                      <w:rFonts w:hint="eastAsia"/>
                      <w:color w:val="auto"/>
                    </w:rPr>
                    <w:t>液</w:t>
                  </w:r>
                  <w:r>
                    <w:rPr>
                      <w:color w:val="auto"/>
                    </w:rPr>
                    <w:t>态</w:t>
                  </w:r>
                </w:p>
              </w:tc>
              <w:tc>
                <w:tcPr>
                  <w:tcW w:w="615" w:type="dxa"/>
                  <w:vAlign w:val="center"/>
                </w:tcPr>
                <w:p>
                  <w:pPr>
                    <w:jc w:val="center"/>
                    <w:rPr>
                      <w:color w:val="auto"/>
                    </w:rPr>
                  </w:pPr>
                  <w:r>
                    <w:rPr>
                      <w:rFonts w:hint="eastAsia"/>
                      <w:color w:val="auto"/>
                    </w:rPr>
                    <w:t>3个月</w:t>
                  </w:r>
                </w:p>
              </w:tc>
              <w:tc>
                <w:tcPr>
                  <w:tcW w:w="702" w:type="dxa"/>
                  <w:vAlign w:val="center"/>
                </w:tcPr>
                <w:p>
                  <w:pPr>
                    <w:jc w:val="center"/>
                    <w:rPr>
                      <w:color w:val="auto"/>
                    </w:rPr>
                  </w:pPr>
                  <w:r>
                    <w:rPr>
                      <w:rFonts w:hint="eastAsia"/>
                      <w:color w:val="auto"/>
                    </w:rPr>
                    <w:t>有机物等</w:t>
                  </w:r>
                </w:p>
              </w:tc>
              <w:tc>
                <w:tcPr>
                  <w:tcW w:w="615" w:type="dxa"/>
                  <w:vAlign w:val="center"/>
                </w:tcPr>
                <w:p>
                  <w:pPr>
                    <w:autoSpaceDE w:val="0"/>
                    <w:jc w:val="center"/>
                    <w:rPr>
                      <w:color w:val="auto"/>
                    </w:rPr>
                  </w:pPr>
                  <w:r>
                    <w:rPr>
                      <w:rFonts w:hint="eastAsia"/>
                      <w:color w:val="auto"/>
                    </w:rPr>
                    <w:t>T，I</w:t>
                  </w:r>
                </w:p>
              </w:tc>
              <w:tc>
                <w:tcPr>
                  <w:tcW w:w="1185" w:type="dxa"/>
                  <w:vMerge w:val="restart"/>
                  <w:vAlign w:val="center"/>
                </w:tcPr>
                <w:p>
                  <w:pPr>
                    <w:jc w:val="center"/>
                    <w:rPr>
                      <w:color w:val="auto"/>
                    </w:rPr>
                  </w:pPr>
                  <w:r>
                    <w:rPr>
                      <w:rFonts w:hint="eastAsia"/>
                      <w:color w:val="auto"/>
                    </w:rPr>
                    <w:t>分类</w:t>
                  </w:r>
                  <w:r>
                    <w:rPr>
                      <w:color w:val="auto"/>
                    </w:rPr>
                    <w:t>收集后暂存于危废暂存间内，委托有危废处理资质的单位妥善处置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85" w:type="dxa"/>
                  <w:vAlign w:val="center"/>
                </w:tcPr>
                <w:p>
                  <w:pPr>
                    <w:jc w:val="center"/>
                    <w:rPr>
                      <w:color w:val="auto"/>
                    </w:rPr>
                  </w:pPr>
                  <w:r>
                    <w:rPr>
                      <w:rFonts w:hint="eastAsia"/>
                      <w:color w:val="auto"/>
                    </w:rPr>
                    <w:t>2</w:t>
                  </w:r>
                </w:p>
              </w:tc>
              <w:tc>
                <w:tcPr>
                  <w:tcW w:w="870" w:type="dxa"/>
                  <w:vAlign w:val="center"/>
                </w:tcPr>
                <w:p>
                  <w:pPr>
                    <w:autoSpaceDE w:val="0"/>
                    <w:jc w:val="center"/>
                    <w:rPr>
                      <w:color w:val="auto"/>
                    </w:rPr>
                  </w:pPr>
                  <w:r>
                    <w:rPr>
                      <w:color w:val="auto"/>
                    </w:rPr>
                    <w:t>废机油桶</w:t>
                  </w:r>
                </w:p>
              </w:tc>
              <w:tc>
                <w:tcPr>
                  <w:tcW w:w="900" w:type="dxa"/>
                  <w:vAlign w:val="center"/>
                </w:tcPr>
                <w:p>
                  <w:pPr>
                    <w:jc w:val="center"/>
                    <w:rPr>
                      <w:color w:val="auto"/>
                    </w:rPr>
                  </w:pPr>
                  <w:r>
                    <w:rPr>
                      <w:rFonts w:hint="eastAsia"/>
                      <w:color w:val="auto"/>
                    </w:rPr>
                    <w:t>HW49其它废物</w:t>
                  </w:r>
                </w:p>
              </w:tc>
              <w:tc>
                <w:tcPr>
                  <w:tcW w:w="990" w:type="dxa"/>
                  <w:vAlign w:val="center"/>
                </w:tcPr>
                <w:p>
                  <w:pPr>
                    <w:adjustRightInd w:val="0"/>
                    <w:snapToGrid w:val="0"/>
                    <w:jc w:val="center"/>
                    <w:rPr>
                      <w:color w:val="auto"/>
                    </w:rPr>
                  </w:pPr>
                  <w:r>
                    <w:rPr>
                      <w:bCs/>
                      <w:color w:val="auto"/>
                    </w:rPr>
                    <w:t>900-041-49</w:t>
                  </w:r>
                </w:p>
              </w:tc>
              <w:tc>
                <w:tcPr>
                  <w:tcW w:w="705" w:type="dxa"/>
                  <w:vAlign w:val="center"/>
                </w:tcPr>
                <w:p>
                  <w:pPr>
                    <w:autoSpaceDE w:val="0"/>
                    <w:jc w:val="center"/>
                    <w:rPr>
                      <w:color w:val="auto"/>
                    </w:rPr>
                  </w:pPr>
                  <w:r>
                    <w:rPr>
                      <w:color w:val="auto"/>
                    </w:rPr>
                    <w:t>机油盛装</w:t>
                  </w:r>
                </w:p>
              </w:tc>
              <w:tc>
                <w:tcPr>
                  <w:tcW w:w="780" w:type="dxa"/>
                  <w:vAlign w:val="center"/>
                </w:tcPr>
                <w:p>
                  <w:pPr>
                    <w:jc w:val="center"/>
                    <w:rPr>
                      <w:rFonts w:hint="default" w:eastAsia="宋体"/>
                      <w:color w:val="auto"/>
                      <w:lang w:val="en-US" w:eastAsia="zh-CN"/>
                    </w:rPr>
                  </w:pPr>
                  <w:r>
                    <w:rPr>
                      <w:rFonts w:hint="eastAsia"/>
                      <w:color w:val="auto"/>
                    </w:rPr>
                    <w:t>0.</w:t>
                  </w:r>
                  <w:r>
                    <w:rPr>
                      <w:rFonts w:hint="eastAsia"/>
                      <w:color w:val="auto"/>
                      <w:lang w:val="en-US" w:eastAsia="zh-CN"/>
                    </w:rPr>
                    <w:t>05</w:t>
                  </w:r>
                </w:p>
              </w:tc>
              <w:tc>
                <w:tcPr>
                  <w:tcW w:w="495" w:type="dxa"/>
                  <w:vAlign w:val="center"/>
                </w:tcPr>
                <w:p>
                  <w:pPr>
                    <w:autoSpaceDE w:val="0"/>
                    <w:jc w:val="center"/>
                    <w:rPr>
                      <w:color w:val="auto"/>
                    </w:rPr>
                  </w:pPr>
                  <w:r>
                    <w:rPr>
                      <w:rFonts w:hint="eastAsia"/>
                      <w:color w:val="auto"/>
                    </w:rPr>
                    <w:t>固态</w:t>
                  </w:r>
                </w:p>
              </w:tc>
              <w:tc>
                <w:tcPr>
                  <w:tcW w:w="615" w:type="dxa"/>
                  <w:vAlign w:val="center"/>
                </w:tcPr>
                <w:p>
                  <w:pPr>
                    <w:jc w:val="center"/>
                    <w:rPr>
                      <w:color w:val="auto"/>
                    </w:rPr>
                  </w:pPr>
                  <w:r>
                    <w:rPr>
                      <w:rFonts w:hint="eastAsia"/>
                      <w:color w:val="auto"/>
                    </w:rPr>
                    <w:t>3个月</w:t>
                  </w:r>
                </w:p>
              </w:tc>
              <w:tc>
                <w:tcPr>
                  <w:tcW w:w="702" w:type="dxa"/>
                  <w:vAlign w:val="center"/>
                </w:tcPr>
                <w:p>
                  <w:pPr>
                    <w:jc w:val="center"/>
                    <w:rPr>
                      <w:color w:val="auto"/>
                    </w:rPr>
                  </w:pPr>
                  <w:r>
                    <w:rPr>
                      <w:rFonts w:hint="eastAsia"/>
                      <w:color w:val="auto"/>
                    </w:rPr>
                    <w:t>有机物等</w:t>
                  </w:r>
                </w:p>
              </w:tc>
              <w:tc>
                <w:tcPr>
                  <w:tcW w:w="615" w:type="dxa"/>
                  <w:vAlign w:val="center"/>
                </w:tcPr>
                <w:p>
                  <w:pPr>
                    <w:autoSpaceDE w:val="0"/>
                    <w:jc w:val="center"/>
                    <w:rPr>
                      <w:color w:val="auto"/>
                    </w:rPr>
                  </w:pPr>
                  <w:r>
                    <w:rPr>
                      <w:rFonts w:hint="eastAsia"/>
                      <w:color w:val="auto"/>
                    </w:rPr>
                    <w:t>T，I</w:t>
                  </w:r>
                </w:p>
              </w:tc>
              <w:tc>
                <w:tcPr>
                  <w:tcW w:w="1185" w:type="dxa"/>
                  <w:vMerge w:val="continue"/>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85" w:type="dxa"/>
                  <w:vAlign w:val="center"/>
                </w:tcPr>
                <w:p>
                  <w:pPr>
                    <w:jc w:val="center"/>
                    <w:rPr>
                      <w:color w:val="auto"/>
                    </w:rPr>
                  </w:pPr>
                  <w:r>
                    <w:rPr>
                      <w:rFonts w:hint="eastAsia"/>
                      <w:color w:val="auto"/>
                    </w:rPr>
                    <w:t>3</w:t>
                  </w:r>
                </w:p>
              </w:tc>
              <w:tc>
                <w:tcPr>
                  <w:tcW w:w="870" w:type="dxa"/>
                  <w:vAlign w:val="center"/>
                </w:tcPr>
                <w:p>
                  <w:pPr>
                    <w:pStyle w:val="30"/>
                    <w:jc w:val="center"/>
                    <w:rPr>
                      <w:color w:val="auto"/>
                    </w:rPr>
                  </w:pPr>
                  <w:r>
                    <w:rPr>
                      <w:rFonts w:ascii="Times New Roman" w:hAnsi="Times New Roman"/>
                      <w:bCs/>
                      <w:color w:val="auto"/>
                      <w:sz w:val="21"/>
                      <w:szCs w:val="21"/>
                    </w:rPr>
                    <w:t>废弃的含油抹布、劳保用品</w:t>
                  </w:r>
                </w:p>
              </w:tc>
              <w:tc>
                <w:tcPr>
                  <w:tcW w:w="900" w:type="dxa"/>
                  <w:vAlign w:val="center"/>
                </w:tcPr>
                <w:p>
                  <w:pPr>
                    <w:jc w:val="center"/>
                    <w:rPr>
                      <w:color w:val="auto"/>
                    </w:rPr>
                  </w:pPr>
                  <w:r>
                    <w:rPr>
                      <w:rFonts w:hint="eastAsia"/>
                      <w:color w:val="auto"/>
                    </w:rPr>
                    <w:t>HW49其它废物</w:t>
                  </w:r>
                </w:p>
              </w:tc>
              <w:tc>
                <w:tcPr>
                  <w:tcW w:w="990" w:type="dxa"/>
                  <w:vAlign w:val="center"/>
                </w:tcPr>
                <w:p>
                  <w:pPr>
                    <w:jc w:val="center"/>
                    <w:rPr>
                      <w:bCs/>
                      <w:color w:val="auto"/>
                    </w:rPr>
                  </w:pPr>
                  <w:r>
                    <w:rPr>
                      <w:bCs/>
                      <w:color w:val="auto"/>
                    </w:rPr>
                    <w:t>900-041-49</w:t>
                  </w:r>
                </w:p>
              </w:tc>
              <w:tc>
                <w:tcPr>
                  <w:tcW w:w="705" w:type="dxa"/>
                  <w:vAlign w:val="center"/>
                </w:tcPr>
                <w:p>
                  <w:pPr>
                    <w:autoSpaceDE w:val="0"/>
                    <w:jc w:val="center"/>
                    <w:rPr>
                      <w:color w:val="auto"/>
                    </w:rPr>
                  </w:pPr>
                  <w:r>
                    <w:rPr>
                      <w:color w:val="auto"/>
                    </w:rPr>
                    <w:t>机械维修养护</w:t>
                  </w:r>
                </w:p>
              </w:tc>
              <w:tc>
                <w:tcPr>
                  <w:tcW w:w="780" w:type="dxa"/>
                  <w:vAlign w:val="center"/>
                </w:tcPr>
                <w:p>
                  <w:pPr>
                    <w:jc w:val="center"/>
                    <w:rPr>
                      <w:rFonts w:hint="default" w:eastAsia="宋体"/>
                      <w:color w:val="auto"/>
                      <w:lang w:val="en-US" w:eastAsia="zh-CN"/>
                    </w:rPr>
                  </w:pPr>
                  <w:r>
                    <w:rPr>
                      <w:rFonts w:hint="eastAsia"/>
                      <w:color w:val="auto"/>
                    </w:rPr>
                    <w:t>0.</w:t>
                  </w:r>
                  <w:r>
                    <w:rPr>
                      <w:rFonts w:hint="eastAsia"/>
                      <w:color w:val="auto"/>
                      <w:lang w:val="en-US" w:eastAsia="zh-CN"/>
                    </w:rPr>
                    <w:t>1</w:t>
                  </w:r>
                </w:p>
              </w:tc>
              <w:tc>
                <w:tcPr>
                  <w:tcW w:w="495" w:type="dxa"/>
                  <w:vAlign w:val="center"/>
                </w:tcPr>
                <w:p>
                  <w:pPr>
                    <w:jc w:val="center"/>
                    <w:rPr>
                      <w:color w:val="auto"/>
                    </w:rPr>
                  </w:pPr>
                  <w:r>
                    <w:rPr>
                      <w:color w:val="auto"/>
                    </w:rPr>
                    <w:t>固态</w:t>
                  </w:r>
                </w:p>
              </w:tc>
              <w:tc>
                <w:tcPr>
                  <w:tcW w:w="615" w:type="dxa"/>
                  <w:vAlign w:val="center"/>
                </w:tcPr>
                <w:p>
                  <w:pPr>
                    <w:jc w:val="center"/>
                    <w:rPr>
                      <w:color w:val="auto"/>
                    </w:rPr>
                  </w:pPr>
                  <w:r>
                    <w:rPr>
                      <w:rFonts w:hint="eastAsia"/>
                      <w:color w:val="auto"/>
                    </w:rPr>
                    <w:t>3个月</w:t>
                  </w:r>
                </w:p>
              </w:tc>
              <w:tc>
                <w:tcPr>
                  <w:tcW w:w="702" w:type="dxa"/>
                  <w:vAlign w:val="center"/>
                </w:tcPr>
                <w:p>
                  <w:pPr>
                    <w:jc w:val="center"/>
                    <w:rPr>
                      <w:color w:val="auto"/>
                    </w:rPr>
                  </w:pPr>
                  <w:r>
                    <w:rPr>
                      <w:rFonts w:hint="eastAsia"/>
                      <w:color w:val="auto"/>
                    </w:rPr>
                    <w:t>有机物等</w:t>
                  </w:r>
                </w:p>
              </w:tc>
              <w:tc>
                <w:tcPr>
                  <w:tcW w:w="615" w:type="dxa"/>
                  <w:vAlign w:val="center"/>
                </w:tcPr>
                <w:p>
                  <w:pPr>
                    <w:jc w:val="center"/>
                    <w:rPr>
                      <w:color w:val="auto"/>
                    </w:rPr>
                  </w:pPr>
                  <w:r>
                    <w:rPr>
                      <w:rFonts w:hint="eastAsia"/>
                      <w:color w:val="auto"/>
                    </w:rPr>
                    <w:t>T，I</w:t>
                  </w:r>
                </w:p>
              </w:tc>
              <w:tc>
                <w:tcPr>
                  <w:tcW w:w="1185" w:type="dxa"/>
                  <w:vMerge w:val="continue"/>
                  <w:vAlign w:val="center"/>
                </w:tcPr>
                <w:p>
                  <w:pPr>
                    <w:jc w:val="center"/>
                    <w:rPr>
                      <w:color w:val="auto"/>
                    </w:rPr>
                  </w:pPr>
                </w:p>
              </w:tc>
            </w:tr>
          </w:tbl>
          <w:p>
            <w:pPr>
              <w:spacing w:line="360" w:lineRule="auto"/>
              <w:jc w:val="center"/>
              <w:rPr>
                <w:b/>
                <w:bCs/>
                <w:color w:val="auto"/>
                <w:sz w:val="24"/>
                <w:szCs w:val="24"/>
              </w:rPr>
            </w:pPr>
            <w:r>
              <w:rPr>
                <w:b/>
                <w:bCs/>
                <w:color w:val="auto"/>
                <w:sz w:val="24"/>
                <w:szCs w:val="24"/>
              </w:rPr>
              <w:t>表4-</w:t>
            </w:r>
            <w:r>
              <w:rPr>
                <w:rFonts w:hint="eastAsia"/>
                <w:b/>
                <w:bCs/>
                <w:color w:val="auto"/>
                <w:sz w:val="24"/>
                <w:szCs w:val="24"/>
              </w:rPr>
              <w:t>20</w:t>
            </w:r>
            <w:r>
              <w:rPr>
                <w:b/>
                <w:bCs/>
                <w:color w:val="auto"/>
                <w:sz w:val="24"/>
                <w:szCs w:val="24"/>
              </w:rPr>
              <w:t>本项目固体废物分析结果汇总表</w:t>
            </w:r>
          </w:p>
          <w:tbl>
            <w:tblPr>
              <w:tblStyle w:val="23"/>
              <w:tblW w:w="81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1"/>
              <w:gridCol w:w="1284"/>
              <w:gridCol w:w="1163"/>
              <w:gridCol w:w="1889"/>
              <w:gridCol w:w="891"/>
              <w:gridCol w:w="2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41"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color w:val="auto"/>
                    </w:rPr>
                    <w:t>序号</w:t>
                  </w:r>
                </w:p>
              </w:tc>
              <w:tc>
                <w:tcPr>
                  <w:tcW w:w="1284"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color w:val="auto"/>
                    </w:rPr>
                    <w:t>固废名称</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color w:val="auto"/>
                    </w:rPr>
                    <w:t>固废属性</w:t>
                  </w:r>
                </w:p>
              </w:tc>
              <w:tc>
                <w:tcPr>
                  <w:tcW w:w="1889"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color w:val="auto"/>
                    </w:rPr>
                    <w:t>废物代码</w:t>
                  </w:r>
                </w:p>
              </w:tc>
              <w:tc>
                <w:tcPr>
                  <w:tcW w:w="891"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color w:val="auto"/>
                    </w:rPr>
                    <w:t>产生量</w:t>
                  </w:r>
                </w:p>
                <w:p>
                  <w:pPr>
                    <w:jc w:val="center"/>
                    <w:rPr>
                      <w:color w:val="auto"/>
                    </w:rPr>
                  </w:pPr>
                  <w:r>
                    <w:rPr>
                      <w:color w:val="auto"/>
                    </w:rPr>
                    <w:t>（t/a）</w:t>
                  </w:r>
                </w:p>
              </w:tc>
              <w:tc>
                <w:tcPr>
                  <w:tcW w:w="2474"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color w:val="auto"/>
                    </w:rPr>
                    <w:t>处置措施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 w:hRule="atLeast"/>
                <w:jc w:val="center"/>
              </w:trPr>
              <w:tc>
                <w:tcPr>
                  <w:tcW w:w="441"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color w:val="auto"/>
                    </w:rPr>
                    <w:t>1</w:t>
                  </w:r>
                </w:p>
              </w:tc>
              <w:tc>
                <w:tcPr>
                  <w:tcW w:w="1284"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color w:val="auto"/>
                    </w:rPr>
                    <w:t>生活垃圾</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color w:val="auto"/>
                    </w:rPr>
                    <w:t>一般固废</w:t>
                  </w:r>
                </w:p>
              </w:tc>
              <w:tc>
                <w:tcPr>
                  <w:tcW w:w="1889"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color w:val="auto"/>
                    </w:rPr>
                    <w:t>/</w:t>
                  </w:r>
                </w:p>
              </w:tc>
              <w:tc>
                <w:tcPr>
                  <w:tcW w:w="891"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rFonts w:hint="eastAsia"/>
                      <w:color w:val="auto"/>
                    </w:rPr>
                    <w:t>6</w:t>
                  </w:r>
                </w:p>
              </w:tc>
              <w:tc>
                <w:tcPr>
                  <w:tcW w:w="2474"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color w:val="auto"/>
                    </w:rPr>
                    <w:t>袋装或桶装分类收集，委托环卫部门统一处理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441"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rFonts w:hint="eastAsia"/>
                      <w:color w:val="auto"/>
                    </w:rPr>
                    <w:t>2</w:t>
                  </w:r>
                </w:p>
              </w:tc>
              <w:tc>
                <w:tcPr>
                  <w:tcW w:w="1284" w:type="dxa"/>
                  <w:tcBorders>
                    <w:top w:val="single" w:color="auto" w:sz="4" w:space="0"/>
                    <w:left w:val="single" w:color="auto" w:sz="4" w:space="0"/>
                    <w:right w:val="single" w:color="auto" w:sz="4" w:space="0"/>
                  </w:tcBorders>
                  <w:vAlign w:val="center"/>
                </w:tcPr>
                <w:p>
                  <w:pPr>
                    <w:jc w:val="center"/>
                    <w:rPr>
                      <w:color w:val="auto"/>
                    </w:rPr>
                  </w:pPr>
                  <w:r>
                    <w:rPr>
                      <w:rFonts w:hint="eastAsia"/>
                      <w:color w:val="auto"/>
                    </w:rPr>
                    <w:t>初清筛杂质</w:t>
                  </w:r>
                </w:p>
              </w:tc>
              <w:tc>
                <w:tcPr>
                  <w:tcW w:w="1163" w:type="dxa"/>
                  <w:tcBorders>
                    <w:top w:val="single" w:color="auto" w:sz="4" w:space="0"/>
                    <w:left w:val="single" w:color="auto" w:sz="4" w:space="0"/>
                    <w:right w:val="single" w:color="auto" w:sz="4" w:space="0"/>
                  </w:tcBorders>
                  <w:vAlign w:val="center"/>
                </w:tcPr>
                <w:p>
                  <w:pPr>
                    <w:jc w:val="center"/>
                    <w:rPr>
                      <w:color w:val="auto"/>
                    </w:rPr>
                  </w:pPr>
                  <w:r>
                    <w:rPr>
                      <w:color w:val="auto"/>
                    </w:rPr>
                    <w:t>一般工业固废</w:t>
                  </w:r>
                </w:p>
              </w:tc>
              <w:tc>
                <w:tcPr>
                  <w:tcW w:w="1889" w:type="dxa"/>
                  <w:tcBorders>
                    <w:top w:val="single" w:color="auto" w:sz="4" w:space="0"/>
                    <w:left w:val="single" w:color="auto" w:sz="4" w:space="0"/>
                    <w:right w:val="single" w:color="auto" w:sz="4" w:space="0"/>
                  </w:tcBorders>
                  <w:vAlign w:val="center"/>
                </w:tcPr>
                <w:p>
                  <w:pPr>
                    <w:jc w:val="center"/>
                    <w:rPr>
                      <w:color w:val="auto"/>
                    </w:rPr>
                  </w:pPr>
                  <w:r>
                    <w:rPr>
                      <w:rFonts w:hint="eastAsia"/>
                      <w:color w:val="auto"/>
                    </w:rPr>
                    <w:t>130-001-39</w:t>
                  </w:r>
                </w:p>
              </w:tc>
              <w:tc>
                <w:tcPr>
                  <w:tcW w:w="891" w:type="dxa"/>
                  <w:tcBorders>
                    <w:top w:val="single" w:color="auto" w:sz="4" w:space="0"/>
                    <w:left w:val="single" w:color="auto" w:sz="4" w:space="0"/>
                    <w:right w:val="single" w:color="auto" w:sz="4" w:space="0"/>
                  </w:tcBorders>
                  <w:vAlign w:val="center"/>
                </w:tcPr>
                <w:p>
                  <w:pPr>
                    <w:jc w:val="center"/>
                    <w:rPr>
                      <w:color w:val="auto"/>
                    </w:rPr>
                  </w:pPr>
                  <w:r>
                    <w:rPr>
                      <w:rFonts w:hint="eastAsia"/>
                      <w:color w:val="auto"/>
                    </w:rPr>
                    <w:t>17.64</w:t>
                  </w:r>
                </w:p>
              </w:tc>
              <w:tc>
                <w:tcPr>
                  <w:tcW w:w="2474" w:type="dxa"/>
                  <w:tcBorders>
                    <w:top w:val="single" w:color="auto" w:sz="4" w:space="0"/>
                    <w:left w:val="single" w:color="auto" w:sz="4" w:space="0"/>
                    <w:right w:val="single" w:color="auto" w:sz="4" w:space="0"/>
                  </w:tcBorders>
                  <w:vAlign w:val="center"/>
                </w:tcPr>
                <w:p>
                  <w:pPr>
                    <w:jc w:val="center"/>
                    <w:rPr>
                      <w:color w:val="auto"/>
                    </w:rPr>
                  </w:pPr>
                  <w:r>
                    <w:rPr>
                      <w:rFonts w:hint="eastAsia"/>
                      <w:color w:val="auto"/>
                    </w:rPr>
                    <w:t>收集后</w:t>
                  </w:r>
                  <w:r>
                    <w:rPr>
                      <w:color w:val="auto"/>
                    </w:rPr>
                    <w:t>委托环卫部门统一处理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41"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rFonts w:hint="eastAsia"/>
                      <w:color w:val="auto"/>
                    </w:rPr>
                    <w:t>3</w:t>
                  </w:r>
                </w:p>
              </w:tc>
              <w:tc>
                <w:tcPr>
                  <w:tcW w:w="1284"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rFonts w:hint="eastAsia"/>
                      <w:color w:val="auto"/>
                    </w:rPr>
                    <w:t>磁选杂质</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color w:val="auto"/>
                    </w:rPr>
                    <w:t>一般工业固废</w:t>
                  </w:r>
                </w:p>
              </w:tc>
              <w:tc>
                <w:tcPr>
                  <w:tcW w:w="1889"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rFonts w:hint="eastAsia"/>
                      <w:color w:val="auto"/>
                    </w:rPr>
                    <w:t>130-001-39</w:t>
                  </w:r>
                </w:p>
              </w:tc>
              <w:tc>
                <w:tcPr>
                  <w:tcW w:w="891"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rFonts w:hint="eastAsia"/>
                      <w:color w:val="auto"/>
                    </w:rPr>
                    <w:t>8.82</w:t>
                  </w:r>
                </w:p>
              </w:tc>
              <w:tc>
                <w:tcPr>
                  <w:tcW w:w="2474" w:type="dxa"/>
                  <w:tcBorders>
                    <w:top w:val="single" w:color="auto" w:sz="4" w:space="0"/>
                    <w:left w:val="single" w:color="auto" w:sz="4" w:space="0"/>
                    <w:bottom w:val="single" w:color="auto" w:sz="4" w:space="0"/>
                    <w:right w:val="single" w:color="auto" w:sz="4" w:space="0"/>
                  </w:tcBorders>
                  <w:vAlign w:val="center"/>
                </w:tcPr>
                <w:p>
                  <w:pPr>
                    <w:jc w:val="center"/>
                    <w:rPr>
                      <w:color w:val="auto"/>
                      <w:lang w:val="zh-CN"/>
                    </w:rPr>
                  </w:pPr>
                  <w:r>
                    <w:rPr>
                      <w:rFonts w:hint="eastAsia"/>
                      <w:color w:val="auto"/>
                    </w:rPr>
                    <w:t>收集后外售综合利用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 w:hRule="atLeast"/>
                <w:jc w:val="center"/>
              </w:trPr>
              <w:tc>
                <w:tcPr>
                  <w:tcW w:w="441"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rFonts w:hint="eastAsia"/>
                      <w:color w:val="auto"/>
                    </w:rPr>
                    <w:t>4</w:t>
                  </w:r>
                </w:p>
              </w:tc>
              <w:tc>
                <w:tcPr>
                  <w:tcW w:w="1284" w:type="dxa"/>
                  <w:tcBorders>
                    <w:top w:val="single" w:color="auto" w:sz="4" w:space="0"/>
                    <w:left w:val="single" w:color="auto" w:sz="4" w:space="0"/>
                    <w:bottom w:val="single" w:color="auto" w:sz="4" w:space="0"/>
                    <w:right w:val="single" w:color="auto" w:sz="4" w:space="0"/>
                  </w:tcBorders>
                  <w:vAlign w:val="center"/>
                </w:tcPr>
                <w:p>
                  <w:pPr>
                    <w:pStyle w:val="30"/>
                    <w:jc w:val="center"/>
                    <w:rPr>
                      <w:rFonts w:ascii="Times New Roman" w:hAnsi="Times New Roman" w:cs="Times New Roman"/>
                      <w:color w:val="auto"/>
                      <w:sz w:val="21"/>
                      <w:szCs w:val="21"/>
                    </w:rPr>
                  </w:pPr>
                  <w:r>
                    <w:rPr>
                      <w:rFonts w:hint="eastAsia" w:ascii="Times New Roman" w:hAnsi="Times New Roman" w:cs="Times New Roman"/>
                      <w:color w:val="auto"/>
                      <w:sz w:val="21"/>
                      <w:szCs w:val="21"/>
                    </w:rPr>
                    <w:t>废包装袋</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color w:val="auto"/>
                    </w:rPr>
                    <w:t>一般工业固废</w:t>
                  </w:r>
                </w:p>
              </w:tc>
              <w:tc>
                <w:tcPr>
                  <w:tcW w:w="1889"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rFonts w:hint="eastAsia"/>
                      <w:color w:val="auto"/>
                    </w:rPr>
                    <w:t>900</w:t>
                  </w:r>
                  <w:r>
                    <w:rPr>
                      <w:color w:val="auto"/>
                    </w:rPr>
                    <w:t>-</w:t>
                  </w:r>
                  <w:r>
                    <w:rPr>
                      <w:rFonts w:hint="eastAsia"/>
                      <w:color w:val="auto"/>
                    </w:rPr>
                    <w:t>999</w:t>
                  </w:r>
                  <w:r>
                    <w:rPr>
                      <w:color w:val="auto"/>
                    </w:rPr>
                    <w:t>-</w:t>
                  </w:r>
                  <w:r>
                    <w:rPr>
                      <w:rFonts w:hint="eastAsia"/>
                      <w:color w:val="auto"/>
                    </w:rPr>
                    <w:t>99</w:t>
                  </w:r>
                </w:p>
              </w:tc>
              <w:tc>
                <w:tcPr>
                  <w:tcW w:w="891"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rFonts w:hint="eastAsia"/>
                      <w:color w:val="auto"/>
                    </w:rPr>
                    <w:t>15</w:t>
                  </w:r>
                </w:p>
              </w:tc>
              <w:tc>
                <w:tcPr>
                  <w:tcW w:w="2474"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rFonts w:hint="eastAsia"/>
                      <w:color w:val="auto"/>
                    </w:rPr>
                    <w:t>收集后外售综合利用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41"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rFonts w:hint="eastAsia"/>
                      <w:color w:val="auto"/>
                    </w:rPr>
                    <w:t>5</w:t>
                  </w:r>
                </w:p>
              </w:tc>
              <w:tc>
                <w:tcPr>
                  <w:tcW w:w="128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color w:val="auto"/>
                    </w:rPr>
                  </w:pPr>
                  <w:r>
                    <w:rPr>
                      <w:rFonts w:hint="eastAsia"/>
                      <w:color w:val="auto"/>
                    </w:rPr>
                    <w:t>除尘器收集的粉尘</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color w:val="auto"/>
                    </w:rPr>
                    <w:t>一般工业固废</w:t>
                  </w:r>
                </w:p>
              </w:tc>
              <w:tc>
                <w:tcPr>
                  <w:tcW w:w="1889"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rFonts w:hint="eastAsia"/>
                      <w:color w:val="auto"/>
                    </w:rPr>
                    <w:t>900</w:t>
                  </w:r>
                  <w:r>
                    <w:rPr>
                      <w:color w:val="auto"/>
                    </w:rPr>
                    <w:t>-</w:t>
                  </w:r>
                  <w:r>
                    <w:rPr>
                      <w:rFonts w:hint="eastAsia"/>
                      <w:color w:val="auto"/>
                    </w:rPr>
                    <w:t>999</w:t>
                  </w:r>
                  <w:r>
                    <w:rPr>
                      <w:color w:val="auto"/>
                    </w:rPr>
                    <w:t>-</w:t>
                  </w:r>
                  <w:r>
                    <w:rPr>
                      <w:rFonts w:hint="eastAsia"/>
                      <w:color w:val="auto"/>
                    </w:rPr>
                    <w:t>66</w:t>
                  </w:r>
                </w:p>
              </w:tc>
              <w:tc>
                <w:tcPr>
                  <w:tcW w:w="891"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color w:val="auto"/>
                      <w:lang w:val="en-US" w:eastAsia="zh-CN"/>
                    </w:rPr>
                  </w:pPr>
                  <w:r>
                    <w:rPr>
                      <w:rFonts w:hint="eastAsia"/>
                      <w:color w:val="auto"/>
                      <w:lang w:eastAsia="zh-CN"/>
                    </w:rPr>
                    <w:t>12.147</w:t>
                  </w:r>
                </w:p>
              </w:tc>
              <w:tc>
                <w:tcPr>
                  <w:tcW w:w="2474" w:type="dxa"/>
                  <w:tcBorders>
                    <w:top w:val="single" w:color="auto" w:sz="4" w:space="0"/>
                    <w:left w:val="single" w:color="auto" w:sz="4" w:space="0"/>
                    <w:right w:val="single" w:color="auto" w:sz="4" w:space="0"/>
                  </w:tcBorders>
                  <w:vAlign w:val="center"/>
                </w:tcPr>
                <w:p>
                  <w:pPr>
                    <w:jc w:val="center"/>
                    <w:rPr>
                      <w:color w:val="auto"/>
                    </w:rPr>
                  </w:pPr>
                  <w:r>
                    <w:rPr>
                      <w:rFonts w:hint="eastAsia"/>
                      <w:color w:val="auto"/>
                    </w:rPr>
                    <w:t>收集后回用于生产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41"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rFonts w:hint="eastAsia"/>
                      <w:color w:val="auto"/>
                    </w:rPr>
                    <w:t>6</w:t>
                  </w:r>
                </w:p>
              </w:tc>
              <w:tc>
                <w:tcPr>
                  <w:tcW w:w="1284" w:type="dxa"/>
                  <w:tcBorders>
                    <w:top w:val="single" w:color="auto" w:sz="4" w:space="0"/>
                    <w:left w:val="single" w:color="auto" w:sz="4" w:space="0"/>
                    <w:bottom w:val="single" w:color="auto" w:sz="4" w:space="0"/>
                    <w:right w:val="single" w:color="auto" w:sz="4" w:space="0"/>
                  </w:tcBorders>
                  <w:vAlign w:val="center"/>
                </w:tcPr>
                <w:p>
                  <w:pPr>
                    <w:pStyle w:val="30"/>
                    <w:jc w:val="center"/>
                    <w:rPr>
                      <w:rFonts w:ascii="Times New Roman" w:hAnsi="Times New Roman"/>
                      <w:bCs/>
                      <w:color w:val="auto"/>
                      <w:sz w:val="21"/>
                      <w:szCs w:val="21"/>
                    </w:rPr>
                  </w:pPr>
                  <w:r>
                    <w:rPr>
                      <w:rFonts w:hint="eastAsia" w:ascii="Times New Roman" w:hAnsi="Times New Roman"/>
                      <w:bCs/>
                      <w:color w:val="auto"/>
                      <w:sz w:val="21"/>
                      <w:szCs w:val="21"/>
                      <w:lang w:eastAsia="zh-CN"/>
                    </w:rPr>
                    <w:t>纯</w:t>
                  </w:r>
                  <w:r>
                    <w:rPr>
                      <w:rFonts w:hint="eastAsia" w:ascii="Times New Roman" w:hAnsi="Times New Roman"/>
                      <w:bCs/>
                      <w:color w:val="auto"/>
                      <w:sz w:val="21"/>
                      <w:szCs w:val="21"/>
                    </w:rPr>
                    <w:t>水制备废离子交换树脂</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color w:val="auto"/>
                    </w:rPr>
                    <w:t>一般工业固废</w:t>
                  </w:r>
                </w:p>
              </w:tc>
              <w:tc>
                <w:tcPr>
                  <w:tcW w:w="1889"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rFonts w:hint="eastAsia"/>
                      <w:color w:val="auto"/>
                    </w:rPr>
                    <w:t>900</w:t>
                  </w:r>
                  <w:r>
                    <w:rPr>
                      <w:color w:val="auto"/>
                    </w:rPr>
                    <w:t>-</w:t>
                  </w:r>
                  <w:r>
                    <w:rPr>
                      <w:rFonts w:hint="eastAsia"/>
                      <w:color w:val="auto"/>
                    </w:rPr>
                    <w:t>999</w:t>
                  </w:r>
                  <w:r>
                    <w:rPr>
                      <w:color w:val="auto"/>
                    </w:rPr>
                    <w:t>-</w:t>
                  </w:r>
                  <w:r>
                    <w:rPr>
                      <w:rFonts w:hint="eastAsia"/>
                      <w:color w:val="auto"/>
                    </w:rPr>
                    <w:t>99</w:t>
                  </w:r>
                </w:p>
              </w:tc>
              <w:tc>
                <w:tcPr>
                  <w:tcW w:w="891"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rFonts w:hint="eastAsia"/>
                      <w:color w:val="auto"/>
                    </w:rPr>
                    <w:t>0.1</w:t>
                  </w:r>
                </w:p>
              </w:tc>
              <w:tc>
                <w:tcPr>
                  <w:tcW w:w="2474" w:type="dxa"/>
                  <w:tcBorders>
                    <w:top w:val="single" w:color="auto" w:sz="4" w:space="0"/>
                    <w:left w:val="single" w:color="auto" w:sz="4" w:space="0"/>
                    <w:right w:val="single" w:color="auto" w:sz="4" w:space="0"/>
                  </w:tcBorders>
                  <w:vAlign w:val="center"/>
                </w:tcPr>
                <w:p>
                  <w:pPr>
                    <w:jc w:val="center"/>
                    <w:rPr>
                      <w:color w:val="auto"/>
                    </w:rPr>
                  </w:pPr>
                  <w:r>
                    <w:rPr>
                      <w:rFonts w:hint="eastAsia"/>
                      <w:color w:val="auto"/>
                    </w:rPr>
                    <w:t>更换时，由厂家回收处置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41"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rFonts w:hint="eastAsia"/>
                      <w:color w:val="auto"/>
                    </w:rPr>
                    <w:t>7</w:t>
                  </w:r>
                </w:p>
              </w:tc>
              <w:tc>
                <w:tcPr>
                  <w:tcW w:w="1284" w:type="dxa"/>
                  <w:tcBorders>
                    <w:top w:val="single" w:color="auto" w:sz="4" w:space="0"/>
                    <w:left w:val="single" w:color="auto" w:sz="4" w:space="0"/>
                    <w:bottom w:val="single" w:color="auto" w:sz="4" w:space="0"/>
                    <w:right w:val="single" w:color="auto" w:sz="4" w:space="0"/>
                  </w:tcBorders>
                  <w:vAlign w:val="center"/>
                </w:tcPr>
                <w:p>
                  <w:pPr>
                    <w:autoSpaceDE w:val="0"/>
                    <w:jc w:val="center"/>
                    <w:rPr>
                      <w:color w:val="auto"/>
                    </w:rPr>
                  </w:pPr>
                  <w:r>
                    <w:rPr>
                      <w:color w:val="auto"/>
                    </w:rPr>
                    <w:t>废机油</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color w:val="auto"/>
                    </w:rPr>
                    <w:t>危险废物</w:t>
                  </w:r>
                </w:p>
              </w:tc>
              <w:tc>
                <w:tcPr>
                  <w:tcW w:w="1889"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rFonts w:hint="eastAsia"/>
                      <w:color w:val="auto"/>
                    </w:rPr>
                    <w:t>HW08</w:t>
                  </w:r>
                  <w:r>
                    <w:rPr>
                      <w:color w:val="auto"/>
                    </w:rPr>
                    <w:t>（900-214-08）</w:t>
                  </w:r>
                </w:p>
              </w:tc>
              <w:tc>
                <w:tcPr>
                  <w:tcW w:w="891" w:type="dxa"/>
                  <w:tcBorders>
                    <w:top w:val="single" w:color="auto" w:sz="4" w:space="0"/>
                    <w:left w:val="single" w:color="auto" w:sz="4" w:space="0"/>
                    <w:bottom w:val="single" w:color="auto" w:sz="4" w:space="0"/>
                    <w:right w:val="single" w:color="auto" w:sz="4" w:space="0"/>
                  </w:tcBorders>
                  <w:vAlign w:val="center"/>
                </w:tcPr>
                <w:p>
                  <w:pPr>
                    <w:jc w:val="center"/>
                    <w:rPr>
                      <w:rFonts w:hint="default" w:eastAsia="宋体"/>
                      <w:color w:val="auto"/>
                      <w:lang w:val="en-US" w:eastAsia="zh-CN"/>
                    </w:rPr>
                  </w:pPr>
                  <w:r>
                    <w:rPr>
                      <w:rFonts w:hint="eastAsia"/>
                      <w:color w:val="auto"/>
                    </w:rPr>
                    <w:t>0.</w:t>
                  </w:r>
                  <w:r>
                    <w:rPr>
                      <w:rFonts w:hint="eastAsia"/>
                      <w:color w:val="auto"/>
                      <w:lang w:val="en-US" w:eastAsia="zh-CN"/>
                    </w:rPr>
                    <w:t>04</w:t>
                  </w:r>
                </w:p>
              </w:tc>
              <w:tc>
                <w:tcPr>
                  <w:tcW w:w="2474" w:type="dxa"/>
                  <w:vMerge w:val="restart"/>
                  <w:tcBorders>
                    <w:left w:val="single" w:color="auto" w:sz="4" w:space="0"/>
                    <w:right w:val="single" w:color="auto" w:sz="4" w:space="0"/>
                  </w:tcBorders>
                  <w:vAlign w:val="center"/>
                </w:tcPr>
                <w:p>
                  <w:pPr>
                    <w:jc w:val="center"/>
                    <w:rPr>
                      <w:color w:val="auto"/>
                    </w:rPr>
                  </w:pPr>
                  <w:r>
                    <w:rPr>
                      <w:color w:val="auto"/>
                    </w:rPr>
                    <w:t>暂存于危废暂存间，委托有危废处理资质的公司妥善处理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41"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rFonts w:hint="eastAsia"/>
                      <w:color w:val="auto"/>
                    </w:rPr>
                    <w:t>8</w:t>
                  </w:r>
                </w:p>
              </w:tc>
              <w:tc>
                <w:tcPr>
                  <w:tcW w:w="1284" w:type="dxa"/>
                  <w:tcBorders>
                    <w:top w:val="single" w:color="auto" w:sz="4" w:space="0"/>
                    <w:left w:val="single" w:color="auto" w:sz="4" w:space="0"/>
                    <w:bottom w:val="single" w:color="auto" w:sz="4" w:space="0"/>
                    <w:right w:val="single" w:color="auto" w:sz="4" w:space="0"/>
                  </w:tcBorders>
                  <w:vAlign w:val="center"/>
                </w:tcPr>
                <w:p>
                  <w:pPr>
                    <w:autoSpaceDE w:val="0"/>
                    <w:jc w:val="center"/>
                    <w:rPr>
                      <w:color w:val="auto"/>
                    </w:rPr>
                  </w:pPr>
                  <w:r>
                    <w:rPr>
                      <w:color w:val="auto"/>
                    </w:rPr>
                    <w:t>废机油桶</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color w:val="auto"/>
                    </w:rPr>
                    <w:t>危险废物</w:t>
                  </w:r>
                </w:p>
              </w:tc>
              <w:tc>
                <w:tcPr>
                  <w:tcW w:w="1889"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rFonts w:hint="eastAsia"/>
                      <w:color w:val="auto"/>
                    </w:rPr>
                    <w:t>HW49</w:t>
                  </w:r>
                  <w:r>
                    <w:rPr>
                      <w:color w:val="auto"/>
                    </w:rPr>
                    <w:t>（</w:t>
                  </w:r>
                  <w:r>
                    <w:rPr>
                      <w:bCs/>
                      <w:color w:val="auto"/>
                    </w:rPr>
                    <w:t>900-041-49</w:t>
                  </w:r>
                  <w:r>
                    <w:rPr>
                      <w:color w:val="auto"/>
                    </w:rPr>
                    <w:t>）</w:t>
                  </w:r>
                </w:p>
              </w:tc>
              <w:tc>
                <w:tcPr>
                  <w:tcW w:w="891" w:type="dxa"/>
                  <w:tcBorders>
                    <w:top w:val="single" w:color="auto" w:sz="4" w:space="0"/>
                    <w:left w:val="single" w:color="auto" w:sz="4" w:space="0"/>
                    <w:bottom w:val="single" w:color="auto" w:sz="4" w:space="0"/>
                    <w:right w:val="single" w:color="auto" w:sz="4" w:space="0"/>
                  </w:tcBorders>
                  <w:vAlign w:val="center"/>
                </w:tcPr>
                <w:p>
                  <w:pPr>
                    <w:jc w:val="center"/>
                    <w:rPr>
                      <w:rFonts w:hint="default" w:eastAsia="宋体"/>
                      <w:color w:val="auto"/>
                      <w:lang w:val="en-US" w:eastAsia="zh-CN"/>
                    </w:rPr>
                  </w:pPr>
                  <w:r>
                    <w:rPr>
                      <w:rFonts w:hint="eastAsia"/>
                      <w:color w:val="auto"/>
                    </w:rPr>
                    <w:t>0.</w:t>
                  </w:r>
                  <w:r>
                    <w:rPr>
                      <w:rFonts w:hint="eastAsia"/>
                      <w:color w:val="auto"/>
                      <w:lang w:val="en-US" w:eastAsia="zh-CN"/>
                    </w:rPr>
                    <w:t>05</w:t>
                  </w:r>
                </w:p>
              </w:tc>
              <w:tc>
                <w:tcPr>
                  <w:tcW w:w="2474" w:type="dxa"/>
                  <w:vMerge w:val="continue"/>
                  <w:tcBorders>
                    <w:left w:val="single" w:color="auto" w:sz="4" w:space="0"/>
                    <w:right w:val="single" w:color="auto" w:sz="4" w:space="0"/>
                  </w:tcBorders>
                  <w:vAlign w:val="center"/>
                </w:tcPr>
                <w:p>
                  <w:pPr>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41"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rFonts w:hint="eastAsia"/>
                      <w:color w:val="auto"/>
                    </w:rPr>
                    <w:t>9</w:t>
                  </w:r>
                </w:p>
              </w:tc>
              <w:tc>
                <w:tcPr>
                  <w:tcW w:w="1284" w:type="dxa"/>
                  <w:tcBorders>
                    <w:top w:val="single" w:color="auto" w:sz="4" w:space="0"/>
                    <w:left w:val="single" w:color="auto" w:sz="4" w:space="0"/>
                    <w:bottom w:val="single" w:color="auto" w:sz="4" w:space="0"/>
                    <w:right w:val="single" w:color="auto" w:sz="4" w:space="0"/>
                  </w:tcBorders>
                  <w:vAlign w:val="center"/>
                </w:tcPr>
                <w:p>
                  <w:pPr>
                    <w:pStyle w:val="30"/>
                    <w:jc w:val="center"/>
                    <w:rPr>
                      <w:color w:val="auto"/>
                    </w:rPr>
                  </w:pPr>
                  <w:r>
                    <w:rPr>
                      <w:rFonts w:ascii="Times New Roman" w:hAnsi="Times New Roman"/>
                      <w:bCs/>
                      <w:color w:val="auto"/>
                      <w:sz w:val="21"/>
                      <w:szCs w:val="21"/>
                    </w:rPr>
                    <w:t>废弃的含油抹布、劳保用品</w:t>
                  </w:r>
                </w:p>
              </w:tc>
              <w:tc>
                <w:tcPr>
                  <w:tcW w:w="1163"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rFonts w:hint="eastAsia"/>
                      <w:color w:val="auto"/>
                    </w:rPr>
                    <w:t>危险废物</w:t>
                  </w:r>
                </w:p>
              </w:tc>
              <w:tc>
                <w:tcPr>
                  <w:tcW w:w="1889" w:type="dxa"/>
                  <w:tcBorders>
                    <w:top w:val="single" w:color="auto" w:sz="4" w:space="0"/>
                    <w:left w:val="single" w:color="auto" w:sz="4" w:space="0"/>
                    <w:bottom w:val="single" w:color="auto" w:sz="4" w:space="0"/>
                    <w:right w:val="single" w:color="auto" w:sz="4" w:space="0"/>
                  </w:tcBorders>
                  <w:vAlign w:val="center"/>
                </w:tcPr>
                <w:p>
                  <w:pPr>
                    <w:jc w:val="center"/>
                    <w:rPr>
                      <w:color w:val="auto"/>
                    </w:rPr>
                  </w:pPr>
                  <w:r>
                    <w:rPr>
                      <w:bCs/>
                      <w:color w:val="auto"/>
                    </w:rPr>
                    <w:t>900-041-49</w:t>
                  </w:r>
                </w:p>
              </w:tc>
              <w:tc>
                <w:tcPr>
                  <w:tcW w:w="891"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color w:val="auto"/>
                      <w:lang w:val="en-US" w:eastAsia="zh-CN"/>
                    </w:rPr>
                  </w:pPr>
                  <w:r>
                    <w:rPr>
                      <w:rFonts w:hint="eastAsia"/>
                      <w:color w:val="auto"/>
                    </w:rPr>
                    <w:t>0.</w:t>
                  </w:r>
                  <w:r>
                    <w:rPr>
                      <w:rFonts w:hint="eastAsia"/>
                      <w:color w:val="auto"/>
                      <w:lang w:val="en-US" w:eastAsia="zh-CN"/>
                    </w:rPr>
                    <w:t>1</w:t>
                  </w:r>
                </w:p>
              </w:tc>
              <w:tc>
                <w:tcPr>
                  <w:tcW w:w="2474" w:type="dxa"/>
                  <w:vMerge w:val="continue"/>
                  <w:tcBorders>
                    <w:left w:val="single" w:color="auto" w:sz="4" w:space="0"/>
                    <w:right w:val="single" w:color="auto" w:sz="4" w:space="0"/>
                  </w:tcBorders>
                  <w:vAlign w:val="center"/>
                </w:tcPr>
                <w:p>
                  <w:pPr>
                    <w:jc w:val="center"/>
                    <w:rPr>
                      <w:color w:val="auto"/>
                    </w:rPr>
                  </w:pPr>
                </w:p>
              </w:tc>
            </w:tr>
          </w:tbl>
          <w:p>
            <w:pPr>
              <w:spacing w:line="360" w:lineRule="auto"/>
              <w:ind w:firstLine="482" w:firstLineChars="200"/>
              <w:rPr>
                <w:b/>
                <w:bCs/>
                <w:color w:val="auto"/>
                <w:sz w:val="24"/>
                <w:szCs w:val="24"/>
              </w:rPr>
            </w:pPr>
            <w:r>
              <w:rPr>
                <w:b/>
                <w:bCs/>
                <w:color w:val="auto"/>
                <w:sz w:val="24"/>
                <w:szCs w:val="24"/>
              </w:rPr>
              <w:t>4.2固体废物防治措施和管理要求</w:t>
            </w:r>
          </w:p>
          <w:p>
            <w:pPr>
              <w:spacing w:line="360" w:lineRule="auto"/>
              <w:ind w:firstLine="480" w:firstLineChars="200"/>
              <w:rPr>
                <w:color w:val="auto"/>
                <w:sz w:val="24"/>
                <w:szCs w:val="24"/>
              </w:rPr>
            </w:pPr>
            <w:r>
              <w:rPr>
                <w:color w:val="auto"/>
                <w:sz w:val="24"/>
                <w:szCs w:val="24"/>
              </w:rPr>
              <w:t>本项目生活垃圾经袋装或桶装分类收集后，委托环卫部门统一处理；</w:t>
            </w:r>
            <w:r>
              <w:rPr>
                <w:rFonts w:hint="eastAsia"/>
                <w:color w:val="auto"/>
                <w:sz w:val="24"/>
                <w:szCs w:val="24"/>
              </w:rPr>
              <w:t>初清筛杂质经收集后，</w:t>
            </w:r>
            <w:r>
              <w:rPr>
                <w:color w:val="auto"/>
                <w:sz w:val="24"/>
                <w:szCs w:val="24"/>
              </w:rPr>
              <w:t>委托环卫部门统一处理</w:t>
            </w:r>
            <w:r>
              <w:rPr>
                <w:rFonts w:hint="eastAsia"/>
                <w:color w:val="auto"/>
                <w:sz w:val="24"/>
                <w:szCs w:val="24"/>
              </w:rPr>
              <w:t>；废包装袋、磁选杂质经分类收集后外售综合利用；除尘器收集的粉尘回用于生产；</w:t>
            </w:r>
            <w:r>
              <w:rPr>
                <w:rFonts w:hint="eastAsia"/>
                <w:color w:val="auto"/>
                <w:sz w:val="24"/>
                <w:szCs w:val="24"/>
                <w:lang w:eastAsia="zh-CN"/>
              </w:rPr>
              <w:t>纯</w:t>
            </w:r>
            <w:r>
              <w:rPr>
                <w:rFonts w:ascii="宋体" w:hAnsi="宋体" w:cs="宋体"/>
                <w:color w:val="auto"/>
                <w:sz w:val="24"/>
                <w:szCs w:val="24"/>
              </w:rPr>
              <w:t>水制备废离子交换树脂由厂家回收处置</w:t>
            </w:r>
            <w:r>
              <w:rPr>
                <w:rFonts w:hint="eastAsia" w:ascii="宋体" w:hAnsi="宋体" w:cs="宋体"/>
                <w:color w:val="auto"/>
                <w:sz w:val="24"/>
                <w:szCs w:val="24"/>
              </w:rPr>
              <w:t>；</w:t>
            </w:r>
            <w:r>
              <w:rPr>
                <w:color w:val="auto"/>
                <w:sz w:val="24"/>
                <w:szCs w:val="24"/>
              </w:rPr>
              <w:t>危险废物</w:t>
            </w:r>
            <w:r>
              <w:rPr>
                <w:rFonts w:hint="eastAsia"/>
                <w:color w:val="auto"/>
                <w:sz w:val="24"/>
                <w:szCs w:val="24"/>
              </w:rPr>
              <w:t>废机油、废机油桶和</w:t>
            </w:r>
            <w:r>
              <w:rPr>
                <w:rFonts w:ascii="宋体" w:hAnsi="宋体" w:cs="宋体"/>
                <w:color w:val="auto"/>
                <w:sz w:val="24"/>
                <w:szCs w:val="24"/>
              </w:rPr>
              <w:t>废弃的含油抹布、劳保用品</w:t>
            </w:r>
            <w:r>
              <w:rPr>
                <w:rFonts w:hint="eastAsia" w:ascii="宋体" w:hAnsi="宋体" w:cs="宋体"/>
                <w:color w:val="auto"/>
                <w:sz w:val="24"/>
                <w:szCs w:val="24"/>
              </w:rPr>
              <w:t>经</w:t>
            </w:r>
            <w:r>
              <w:rPr>
                <w:rFonts w:hint="eastAsia"/>
                <w:color w:val="auto"/>
                <w:sz w:val="24"/>
                <w:szCs w:val="24"/>
              </w:rPr>
              <w:t>分类</w:t>
            </w:r>
            <w:r>
              <w:rPr>
                <w:color w:val="auto"/>
                <w:sz w:val="24"/>
                <w:szCs w:val="24"/>
              </w:rPr>
              <w:t>收集后暂存于危废暂存间内，委托有危废处理资质的单位妥善处理</w:t>
            </w:r>
            <w:r>
              <w:rPr>
                <w:rFonts w:hint="eastAsia"/>
                <w:color w:val="auto"/>
                <w:sz w:val="24"/>
                <w:szCs w:val="24"/>
              </w:rPr>
              <w:t>。</w:t>
            </w:r>
          </w:p>
          <w:p>
            <w:pPr>
              <w:spacing w:line="360" w:lineRule="auto"/>
              <w:ind w:firstLine="480" w:firstLineChars="200"/>
              <w:rPr>
                <w:color w:val="auto"/>
                <w:sz w:val="24"/>
                <w:szCs w:val="24"/>
              </w:rPr>
            </w:pPr>
            <w:r>
              <w:rPr>
                <w:color w:val="auto"/>
                <w:sz w:val="24"/>
                <w:szCs w:val="24"/>
              </w:rPr>
              <w:t>（1）生活垃圾</w:t>
            </w:r>
          </w:p>
          <w:p>
            <w:pPr>
              <w:spacing w:line="360" w:lineRule="auto"/>
              <w:ind w:firstLine="480" w:firstLineChars="200"/>
              <w:rPr>
                <w:color w:val="auto"/>
                <w:sz w:val="24"/>
                <w:szCs w:val="24"/>
              </w:rPr>
            </w:pPr>
            <w:r>
              <w:rPr>
                <w:color w:val="auto"/>
                <w:sz w:val="24"/>
                <w:szCs w:val="24"/>
              </w:rPr>
              <w:t>生活垃圾必须实现袋装或桶装集中，委托环卫部门统一清运，不得随处乱堆乱排现象；由于生活垃圾中含有易发酵（即腐烂）的有机类垃圾，也会产生析出水（垃圾堆场称渗滤液），同时散发恶臭气味；并易招引蚊蝇、鼠狗之类栖息、形成病菌类产生和传播的温床；这不仅直接损害了厂区内的环境卫生，而产生的臭气和诱发的蚊蝇滋生则会对附近居民生活区，甚至对院区造成很大的影响；为此，厂内应配备足够的垃圾桶和加强管理，对生活垃圾尽量做到日产日清，保证厂区范围内无腐烂垃圾堆放。</w:t>
            </w:r>
          </w:p>
          <w:p>
            <w:pPr>
              <w:spacing w:line="360" w:lineRule="auto"/>
              <w:ind w:firstLine="480" w:firstLineChars="200"/>
              <w:rPr>
                <w:color w:val="auto"/>
                <w:sz w:val="24"/>
                <w:szCs w:val="24"/>
              </w:rPr>
            </w:pPr>
            <w:r>
              <w:rPr>
                <w:color w:val="auto"/>
                <w:sz w:val="24"/>
                <w:szCs w:val="24"/>
              </w:rPr>
              <w:t>（2）一般工业固废</w:t>
            </w:r>
          </w:p>
          <w:p>
            <w:pPr>
              <w:spacing w:line="360" w:lineRule="auto"/>
              <w:ind w:firstLine="480" w:firstLineChars="200"/>
              <w:rPr>
                <w:color w:val="auto"/>
                <w:sz w:val="24"/>
              </w:rPr>
            </w:pPr>
            <w:r>
              <w:rPr>
                <w:rFonts w:hint="eastAsia"/>
                <w:color w:val="auto"/>
                <w:sz w:val="24"/>
              </w:rPr>
              <w:t>根据《排污许可证申请与核发技术规范工业固体废物（试行）》（HJ 1200-2021）要求，排污单位委托他人运输、利用、处置一般工业固体废物的，应落实</w:t>
            </w:r>
            <w:r>
              <w:rPr>
                <w:color w:val="auto"/>
                <w:sz w:val="24"/>
              </w:rPr>
              <w:t>《中华人民共和国固体废物污染环境防治法》</w:t>
            </w:r>
            <w:r>
              <w:rPr>
                <w:rFonts w:hint="eastAsia"/>
                <w:color w:val="auto"/>
                <w:sz w:val="24"/>
              </w:rPr>
              <w:t>等法律法规要求，对受托方的主体资格和技术能力进行核实，依法签订书面合同，在合同中约定污染防治要求等；采用库房、包装工具（罐、桶、包装袋等）贮存一般工业固体废物的，贮存过程应满足相应防渗漏、防雨淋、防扬尘等环境保护要求；危险废物和生活垃圾不得进入一般工业固体废物贮存场及填埋场；不相容的一般工业固体废物应设置不同的分区进行贮存和填埋作业；贮存场、填埋场应设置清晰、完整的一般工业固体废物标志牌等；排污单位生产运营期间一般工业固体废物自行贮存/利用/处置设施的环境管理和相关设施运行维护要求还应符合GB 155622、GB 1899、GB 30485和HJ 2035等相关标准规范要求。</w:t>
            </w:r>
          </w:p>
          <w:p>
            <w:pPr>
              <w:spacing w:line="360" w:lineRule="auto"/>
              <w:ind w:firstLine="480" w:firstLineChars="200"/>
              <w:rPr>
                <w:color w:val="auto"/>
                <w:sz w:val="24"/>
              </w:rPr>
            </w:pPr>
            <w:r>
              <w:rPr>
                <w:color w:val="auto"/>
                <w:sz w:val="24"/>
              </w:rPr>
              <w:t>根据《一般工业固体废物贮存和填埋污染控制标准》（GB18599-2020）可知，一般固废暂存间可采用改性压实粘土类衬层或具有同等以上隔水效力的其他材料防渗衬层，其防渗性能应至少相当于渗透系数为1.0×10</w:t>
            </w:r>
            <w:r>
              <w:rPr>
                <w:color w:val="auto"/>
                <w:sz w:val="24"/>
                <w:vertAlign w:val="superscript"/>
              </w:rPr>
              <w:t>-5</w:t>
            </w:r>
            <w:r>
              <w:rPr>
                <w:color w:val="auto"/>
                <w:sz w:val="24"/>
              </w:rPr>
              <w:t>cm/s且厚度为0.75m的</w:t>
            </w:r>
            <w:r>
              <w:rPr>
                <w:rFonts w:hint="eastAsia"/>
                <w:color w:val="auto"/>
                <w:sz w:val="24"/>
              </w:rPr>
              <w:t>天然</w:t>
            </w:r>
            <w:r>
              <w:rPr>
                <w:color w:val="auto"/>
                <w:sz w:val="24"/>
              </w:rPr>
              <w:t>基础层。</w:t>
            </w:r>
          </w:p>
          <w:p>
            <w:pPr>
              <w:spacing w:line="360" w:lineRule="auto"/>
              <w:ind w:firstLine="480" w:firstLineChars="200"/>
              <w:rPr>
                <w:color w:val="auto"/>
                <w:sz w:val="24"/>
                <w:szCs w:val="24"/>
              </w:rPr>
            </w:pPr>
            <w:r>
              <w:rPr>
                <w:color w:val="auto"/>
                <w:sz w:val="24"/>
                <w:szCs w:val="24"/>
              </w:rPr>
              <w:t>本环评要求</w:t>
            </w:r>
            <w:r>
              <w:rPr>
                <w:rFonts w:hint="eastAsia"/>
                <w:color w:val="auto"/>
                <w:sz w:val="24"/>
                <w:szCs w:val="24"/>
              </w:rPr>
              <w:t>企业</w:t>
            </w:r>
            <w:r>
              <w:rPr>
                <w:color w:val="auto"/>
                <w:sz w:val="24"/>
                <w:szCs w:val="24"/>
              </w:rPr>
              <w:t>在</w:t>
            </w:r>
            <w:r>
              <w:rPr>
                <w:rFonts w:hint="eastAsia"/>
                <w:color w:val="auto"/>
                <w:sz w:val="24"/>
                <w:szCs w:val="24"/>
              </w:rPr>
              <w:t>厂房成品库内布设一个面积约为50m</w:t>
            </w:r>
            <w:r>
              <w:rPr>
                <w:rFonts w:hint="eastAsia"/>
                <w:color w:val="auto"/>
                <w:sz w:val="24"/>
                <w:szCs w:val="24"/>
                <w:vertAlign w:val="superscript"/>
              </w:rPr>
              <w:t>2</w:t>
            </w:r>
            <w:r>
              <w:rPr>
                <w:rFonts w:hint="eastAsia"/>
                <w:color w:val="auto"/>
                <w:sz w:val="24"/>
                <w:szCs w:val="24"/>
              </w:rPr>
              <w:t>的</w:t>
            </w:r>
            <w:r>
              <w:rPr>
                <w:color w:val="auto"/>
                <w:sz w:val="24"/>
                <w:szCs w:val="24"/>
              </w:rPr>
              <w:t>一般工业固废暂存间，并进行</w:t>
            </w:r>
            <w:r>
              <w:rPr>
                <w:rFonts w:hint="eastAsia"/>
                <w:color w:val="auto"/>
                <w:sz w:val="24"/>
                <w:szCs w:val="24"/>
              </w:rPr>
              <w:t>一般</w:t>
            </w:r>
            <w:r>
              <w:rPr>
                <w:color w:val="auto"/>
                <w:sz w:val="24"/>
                <w:szCs w:val="24"/>
              </w:rPr>
              <w:t>防渗处理。</w:t>
            </w:r>
          </w:p>
          <w:p>
            <w:pPr>
              <w:spacing w:line="360" w:lineRule="auto"/>
              <w:ind w:firstLine="480" w:firstLineChars="200"/>
              <w:rPr>
                <w:color w:val="auto"/>
                <w:sz w:val="24"/>
              </w:rPr>
            </w:pPr>
            <w:r>
              <w:rPr>
                <w:color w:val="auto"/>
                <w:sz w:val="24"/>
              </w:rPr>
              <w:t>（3）危险废物</w:t>
            </w:r>
          </w:p>
          <w:p>
            <w:pPr>
              <w:pStyle w:val="2"/>
              <w:spacing w:after="0" w:line="360" w:lineRule="auto"/>
              <w:ind w:left="0" w:leftChars="0" w:firstLine="480" w:firstLineChars="200"/>
              <w:rPr>
                <w:color w:val="auto"/>
              </w:rPr>
            </w:pPr>
            <w:r>
              <w:rPr>
                <w:color w:val="auto"/>
              </w:rPr>
              <w:t>①根据《排污许可证申请与核发技术规范工业固体废物（试行）》（HJ 1200-2021）要求，排污单位委托他人运输、利用、处置危险废物的，应落实《中华人民共和国固体废物污染环境防治法》等法律法规要求，对受托方的主体资格和技术能力进行核实，依法签订书面合同，在合同中约定污染防治要求；转移危险废物的，应当按照国家有关规定填写、运行危险废物转移联单等；包装容器应达到相应的强度要求并完好无损，禁止混合贮存性质不相容而未经安全性处置的危险废物；危险废物容器和包装物以及危险废物贮存设施、场所应按规定设置危险废物识别标志；仓库式贮存设施应分开存放不相容危险废物，按危险废物的种类和特性进行分区贮存，采用防腐、防渗地面和裙脚，设置防止泄露物质扩散至外环境的拦截、导流、收集设施；贮存堆场要防风、防雨、防晒；从事收集、贮存、利用、处置危险废物经营活动的单位，贮存危险废物不得超过一年（报经颁发危险废物经营许可证的生态环境主管部门批准或法律法规另有规定的除外）等；排污单位生产运营期间危险废物自行贮存设施的环境管理和相关设施运行维护还应符合GB 15562.2、GB 18484、GB 18597、GB 30485、HJ 2025和HJ 2042等相关标准规范要求。</w:t>
            </w:r>
          </w:p>
          <w:p>
            <w:pPr>
              <w:pStyle w:val="2"/>
              <w:spacing w:after="0" w:line="360" w:lineRule="auto"/>
              <w:ind w:left="0" w:leftChars="0" w:firstLine="480" w:firstLineChars="200"/>
              <w:rPr>
                <w:color w:val="auto"/>
              </w:rPr>
            </w:pPr>
            <w:r>
              <w:rPr>
                <w:color w:val="auto"/>
              </w:rPr>
              <w:t>②危废暂存间（</w:t>
            </w:r>
            <w:r>
              <w:rPr>
                <w:color w:val="auto"/>
                <w:szCs w:val="21"/>
              </w:rPr>
              <w:t>位于</w:t>
            </w:r>
            <w:r>
              <w:rPr>
                <w:rFonts w:hint="eastAsia"/>
                <w:color w:val="auto"/>
              </w:rPr>
              <w:t>厂区内北侧，建筑面积约为20m</w:t>
            </w:r>
            <w:r>
              <w:rPr>
                <w:rFonts w:hint="eastAsia"/>
                <w:color w:val="auto"/>
                <w:vertAlign w:val="superscript"/>
              </w:rPr>
              <w:t>2</w:t>
            </w:r>
            <w:r>
              <w:rPr>
                <w:color w:val="auto"/>
              </w:rPr>
              <w:t>）须按照要求进行防风、防雨、防晒、防渗漏等处理，危废暂存间地面与裙脚要用坚固，防渗的材料建造，建筑材料必须与危险废物相容（耐酸性腐蚀）；必须有泄漏液体收集装置；存放半固体危险废物容器的地方，必须有耐腐的硬化地面，且表面无裂痕；危废暂存库基础必须防渗，防渗层为至少1m厚粘土层（渗透系数≤10</w:t>
            </w:r>
            <w:r>
              <w:rPr>
                <w:color w:val="auto"/>
                <w:vertAlign w:val="superscript"/>
              </w:rPr>
              <w:t>-7</w:t>
            </w:r>
            <w:r>
              <w:rPr>
                <w:color w:val="auto"/>
              </w:rPr>
              <w:t>cm/s），或2mm厚高密度聚乙烯，或至少2mm厚的其它人工材料，渗透系数≤10</w:t>
            </w:r>
            <w:r>
              <w:rPr>
                <w:color w:val="auto"/>
                <w:vertAlign w:val="superscript"/>
              </w:rPr>
              <w:t>-10</w:t>
            </w:r>
            <w:r>
              <w:rPr>
                <w:color w:val="auto"/>
              </w:rPr>
              <w:t>cm/s。</w:t>
            </w:r>
          </w:p>
          <w:p>
            <w:pPr>
              <w:pStyle w:val="2"/>
              <w:spacing w:after="0" w:line="360" w:lineRule="auto"/>
              <w:ind w:left="0" w:leftChars="0" w:firstLine="480" w:firstLineChars="200"/>
              <w:rPr>
                <w:color w:val="auto"/>
              </w:rPr>
            </w:pPr>
            <w:r>
              <w:rPr>
                <w:color w:val="auto"/>
              </w:rPr>
              <w:t>③危险废物产生者和危险废物贮存设施经营者均须做好危险废物情况的记录，记录上须注明危险废物的名称、来源、数量、特性和包装容器的类别、入库日期、存放库位、废物出库日期及接收单位名称，危险废物的记录和货单在危险废物回取后应继续保留三年；该部分内容由建设单位与接收单位共同协作完成。</w:t>
            </w:r>
          </w:p>
          <w:p>
            <w:pPr>
              <w:pStyle w:val="2"/>
              <w:spacing w:after="0" w:line="360" w:lineRule="auto"/>
              <w:ind w:left="0" w:leftChars="0" w:firstLine="480" w:firstLineChars="200"/>
              <w:rPr>
                <w:color w:val="auto"/>
              </w:rPr>
            </w:pPr>
            <w:r>
              <w:rPr>
                <w:color w:val="auto"/>
              </w:rPr>
              <w:t>④危废的转移执行国家环保总局第5号令《危险废物转移联单管理办法》，在日常管理中，应设置专人加强对危废暂存间的管理，出现问题及时解决，避免形成二次污染，对工作人员应进行专业培训，熟知各项固废知识。</w:t>
            </w:r>
          </w:p>
          <w:p>
            <w:pPr>
              <w:pStyle w:val="2"/>
              <w:spacing w:after="0" w:line="360" w:lineRule="auto"/>
              <w:ind w:left="0" w:leftChars="0" w:firstLine="480" w:firstLineChars="200"/>
              <w:rPr>
                <w:color w:val="auto"/>
              </w:rPr>
            </w:pPr>
            <w:r>
              <w:rPr>
                <w:color w:val="auto"/>
              </w:rPr>
              <w:t>⑤据《危险废物贮存污染控制标准》GB18597-2001及其修改单中第4.4条，必须将危险废物装入容器内。危险废物贮存容器及设施要求：a.装载危险废物的容器及材质要满足相应的强度要求，应根据危险废物的不同特性而设计，不易破损、变形、老化，能有效地防止渗漏、扩散；b.装有危险废物的容器必须贴有符合GB18597-2001《危险废物贮存污染控制标准》中附录A所示的危废标签，在标签上详细标明危险废物的名称、重量、成分、特性以及发生泄漏、扩散污染事故时的应急措施和补救方法；c.装载危险废物的容器必须完好无损；d.必须定期对所贮存的危险废物包装容器及贮存设施进行检查，发现破损，应及时采取措施清理更换。</w:t>
            </w:r>
          </w:p>
          <w:p>
            <w:pPr>
              <w:pStyle w:val="2"/>
              <w:spacing w:after="0" w:line="360" w:lineRule="auto"/>
              <w:ind w:left="0" w:leftChars="0" w:firstLine="480" w:firstLineChars="200"/>
              <w:rPr>
                <w:color w:val="auto"/>
              </w:rPr>
            </w:pPr>
            <w:r>
              <w:rPr>
                <w:color w:val="auto"/>
              </w:rPr>
              <w:t>⑥安全防护要求：危废的贮存场所须按《环境保护图形标志》的规定设置明显警示标志；危险废物贮存设施周围应设置围墙或其他防护栅栏；危废的贮存场所要有安全照明设施和观察窗口，并配有应急防护措施；贮存场所内禁止混放不相容危险废物，分开放置并设置隔断；危险废物贮存设施内清理出来的泄漏物，一律按危险废物处理；严禁露天堆放，避免风吹日晒和雨淋而造成危险废物中。</w:t>
            </w:r>
          </w:p>
          <w:p>
            <w:pPr>
              <w:pStyle w:val="2"/>
              <w:spacing w:after="0" w:line="360" w:lineRule="auto"/>
              <w:ind w:left="0" w:leftChars="0" w:firstLine="480" w:firstLineChars="200"/>
              <w:rPr>
                <w:color w:val="auto"/>
              </w:rPr>
            </w:pPr>
            <w:r>
              <w:rPr>
                <w:color w:val="auto"/>
              </w:rPr>
              <w:t>⑦危险废物的转移、处置要求：严格按照环发〔2001〕199号《危险废物污染防治技术政策》要求进行，要点如下：a.对已经产生的危险废物，必须按照国家有关规定申报登记，交出持有危险废物经营许可证的单位收集、运输、处理处置；b.危险废物的国内转移应遵从《危险废物转移联单管理办法》及其他有关规定的要求；c.各级环境保护行政主管部门应按照国家和地方制定的危险废物转移管理办法对危险废物的流向进行有效控制，禁止在转移过程中将危险废物排放至环境中；d.对于该项目危险固废在运输途中，应做到以下几点：危险废物的运输车辆须经主管单位检查，并持有有关单位签发的许可证，负责运输的司机应通过培训，持有证明文件；承载危险废物的车辆须有明显的标志或适当的危险符号，以引起注意；载有危险废物的车辆在公路上行驶时，需持有运输许可证，其上应注明废物来源、性质和运往地点，必要时须有专门单位人员负责押运；组织危险废物的运输单位，在事先需作出周密的运输计划和行驶路线，其中包括有效的废物泄露情况下的应急措施。</w:t>
            </w:r>
          </w:p>
          <w:p>
            <w:pPr>
              <w:spacing w:line="360" w:lineRule="auto"/>
              <w:ind w:firstLine="480" w:firstLineChars="200"/>
              <w:rPr>
                <w:color w:val="auto"/>
                <w:sz w:val="24"/>
              </w:rPr>
            </w:pPr>
            <w:r>
              <w:rPr>
                <w:rFonts w:hint="eastAsia"/>
                <w:color w:val="auto"/>
                <w:sz w:val="24"/>
              </w:rPr>
              <w:t>本环评要求企业在厂区内北侧布设一个面积约为20m</w:t>
            </w:r>
            <w:r>
              <w:rPr>
                <w:rFonts w:hint="eastAsia"/>
                <w:color w:val="auto"/>
                <w:sz w:val="24"/>
                <w:vertAlign w:val="superscript"/>
              </w:rPr>
              <w:t>2</w:t>
            </w:r>
            <w:r>
              <w:rPr>
                <w:rFonts w:hint="eastAsia"/>
                <w:color w:val="auto"/>
                <w:sz w:val="24"/>
              </w:rPr>
              <w:t>的危废暂存间，并要求其</w:t>
            </w:r>
            <w:r>
              <w:rPr>
                <w:color w:val="auto"/>
                <w:sz w:val="24"/>
              </w:rPr>
              <w:t>进行重点防渗处理。</w:t>
            </w:r>
          </w:p>
          <w:p>
            <w:pPr>
              <w:spacing w:line="360" w:lineRule="auto"/>
              <w:ind w:firstLine="480" w:firstLineChars="200"/>
              <w:rPr>
                <w:b/>
                <w:bCs/>
                <w:color w:val="auto"/>
                <w:sz w:val="24"/>
              </w:rPr>
            </w:pPr>
            <w:r>
              <w:rPr>
                <w:color w:val="auto"/>
                <w:sz w:val="24"/>
              </w:rPr>
              <w:t>经采取上述措施后，本项目固体废弃物均得到妥善处理，对环境影响较小，措施可行。</w:t>
            </w:r>
          </w:p>
          <w:p>
            <w:pPr>
              <w:spacing w:line="360" w:lineRule="auto"/>
              <w:ind w:firstLine="482" w:firstLineChars="200"/>
              <w:rPr>
                <w:b/>
                <w:bCs/>
                <w:color w:val="auto"/>
                <w:sz w:val="24"/>
                <w:szCs w:val="24"/>
              </w:rPr>
            </w:pPr>
            <w:r>
              <w:rPr>
                <w:b/>
                <w:bCs/>
                <w:color w:val="auto"/>
                <w:sz w:val="24"/>
                <w:szCs w:val="24"/>
              </w:rPr>
              <w:t>5、土壤和地下水</w:t>
            </w:r>
          </w:p>
          <w:p>
            <w:pPr>
              <w:pStyle w:val="2"/>
              <w:spacing w:after="0" w:line="360" w:lineRule="auto"/>
              <w:ind w:left="0" w:leftChars="0" w:firstLine="482" w:firstLineChars="200"/>
              <w:rPr>
                <w:b/>
                <w:bCs/>
                <w:color w:val="auto"/>
              </w:rPr>
            </w:pPr>
            <w:r>
              <w:rPr>
                <w:b/>
                <w:bCs/>
                <w:color w:val="auto"/>
              </w:rPr>
              <w:t>5.1污染源及污染物类型</w:t>
            </w:r>
          </w:p>
          <w:p>
            <w:pPr>
              <w:spacing w:line="360" w:lineRule="auto"/>
              <w:ind w:firstLine="480" w:firstLineChars="200"/>
              <w:rPr>
                <w:color w:val="auto"/>
                <w:sz w:val="24"/>
                <w:szCs w:val="24"/>
              </w:rPr>
            </w:pPr>
            <w:r>
              <w:rPr>
                <w:color w:val="auto"/>
                <w:sz w:val="24"/>
                <w:szCs w:val="24"/>
              </w:rPr>
              <w:t>本项目排放的大气污染物主要为颗粒物；</w:t>
            </w:r>
            <w:r>
              <w:rPr>
                <w:rFonts w:ascii="宋体" w:hAnsi="宋体" w:cs="宋体"/>
                <w:color w:val="auto"/>
                <w:sz w:val="24"/>
                <w:szCs w:val="24"/>
              </w:rPr>
              <w:t>食堂废水经隔油池预处理后，与生活污水一同经化粪池处理后纳管，</w:t>
            </w:r>
            <w:r>
              <w:rPr>
                <w:rFonts w:hint="eastAsia" w:ascii="宋体" w:hAnsi="宋体" w:cs="宋体"/>
                <w:color w:val="auto"/>
                <w:sz w:val="24"/>
                <w:szCs w:val="24"/>
                <w:lang w:eastAsia="zh-CN"/>
              </w:rPr>
              <w:t>纯水制备废水</w:t>
            </w:r>
            <w:r>
              <w:rPr>
                <w:rFonts w:ascii="宋体" w:hAnsi="宋体" w:cs="宋体"/>
                <w:color w:val="auto"/>
                <w:sz w:val="24"/>
                <w:szCs w:val="24"/>
              </w:rPr>
              <w:t>浓度满足宿州市经济技术开发区污水处理厂接管标准，可直接纳管排入区域管网，所有废水均进入宿州市经济技术开发区污水处理厂集中处理，达标后排入运粮河</w:t>
            </w:r>
            <w:r>
              <w:rPr>
                <w:color w:val="auto"/>
                <w:sz w:val="24"/>
                <w:szCs w:val="24"/>
              </w:rPr>
              <w:t>；产生的危险废物主要为废</w:t>
            </w:r>
            <w:r>
              <w:rPr>
                <w:rFonts w:hint="eastAsia"/>
                <w:color w:val="auto"/>
                <w:sz w:val="24"/>
                <w:szCs w:val="24"/>
              </w:rPr>
              <w:t>机油和废机油桶</w:t>
            </w:r>
            <w:r>
              <w:rPr>
                <w:color w:val="auto"/>
                <w:sz w:val="24"/>
                <w:szCs w:val="24"/>
              </w:rPr>
              <w:t>。</w:t>
            </w:r>
          </w:p>
          <w:p>
            <w:pPr>
              <w:pStyle w:val="2"/>
              <w:spacing w:after="0" w:line="360" w:lineRule="auto"/>
              <w:ind w:left="0" w:leftChars="0" w:firstLine="482" w:firstLineChars="200"/>
              <w:rPr>
                <w:b/>
                <w:bCs/>
                <w:color w:val="auto"/>
              </w:rPr>
            </w:pPr>
            <w:r>
              <w:rPr>
                <w:b/>
                <w:bCs/>
                <w:color w:val="auto"/>
              </w:rPr>
              <w:t>5.2污染途径</w:t>
            </w:r>
          </w:p>
          <w:p>
            <w:pPr>
              <w:pStyle w:val="2"/>
              <w:spacing w:after="0" w:line="360" w:lineRule="auto"/>
              <w:ind w:left="0" w:leftChars="0" w:firstLine="480" w:firstLineChars="200"/>
              <w:rPr>
                <w:color w:val="auto"/>
              </w:rPr>
            </w:pPr>
            <w:r>
              <w:rPr>
                <w:color w:val="auto"/>
              </w:rPr>
              <w:t>本项目产生的废气主要为颗粒物，可能通过大气沉淀的方式污染所在区域的地下水及土壤；本项目产生的废水主要为生活污水</w:t>
            </w:r>
            <w:r>
              <w:rPr>
                <w:rFonts w:hint="eastAsia"/>
                <w:color w:val="auto"/>
              </w:rPr>
              <w:t>、食堂废水和</w:t>
            </w:r>
            <w:r>
              <w:rPr>
                <w:rFonts w:hint="eastAsia"/>
                <w:color w:val="auto"/>
                <w:lang w:eastAsia="zh-CN"/>
              </w:rPr>
              <w:t>纯水制备废水</w:t>
            </w:r>
            <w:r>
              <w:rPr>
                <w:color w:val="auto"/>
              </w:rPr>
              <w:t>，可能由于</w:t>
            </w:r>
            <w:r>
              <w:rPr>
                <w:rFonts w:hint="eastAsia"/>
                <w:color w:val="auto"/>
              </w:rPr>
              <w:t>隔油池、</w:t>
            </w:r>
            <w:r>
              <w:rPr>
                <w:color w:val="auto"/>
              </w:rPr>
              <w:t>化粪池以及输水管网发生破损而导致废水进入地表，影响地下水及土壤；本项目危废暂存间中贮存的废</w:t>
            </w:r>
            <w:r>
              <w:rPr>
                <w:rFonts w:hint="eastAsia"/>
                <w:color w:val="auto"/>
              </w:rPr>
              <w:t>机油、废机油桶</w:t>
            </w:r>
            <w:r>
              <w:rPr>
                <w:color w:val="auto"/>
              </w:rPr>
              <w:t>等危险废物，若包装容器发生破损导致泄露，且防渗措施老化，易经过雨水淋溶、地表径流侵蚀而渗入土壤，进而对土壤环境和地下水水质产生影响。</w:t>
            </w:r>
          </w:p>
          <w:p>
            <w:pPr>
              <w:spacing w:line="360" w:lineRule="auto"/>
              <w:ind w:firstLine="482" w:firstLineChars="200"/>
              <w:rPr>
                <w:b/>
                <w:bCs/>
                <w:color w:val="auto"/>
                <w:sz w:val="24"/>
                <w:szCs w:val="24"/>
              </w:rPr>
            </w:pPr>
            <w:r>
              <w:rPr>
                <w:b/>
                <w:bCs/>
                <w:color w:val="auto"/>
                <w:sz w:val="24"/>
                <w:szCs w:val="24"/>
              </w:rPr>
              <w:t>5.3防控措施</w:t>
            </w:r>
          </w:p>
          <w:p>
            <w:pPr>
              <w:pStyle w:val="78"/>
              <w:ind w:firstLine="482"/>
              <w:jc w:val="both"/>
              <w:rPr>
                <w:b/>
                <w:bCs/>
                <w:color w:val="auto"/>
                <w:sz w:val="24"/>
                <w:szCs w:val="24"/>
              </w:rPr>
            </w:pPr>
            <w:r>
              <w:rPr>
                <w:b/>
                <w:bCs/>
                <w:color w:val="auto"/>
                <w:sz w:val="24"/>
                <w:szCs w:val="24"/>
              </w:rPr>
              <w:t>（1）源头控制措施</w:t>
            </w:r>
          </w:p>
          <w:p>
            <w:pPr>
              <w:adjustRightInd w:val="0"/>
              <w:snapToGrid w:val="0"/>
              <w:spacing w:line="360" w:lineRule="auto"/>
              <w:ind w:firstLine="480" w:firstLineChars="200"/>
              <w:rPr>
                <w:color w:val="auto"/>
                <w:sz w:val="24"/>
                <w:szCs w:val="24"/>
              </w:rPr>
            </w:pPr>
            <w:r>
              <w:rPr>
                <w:color w:val="auto"/>
                <w:sz w:val="24"/>
                <w:szCs w:val="24"/>
              </w:rPr>
              <w:t>①</w:t>
            </w:r>
            <w:r>
              <w:rPr>
                <w:color w:val="auto"/>
                <w:kern w:val="28"/>
                <w:sz w:val="24"/>
                <w:szCs w:val="24"/>
              </w:rPr>
              <w:t>对</w:t>
            </w:r>
            <w:r>
              <w:rPr>
                <w:rFonts w:hint="eastAsia"/>
                <w:color w:val="auto"/>
                <w:kern w:val="28"/>
                <w:sz w:val="24"/>
                <w:szCs w:val="24"/>
              </w:rPr>
              <w:t>主车间内各</w:t>
            </w:r>
            <w:r>
              <w:rPr>
                <w:color w:val="auto"/>
                <w:kern w:val="28"/>
                <w:sz w:val="24"/>
                <w:szCs w:val="24"/>
              </w:rPr>
              <w:t>楼层产生的各污染物进行</w:t>
            </w:r>
            <w:r>
              <w:rPr>
                <w:rFonts w:hint="eastAsia"/>
                <w:color w:val="auto"/>
                <w:kern w:val="28"/>
                <w:sz w:val="24"/>
                <w:szCs w:val="24"/>
              </w:rPr>
              <w:t>分层</w:t>
            </w:r>
            <w:r>
              <w:rPr>
                <w:color w:val="auto"/>
                <w:kern w:val="28"/>
                <w:sz w:val="24"/>
                <w:szCs w:val="24"/>
              </w:rPr>
              <w:t>集中收集，</w:t>
            </w:r>
            <w:r>
              <w:rPr>
                <w:rFonts w:hint="eastAsia"/>
                <w:color w:val="auto"/>
                <w:kern w:val="28"/>
                <w:sz w:val="24"/>
                <w:szCs w:val="24"/>
              </w:rPr>
              <w:t>经除尘器处理后，通过不同的排气筒</w:t>
            </w:r>
            <w:r>
              <w:rPr>
                <w:color w:val="auto"/>
                <w:kern w:val="28"/>
                <w:sz w:val="24"/>
                <w:szCs w:val="24"/>
              </w:rPr>
              <w:t>达标排放。</w:t>
            </w:r>
            <w:r>
              <w:rPr>
                <w:rFonts w:hint="eastAsia"/>
                <w:color w:val="auto"/>
                <w:kern w:val="28"/>
                <w:sz w:val="24"/>
                <w:szCs w:val="24"/>
              </w:rPr>
              <w:t>主车间、原料库和成品库内无组织粉尘经自然沉降、人工清扫进行处理。</w:t>
            </w:r>
          </w:p>
          <w:p>
            <w:pPr>
              <w:pStyle w:val="78"/>
              <w:ind w:firstLine="480"/>
              <w:jc w:val="both"/>
              <w:rPr>
                <w:color w:val="auto"/>
                <w:sz w:val="24"/>
                <w:szCs w:val="24"/>
              </w:rPr>
            </w:pPr>
            <w:r>
              <w:rPr>
                <w:color w:val="auto"/>
                <w:sz w:val="24"/>
                <w:szCs w:val="24"/>
              </w:rPr>
              <w:t>②严格按照国家相关规范要求，对厂区内污水收集设施等采取相应措施，以防止和降低污染物的跑、冒、滴、漏，将污染物泄漏的环境风险事故降到最低程度。</w:t>
            </w:r>
          </w:p>
          <w:p>
            <w:pPr>
              <w:pStyle w:val="78"/>
              <w:ind w:firstLine="480"/>
              <w:jc w:val="both"/>
              <w:rPr>
                <w:color w:val="auto"/>
                <w:sz w:val="24"/>
                <w:szCs w:val="24"/>
              </w:rPr>
            </w:pPr>
            <w:r>
              <w:rPr>
                <w:color w:val="auto"/>
                <w:sz w:val="24"/>
                <w:szCs w:val="24"/>
              </w:rPr>
              <w:t>③严格固体废物管理，不接触外界降水，使其不产生淋溶液，严防污染物泄漏到地下水及土壤中</w:t>
            </w:r>
            <w:r>
              <w:rPr>
                <w:rFonts w:hint="eastAsia"/>
                <w:color w:val="auto"/>
                <w:sz w:val="24"/>
                <w:szCs w:val="24"/>
              </w:rPr>
              <w:t>。</w:t>
            </w:r>
          </w:p>
          <w:p>
            <w:pPr>
              <w:pStyle w:val="78"/>
              <w:ind w:firstLine="482"/>
              <w:jc w:val="both"/>
              <w:rPr>
                <w:b/>
                <w:bCs/>
                <w:color w:val="auto"/>
                <w:sz w:val="24"/>
                <w:szCs w:val="24"/>
              </w:rPr>
            </w:pPr>
            <w:r>
              <w:rPr>
                <w:b/>
                <w:bCs/>
                <w:color w:val="auto"/>
                <w:sz w:val="24"/>
                <w:szCs w:val="24"/>
              </w:rPr>
              <w:t>（2）分区防控措施</w:t>
            </w:r>
          </w:p>
          <w:p>
            <w:pPr>
              <w:spacing w:line="360" w:lineRule="auto"/>
              <w:ind w:firstLine="480" w:firstLineChars="200"/>
              <w:rPr>
                <w:color w:val="auto"/>
                <w:sz w:val="24"/>
              </w:rPr>
            </w:pPr>
            <w:r>
              <w:rPr>
                <w:color w:val="auto"/>
                <w:sz w:val="24"/>
              </w:rPr>
              <w:t>针对可能对地下水、土壤造成影响的各环节，项目厂内不同区域实施分区防治，污染区划分为重点防渗区、一般防渗区和简单防渗区。</w:t>
            </w:r>
          </w:p>
          <w:p>
            <w:pPr>
              <w:spacing w:line="360" w:lineRule="auto"/>
              <w:ind w:firstLine="480" w:firstLineChars="200"/>
              <w:rPr>
                <w:color w:val="auto"/>
                <w:sz w:val="24"/>
              </w:rPr>
            </w:pPr>
            <w:r>
              <w:rPr>
                <w:color w:val="auto"/>
                <w:sz w:val="24"/>
              </w:rPr>
              <w:t>①重点防渗区：主要包括危废暂存间等，要求防渗层为至少1m厚黏土层（渗透系数≤1.0×10</w:t>
            </w:r>
            <w:r>
              <w:rPr>
                <w:color w:val="auto"/>
                <w:sz w:val="24"/>
                <w:vertAlign w:val="superscript"/>
              </w:rPr>
              <w:t>-7</w:t>
            </w:r>
            <w:r>
              <w:rPr>
                <w:color w:val="auto"/>
                <w:sz w:val="24"/>
              </w:rPr>
              <w:t>cm/s），或者2mm厚高密度聚乙烯，或者至少2mm厚的其他人工材料，渗透系数≤1.0×10</w:t>
            </w:r>
            <w:r>
              <w:rPr>
                <w:color w:val="auto"/>
                <w:sz w:val="24"/>
                <w:vertAlign w:val="superscript"/>
              </w:rPr>
              <w:t>-10</w:t>
            </w:r>
            <w:r>
              <w:rPr>
                <w:color w:val="auto"/>
                <w:sz w:val="24"/>
              </w:rPr>
              <w:t>cm/s。</w:t>
            </w:r>
          </w:p>
          <w:p>
            <w:pPr>
              <w:pStyle w:val="78"/>
              <w:ind w:firstLine="480"/>
              <w:jc w:val="both"/>
              <w:rPr>
                <w:color w:val="auto"/>
                <w:sz w:val="24"/>
                <w:szCs w:val="24"/>
              </w:rPr>
            </w:pPr>
            <w:r>
              <w:rPr>
                <w:color w:val="auto"/>
                <w:sz w:val="24"/>
                <w:szCs w:val="24"/>
              </w:rPr>
              <w:t>②一般防渗区：主要包括成品库、原料库、</w:t>
            </w:r>
            <w:r>
              <w:rPr>
                <w:rFonts w:hint="eastAsia"/>
                <w:color w:val="auto"/>
                <w:sz w:val="24"/>
                <w:szCs w:val="24"/>
              </w:rPr>
              <w:t>综合楼</w:t>
            </w:r>
            <w:r>
              <w:rPr>
                <w:color w:val="auto"/>
                <w:sz w:val="24"/>
                <w:szCs w:val="24"/>
              </w:rPr>
              <w:t>、</w:t>
            </w:r>
            <w:r>
              <w:rPr>
                <w:rFonts w:hint="eastAsia"/>
                <w:color w:val="auto"/>
                <w:sz w:val="24"/>
                <w:szCs w:val="24"/>
              </w:rPr>
              <w:t>主车间</w:t>
            </w:r>
            <w:r>
              <w:rPr>
                <w:color w:val="auto"/>
                <w:sz w:val="24"/>
                <w:szCs w:val="24"/>
              </w:rPr>
              <w:t>、一般固废暂存间等，</w:t>
            </w:r>
            <w:r>
              <w:rPr>
                <w:color w:val="auto"/>
                <w:sz w:val="24"/>
              </w:rPr>
              <w:t>可采用改性压实粘土类衬层或具有同等以上隔水效力的其他材料防渗衬层，其防渗性能应至少相当于渗透系数为1.0×10</w:t>
            </w:r>
            <w:r>
              <w:rPr>
                <w:color w:val="auto"/>
                <w:sz w:val="24"/>
                <w:vertAlign w:val="superscript"/>
              </w:rPr>
              <w:t>-5</w:t>
            </w:r>
            <w:r>
              <w:rPr>
                <w:color w:val="auto"/>
                <w:sz w:val="24"/>
              </w:rPr>
              <w:t>cm/s且厚度为0.75m的天然基础层。</w:t>
            </w:r>
          </w:p>
          <w:p>
            <w:pPr>
              <w:pStyle w:val="78"/>
              <w:ind w:firstLine="480"/>
              <w:jc w:val="both"/>
              <w:rPr>
                <w:color w:val="auto"/>
                <w:sz w:val="24"/>
                <w:szCs w:val="24"/>
              </w:rPr>
            </w:pPr>
            <w:r>
              <w:rPr>
                <w:color w:val="auto"/>
                <w:sz w:val="24"/>
                <w:szCs w:val="24"/>
              </w:rPr>
              <w:t>③简单防渗区：主要包括厂区道路等，混凝土硬化的方式进行防渗处理。</w:t>
            </w:r>
          </w:p>
          <w:p>
            <w:pPr>
              <w:pStyle w:val="78"/>
              <w:ind w:firstLine="480"/>
              <w:jc w:val="both"/>
              <w:rPr>
                <w:color w:val="auto"/>
                <w:sz w:val="24"/>
                <w:szCs w:val="24"/>
              </w:rPr>
            </w:pPr>
            <w:r>
              <w:rPr>
                <w:color w:val="auto"/>
                <w:sz w:val="24"/>
                <w:szCs w:val="24"/>
              </w:rPr>
              <w:t>在采取以上分区防渗措施后，可有效预防项目对地下水和土壤污染的发生。同时</w:t>
            </w:r>
            <w:r>
              <w:rPr>
                <w:color w:val="auto"/>
                <w:kern w:val="28"/>
                <w:sz w:val="24"/>
                <w:szCs w:val="24"/>
              </w:rPr>
              <w:t>加强土壤和地下水环境保护队伍建设，由专人负责土壤和地下水污染防治的管理工作。</w:t>
            </w:r>
          </w:p>
          <w:p>
            <w:pPr>
              <w:spacing w:line="360" w:lineRule="auto"/>
              <w:ind w:firstLine="480" w:firstLineChars="200"/>
              <w:rPr>
                <w:color w:val="auto"/>
                <w:sz w:val="24"/>
                <w:szCs w:val="24"/>
              </w:rPr>
            </w:pPr>
            <w:r>
              <w:rPr>
                <w:color w:val="auto"/>
                <w:sz w:val="24"/>
                <w:szCs w:val="24"/>
              </w:rPr>
              <w:t>综上所述，本项目各区域做好分区防渗措施</w:t>
            </w:r>
            <w:r>
              <w:rPr>
                <w:rFonts w:hint="eastAsia"/>
                <w:color w:val="auto"/>
                <w:sz w:val="24"/>
                <w:szCs w:val="24"/>
              </w:rPr>
              <w:t>，</w:t>
            </w:r>
            <w:r>
              <w:rPr>
                <w:color w:val="auto"/>
                <w:kern w:val="28"/>
                <w:sz w:val="24"/>
                <w:szCs w:val="24"/>
              </w:rPr>
              <w:t>对项目</w:t>
            </w:r>
            <w:r>
              <w:rPr>
                <w:rFonts w:hint="eastAsia"/>
                <w:color w:val="auto"/>
                <w:kern w:val="28"/>
                <w:sz w:val="24"/>
                <w:szCs w:val="24"/>
              </w:rPr>
              <w:t>厂区内</w:t>
            </w:r>
            <w:r>
              <w:rPr>
                <w:color w:val="auto"/>
                <w:kern w:val="28"/>
                <w:sz w:val="24"/>
                <w:szCs w:val="24"/>
              </w:rPr>
              <w:t>产生的各污染物进行</w:t>
            </w:r>
            <w:r>
              <w:rPr>
                <w:rFonts w:hint="eastAsia"/>
                <w:color w:val="auto"/>
                <w:kern w:val="28"/>
                <w:sz w:val="24"/>
                <w:szCs w:val="24"/>
              </w:rPr>
              <w:t>分类</w:t>
            </w:r>
            <w:r>
              <w:rPr>
                <w:color w:val="auto"/>
                <w:kern w:val="28"/>
                <w:sz w:val="24"/>
                <w:szCs w:val="24"/>
              </w:rPr>
              <w:t>收集处理，各污染物处理达标后排放。则项目</w:t>
            </w:r>
            <w:r>
              <w:rPr>
                <w:color w:val="auto"/>
                <w:sz w:val="24"/>
                <w:szCs w:val="24"/>
              </w:rPr>
              <w:t>基本</w:t>
            </w:r>
            <w:r>
              <w:rPr>
                <w:rFonts w:hint="eastAsia"/>
                <w:color w:val="auto"/>
                <w:sz w:val="24"/>
                <w:szCs w:val="24"/>
              </w:rPr>
              <w:t>上</w:t>
            </w:r>
            <w:r>
              <w:rPr>
                <w:color w:val="auto"/>
                <w:sz w:val="24"/>
                <w:szCs w:val="24"/>
              </w:rPr>
              <w:t>不会发生泄露导致土壤</w:t>
            </w:r>
            <w:r>
              <w:rPr>
                <w:color w:val="auto"/>
                <w:kern w:val="28"/>
                <w:sz w:val="24"/>
                <w:szCs w:val="24"/>
              </w:rPr>
              <w:t>和地下水</w:t>
            </w:r>
            <w:r>
              <w:rPr>
                <w:color w:val="auto"/>
                <w:sz w:val="24"/>
                <w:szCs w:val="24"/>
              </w:rPr>
              <w:t>污染，对土壤</w:t>
            </w:r>
            <w:r>
              <w:rPr>
                <w:color w:val="auto"/>
                <w:kern w:val="28"/>
                <w:sz w:val="24"/>
                <w:szCs w:val="24"/>
              </w:rPr>
              <w:t>和地下水</w:t>
            </w:r>
            <w:r>
              <w:rPr>
                <w:color w:val="auto"/>
                <w:sz w:val="24"/>
                <w:szCs w:val="24"/>
              </w:rPr>
              <w:t>环境影响较小。</w:t>
            </w:r>
          </w:p>
          <w:p>
            <w:pPr>
              <w:spacing w:line="360" w:lineRule="auto"/>
              <w:ind w:firstLine="482" w:firstLineChars="200"/>
              <w:rPr>
                <w:color w:val="auto"/>
                <w:sz w:val="24"/>
              </w:rPr>
            </w:pPr>
            <w:r>
              <w:rPr>
                <w:b/>
                <w:bCs/>
                <w:color w:val="auto"/>
                <w:sz w:val="24"/>
              </w:rPr>
              <w:t>6、风险评估</w:t>
            </w:r>
          </w:p>
          <w:p>
            <w:pPr>
              <w:spacing w:line="360" w:lineRule="auto"/>
              <w:ind w:firstLine="480" w:firstLineChars="200"/>
              <w:rPr>
                <w:color w:val="auto"/>
                <w:sz w:val="24"/>
              </w:rPr>
            </w:pPr>
            <w:r>
              <w:rPr>
                <w:color w:val="auto"/>
                <w:sz w:val="24"/>
              </w:rPr>
              <w:t>根据《关于进一步加强环境影响评价管理防范环境风险的通知》（环发〔2012〕77号）的要求，新、改、扩建相关建设项目环境影响评价应按照相应技术导则要求，科学预测评价突发事件或事故可能引发的环境风险，提出环境风险防范和应急措施。根据上述要求，按《建设项目环境风险评价技术导则》（HJ/T169-2018），对本项目进行环境风险评价。</w:t>
            </w:r>
          </w:p>
          <w:p>
            <w:pPr>
              <w:spacing w:line="360" w:lineRule="auto"/>
              <w:ind w:firstLine="482" w:firstLineChars="200"/>
              <w:rPr>
                <w:b/>
                <w:bCs/>
                <w:color w:val="auto"/>
                <w:sz w:val="24"/>
              </w:rPr>
            </w:pPr>
            <w:r>
              <w:rPr>
                <w:b/>
                <w:bCs/>
                <w:color w:val="auto"/>
                <w:sz w:val="24"/>
              </w:rPr>
              <w:t>6.1  危险物质和风险源分布情况</w:t>
            </w:r>
          </w:p>
          <w:p>
            <w:pPr>
              <w:pStyle w:val="20"/>
              <w:spacing w:before="0" w:beforeAutospacing="0" w:after="0" w:afterAutospacing="0" w:line="360" w:lineRule="auto"/>
              <w:ind w:firstLine="480" w:firstLineChars="200"/>
              <w:jc w:val="both"/>
              <w:rPr>
                <w:rFonts w:ascii="Times New Roman" w:hAnsi="Times New Roman" w:cs="宋体"/>
                <w:color w:val="auto"/>
              </w:rPr>
            </w:pPr>
            <w:r>
              <w:rPr>
                <w:rFonts w:ascii="Times New Roman" w:hAnsi="Times New Roman" w:cs="宋体"/>
                <w:color w:val="auto"/>
              </w:rPr>
              <w:t>本项目属于</w:t>
            </w:r>
            <w:r>
              <w:rPr>
                <w:rFonts w:hint="eastAsia" w:cs="宋体"/>
                <w:color w:val="auto"/>
              </w:rPr>
              <w:t>“</w:t>
            </w:r>
            <w:r>
              <w:rPr>
                <w:rFonts w:hint="eastAsia" w:ascii="Times New Roman" w:hAnsi="Times New Roman" w:cs="宋体"/>
                <w:color w:val="auto"/>
              </w:rPr>
              <w:t>C1329其他饲料加工</w:t>
            </w:r>
            <w:r>
              <w:rPr>
                <w:rFonts w:hint="eastAsia" w:cs="宋体"/>
                <w:color w:val="auto"/>
              </w:rPr>
              <w:t>”</w:t>
            </w:r>
            <w:r>
              <w:rPr>
                <w:rFonts w:ascii="Times New Roman" w:hAnsi="Times New Roman" w:cs="宋体"/>
                <w:color w:val="auto"/>
              </w:rPr>
              <w:t>，生产工艺较为简单，该项目涉及的危险物质主要为机油。机油及使后的废机油、废机油桶主要储存在危废暂存间内（位于厂</w:t>
            </w:r>
            <w:r>
              <w:rPr>
                <w:rFonts w:hint="eastAsia" w:ascii="Times New Roman" w:hAnsi="Times New Roman" w:cs="宋体"/>
                <w:color w:val="auto"/>
              </w:rPr>
              <w:t>区</w:t>
            </w:r>
            <w:r>
              <w:rPr>
                <w:rFonts w:ascii="Times New Roman" w:hAnsi="Times New Roman" w:cs="宋体"/>
                <w:color w:val="auto"/>
              </w:rPr>
              <w:t>内北侧，建筑面积为20m</w:t>
            </w:r>
            <w:r>
              <w:rPr>
                <w:rFonts w:ascii="Times New Roman" w:hAnsi="Times New Roman" w:cs="宋体"/>
                <w:color w:val="auto"/>
                <w:vertAlign w:val="superscript"/>
              </w:rPr>
              <w:t>2</w:t>
            </w:r>
            <w:r>
              <w:rPr>
                <w:rFonts w:ascii="Times New Roman" w:hAnsi="Times New Roman" w:cs="宋体"/>
                <w:color w:val="auto"/>
              </w:rPr>
              <w:t>），因此风险源位于危废暂存间。</w:t>
            </w:r>
          </w:p>
          <w:p>
            <w:pPr>
              <w:pStyle w:val="2"/>
              <w:ind w:left="0" w:leftChars="0" w:firstLine="482" w:firstLineChars="200"/>
              <w:rPr>
                <w:b/>
                <w:color w:val="auto"/>
              </w:rPr>
            </w:pPr>
            <w:r>
              <w:rPr>
                <w:b/>
                <w:color w:val="auto"/>
              </w:rPr>
              <w:t>6.2  评价等级判定</w:t>
            </w:r>
          </w:p>
          <w:p>
            <w:pPr>
              <w:spacing w:line="360" w:lineRule="auto"/>
              <w:ind w:firstLine="480" w:firstLineChars="200"/>
              <w:rPr>
                <w:color w:val="auto"/>
                <w:sz w:val="24"/>
              </w:rPr>
            </w:pPr>
            <w:r>
              <w:rPr>
                <w:color w:val="auto"/>
                <w:sz w:val="24"/>
              </w:rPr>
              <w:t>根据《建设项目环境风险评价技术导则》（HJ169-2018），进行环境风险评价工作等级的判定。</w:t>
            </w:r>
          </w:p>
          <w:p>
            <w:pPr>
              <w:spacing w:line="360" w:lineRule="auto"/>
              <w:ind w:firstLine="480" w:firstLineChars="200"/>
              <w:rPr>
                <w:color w:val="auto"/>
                <w:sz w:val="24"/>
              </w:rPr>
            </w:pPr>
            <w:r>
              <w:rPr>
                <w:color w:val="auto"/>
                <w:sz w:val="24"/>
              </w:rPr>
              <w:t>（1）危险物质数量及临界量比值（Q）</w:t>
            </w:r>
          </w:p>
          <w:p>
            <w:pPr>
              <w:spacing w:line="360" w:lineRule="auto"/>
              <w:ind w:firstLine="480" w:firstLineChars="200"/>
              <w:rPr>
                <w:color w:val="auto"/>
                <w:sz w:val="24"/>
              </w:rPr>
            </w:pPr>
            <w:r>
              <w:rPr>
                <w:color w:val="auto"/>
                <w:sz w:val="24"/>
              </w:rPr>
              <w:t>依据《建设项目环境风险评价技术导则》（HJ169-2018）计算所涉及的每种危险物质在厂界内的最大存在总量与其在附录B中对应临界量的比值Q。在不同厂区的同一种物质，按其在厂界内的最大存在总量计算。按照根据《建设项目环境风险评价技术导则》（HJ169-2018）附录C，当存在多种危险物质时，Q 按下式进行计算：</w:t>
            </w:r>
          </w:p>
          <w:p>
            <w:pPr>
              <w:spacing w:line="360" w:lineRule="auto"/>
              <w:jc w:val="center"/>
              <w:rPr>
                <w:color w:val="auto"/>
                <w:sz w:val="24"/>
              </w:rPr>
            </w:pPr>
            <w:r>
              <w:rPr>
                <w:color w:val="auto"/>
                <w:position w:val="-30"/>
                <w:sz w:val="24"/>
              </w:rPr>
              <w:object>
                <v:shape id="_x0000_i1027" o:spt="75" type="#_x0000_t75" style="height:33.75pt;width:97.5pt;" o:ole="t" filled="f" o:preferrelative="t" stroked="f" coordsize="21600,21600">
                  <v:path/>
                  <v:fill on="f" focussize="0,0"/>
                  <v:stroke on="f" joinstyle="miter"/>
                  <v:imagedata r:id="rId23" o:title=""/>
                  <o:lock v:ext="edit" aspectratio="t"/>
                  <w10:wrap type="none"/>
                  <w10:anchorlock/>
                </v:shape>
                <o:OLEObject Type="Embed" ProgID="Equation.3" ShapeID="_x0000_i1027" DrawAspect="Content" ObjectID="_1468075727" r:id="rId22">
                  <o:LockedField>false</o:LockedField>
                </o:OLEObject>
              </w:object>
            </w:r>
          </w:p>
          <w:p>
            <w:pPr>
              <w:spacing w:line="360" w:lineRule="auto"/>
              <w:ind w:firstLine="480" w:firstLineChars="200"/>
              <w:rPr>
                <w:color w:val="auto"/>
                <w:sz w:val="24"/>
              </w:rPr>
            </w:pPr>
            <w:r>
              <w:rPr>
                <w:color w:val="auto"/>
                <w:sz w:val="24"/>
              </w:rPr>
              <w:t>式中：q</w:t>
            </w:r>
            <w:r>
              <w:rPr>
                <w:color w:val="auto"/>
                <w:sz w:val="24"/>
                <w:vertAlign w:val="subscript"/>
              </w:rPr>
              <w:t>1</w:t>
            </w:r>
            <w:r>
              <w:rPr>
                <w:color w:val="auto"/>
                <w:sz w:val="24"/>
              </w:rPr>
              <w:t>，q</w:t>
            </w:r>
            <w:r>
              <w:rPr>
                <w:color w:val="auto"/>
                <w:sz w:val="24"/>
                <w:vertAlign w:val="subscript"/>
              </w:rPr>
              <w:t>2</w:t>
            </w:r>
            <w:r>
              <w:rPr>
                <w:color w:val="auto"/>
                <w:sz w:val="24"/>
              </w:rPr>
              <w:t>…q</w:t>
            </w:r>
            <w:r>
              <w:rPr>
                <w:color w:val="auto"/>
                <w:sz w:val="24"/>
                <w:vertAlign w:val="subscript"/>
              </w:rPr>
              <w:t>n</w:t>
            </w:r>
            <w:r>
              <w:rPr>
                <w:color w:val="auto"/>
                <w:sz w:val="24"/>
              </w:rPr>
              <w:t>——每种危险物质的最大存在量，t；</w:t>
            </w:r>
          </w:p>
          <w:p>
            <w:pPr>
              <w:spacing w:line="360" w:lineRule="auto"/>
              <w:ind w:firstLine="1200" w:firstLineChars="500"/>
              <w:rPr>
                <w:color w:val="auto"/>
                <w:sz w:val="24"/>
              </w:rPr>
            </w:pPr>
            <w:r>
              <w:rPr>
                <w:color w:val="auto"/>
                <w:sz w:val="24"/>
              </w:rPr>
              <w:t>Q</w:t>
            </w:r>
            <w:r>
              <w:rPr>
                <w:color w:val="auto"/>
                <w:sz w:val="24"/>
                <w:vertAlign w:val="subscript"/>
              </w:rPr>
              <w:t>1</w:t>
            </w:r>
            <w:r>
              <w:rPr>
                <w:color w:val="auto"/>
                <w:sz w:val="24"/>
              </w:rPr>
              <w:t>，Q</w:t>
            </w:r>
            <w:r>
              <w:rPr>
                <w:color w:val="auto"/>
                <w:sz w:val="24"/>
                <w:vertAlign w:val="subscript"/>
              </w:rPr>
              <w:t>2</w:t>
            </w:r>
            <w:r>
              <w:rPr>
                <w:color w:val="auto"/>
                <w:sz w:val="24"/>
              </w:rPr>
              <w:t>…Q</w:t>
            </w:r>
            <w:r>
              <w:rPr>
                <w:color w:val="auto"/>
                <w:sz w:val="24"/>
                <w:vertAlign w:val="subscript"/>
              </w:rPr>
              <w:t>n</w:t>
            </w:r>
            <w:r>
              <w:rPr>
                <w:color w:val="auto"/>
                <w:sz w:val="24"/>
              </w:rPr>
              <w:t>—每种危险物质的临界量，t。</w:t>
            </w:r>
          </w:p>
          <w:p>
            <w:pPr>
              <w:spacing w:line="360" w:lineRule="auto"/>
              <w:ind w:firstLine="480" w:firstLineChars="200"/>
              <w:rPr>
                <w:color w:val="auto"/>
                <w:sz w:val="24"/>
              </w:rPr>
            </w:pPr>
            <w:r>
              <w:rPr>
                <w:color w:val="auto"/>
                <w:sz w:val="24"/>
              </w:rPr>
              <w:t>当Q＜1时，该项目环境风险潜势为I。</w:t>
            </w:r>
          </w:p>
          <w:p>
            <w:pPr>
              <w:spacing w:line="360" w:lineRule="auto"/>
              <w:ind w:firstLine="480" w:firstLineChars="200"/>
              <w:rPr>
                <w:color w:val="auto"/>
                <w:sz w:val="24"/>
              </w:rPr>
            </w:pPr>
            <w:r>
              <w:rPr>
                <w:color w:val="auto"/>
                <w:sz w:val="24"/>
              </w:rPr>
              <w:t>当Q≥1时，将Q值划分为：(1)1≤Q＜10；(2)10≤Q＜100；(3)Q≥100。</w:t>
            </w:r>
          </w:p>
          <w:p>
            <w:pPr>
              <w:spacing w:line="360" w:lineRule="auto"/>
              <w:ind w:firstLine="480" w:firstLineChars="200"/>
              <w:rPr>
                <w:color w:val="auto"/>
                <w:sz w:val="24"/>
              </w:rPr>
            </w:pPr>
            <w:r>
              <w:rPr>
                <w:color w:val="auto"/>
                <w:sz w:val="24"/>
              </w:rPr>
              <w:t>本项目的涉及的风险物质为机油。根据《建设项目环境风险评价技术导则》（HJ169-2018）附录B及附录C，本项目危险物质数量与临界量比值（Q）计算如下：</w:t>
            </w:r>
          </w:p>
          <w:p>
            <w:pPr>
              <w:spacing w:line="360" w:lineRule="auto"/>
              <w:ind w:firstLine="482" w:firstLineChars="200"/>
              <w:jc w:val="center"/>
              <w:rPr>
                <w:rFonts w:ascii="宋体" w:hAnsi="宋体" w:cs="宋体"/>
                <w:b/>
                <w:bCs/>
                <w:color w:val="auto"/>
              </w:rPr>
            </w:pPr>
            <w:r>
              <w:rPr>
                <w:rFonts w:hint="eastAsia"/>
                <w:b/>
                <w:bCs/>
                <w:color w:val="auto"/>
                <w:sz w:val="24"/>
              </w:rPr>
              <w:t>表4-21  危险物质数量与临界量比值（Q）计算</w:t>
            </w:r>
          </w:p>
          <w:tbl>
            <w:tblPr>
              <w:tblStyle w:val="23"/>
              <w:tblW w:w="82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3"/>
              <w:gridCol w:w="1143"/>
              <w:gridCol w:w="1558"/>
              <w:gridCol w:w="1919"/>
              <w:gridCol w:w="1364"/>
              <w:gridCol w:w="1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57" w:type="pct"/>
                  <w:vAlign w:val="center"/>
                </w:tcPr>
                <w:p>
                  <w:pPr>
                    <w:pStyle w:val="2"/>
                    <w:spacing w:after="0"/>
                    <w:ind w:left="0" w:leftChars="0"/>
                    <w:jc w:val="center"/>
                    <w:rPr>
                      <w:color w:val="auto"/>
                      <w:sz w:val="21"/>
                      <w:szCs w:val="21"/>
                    </w:rPr>
                  </w:pPr>
                  <w:r>
                    <w:rPr>
                      <w:color w:val="auto"/>
                      <w:sz w:val="21"/>
                      <w:szCs w:val="21"/>
                    </w:rPr>
                    <w:t>序号</w:t>
                  </w:r>
                </w:p>
              </w:tc>
              <w:tc>
                <w:tcPr>
                  <w:tcW w:w="693" w:type="pct"/>
                  <w:vAlign w:val="center"/>
                </w:tcPr>
                <w:p>
                  <w:pPr>
                    <w:pStyle w:val="2"/>
                    <w:spacing w:after="0"/>
                    <w:ind w:left="0" w:leftChars="0"/>
                    <w:jc w:val="center"/>
                    <w:rPr>
                      <w:color w:val="auto"/>
                      <w:sz w:val="21"/>
                      <w:szCs w:val="21"/>
                    </w:rPr>
                  </w:pPr>
                  <w:r>
                    <w:rPr>
                      <w:color w:val="auto"/>
                      <w:sz w:val="21"/>
                      <w:szCs w:val="21"/>
                    </w:rPr>
                    <w:t>物质名称</w:t>
                  </w:r>
                </w:p>
              </w:tc>
              <w:tc>
                <w:tcPr>
                  <w:tcW w:w="945" w:type="pct"/>
                  <w:vAlign w:val="center"/>
                </w:tcPr>
                <w:p>
                  <w:pPr>
                    <w:pStyle w:val="2"/>
                    <w:spacing w:after="0"/>
                    <w:ind w:left="0" w:leftChars="0"/>
                    <w:jc w:val="center"/>
                    <w:rPr>
                      <w:color w:val="auto"/>
                      <w:sz w:val="21"/>
                      <w:szCs w:val="21"/>
                    </w:rPr>
                  </w:pPr>
                  <w:r>
                    <w:rPr>
                      <w:color w:val="auto"/>
                      <w:sz w:val="21"/>
                      <w:szCs w:val="21"/>
                    </w:rPr>
                    <w:t>年用量（t/a）</w:t>
                  </w:r>
                </w:p>
              </w:tc>
              <w:tc>
                <w:tcPr>
                  <w:tcW w:w="1165" w:type="pct"/>
                  <w:vAlign w:val="center"/>
                </w:tcPr>
                <w:p>
                  <w:pPr>
                    <w:pStyle w:val="2"/>
                    <w:spacing w:after="0"/>
                    <w:ind w:left="0" w:leftChars="0"/>
                    <w:jc w:val="center"/>
                    <w:rPr>
                      <w:color w:val="auto"/>
                      <w:sz w:val="21"/>
                      <w:szCs w:val="21"/>
                    </w:rPr>
                  </w:pPr>
                  <w:r>
                    <w:rPr>
                      <w:color w:val="auto"/>
                      <w:sz w:val="21"/>
                      <w:szCs w:val="21"/>
                    </w:rPr>
                    <w:t>最大暂存量（t/a）</w:t>
                  </w:r>
                </w:p>
              </w:tc>
              <w:tc>
                <w:tcPr>
                  <w:tcW w:w="828" w:type="pct"/>
                  <w:vAlign w:val="center"/>
                </w:tcPr>
                <w:p>
                  <w:pPr>
                    <w:pStyle w:val="2"/>
                    <w:spacing w:after="0"/>
                    <w:ind w:left="0" w:leftChars="0"/>
                    <w:jc w:val="center"/>
                    <w:rPr>
                      <w:color w:val="auto"/>
                      <w:sz w:val="21"/>
                      <w:szCs w:val="21"/>
                    </w:rPr>
                  </w:pPr>
                  <w:r>
                    <w:rPr>
                      <w:color w:val="auto"/>
                      <w:sz w:val="21"/>
                      <w:szCs w:val="21"/>
                    </w:rPr>
                    <w:t>临界量(t/a)</w:t>
                  </w:r>
                </w:p>
              </w:tc>
              <w:tc>
                <w:tcPr>
                  <w:tcW w:w="710" w:type="pct"/>
                  <w:vAlign w:val="center"/>
                </w:tcPr>
                <w:p>
                  <w:pPr>
                    <w:pStyle w:val="2"/>
                    <w:spacing w:after="0"/>
                    <w:ind w:left="0" w:leftChars="0"/>
                    <w:jc w:val="center"/>
                    <w:rPr>
                      <w:color w:val="auto"/>
                      <w:sz w:val="21"/>
                      <w:szCs w:val="21"/>
                    </w:rPr>
                  </w:pPr>
                  <w:r>
                    <w:rPr>
                      <w:color w:val="auto"/>
                      <w:sz w:val="21"/>
                      <w:szCs w:val="21"/>
                    </w:rPr>
                    <w:t>Q值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57" w:type="pct"/>
                  <w:vAlign w:val="center"/>
                </w:tcPr>
                <w:p>
                  <w:pPr>
                    <w:pStyle w:val="2"/>
                    <w:spacing w:after="0"/>
                    <w:ind w:left="0" w:leftChars="0"/>
                    <w:jc w:val="center"/>
                    <w:rPr>
                      <w:color w:val="auto"/>
                      <w:sz w:val="21"/>
                      <w:szCs w:val="21"/>
                    </w:rPr>
                  </w:pPr>
                  <w:r>
                    <w:rPr>
                      <w:color w:val="auto"/>
                      <w:sz w:val="21"/>
                      <w:szCs w:val="21"/>
                    </w:rPr>
                    <w:t>1</w:t>
                  </w:r>
                </w:p>
              </w:tc>
              <w:tc>
                <w:tcPr>
                  <w:tcW w:w="693" w:type="pct"/>
                  <w:vAlign w:val="center"/>
                </w:tcPr>
                <w:p>
                  <w:pPr>
                    <w:pStyle w:val="2"/>
                    <w:spacing w:after="0"/>
                    <w:ind w:left="0" w:leftChars="0"/>
                    <w:jc w:val="center"/>
                    <w:rPr>
                      <w:color w:val="auto"/>
                      <w:sz w:val="21"/>
                      <w:szCs w:val="21"/>
                    </w:rPr>
                  </w:pPr>
                  <w:r>
                    <w:rPr>
                      <w:color w:val="auto"/>
                      <w:sz w:val="21"/>
                      <w:szCs w:val="21"/>
                    </w:rPr>
                    <w:t>机油</w:t>
                  </w:r>
                </w:p>
              </w:tc>
              <w:tc>
                <w:tcPr>
                  <w:tcW w:w="945" w:type="pct"/>
                  <w:vAlign w:val="center"/>
                </w:tcPr>
                <w:p>
                  <w:pPr>
                    <w:pStyle w:val="2"/>
                    <w:spacing w:after="0"/>
                    <w:ind w:left="0" w:leftChars="0"/>
                    <w:jc w:val="center"/>
                    <w:rPr>
                      <w:rFonts w:hint="default" w:eastAsia="宋体"/>
                      <w:color w:val="auto"/>
                      <w:sz w:val="21"/>
                      <w:szCs w:val="21"/>
                      <w:lang w:val="en-US" w:eastAsia="zh-CN"/>
                    </w:rPr>
                  </w:pPr>
                  <w:r>
                    <w:rPr>
                      <w:rFonts w:hint="eastAsia"/>
                      <w:color w:val="auto"/>
                      <w:sz w:val="21"/>
                      <w:szCs w:val="21"/>
                      <w:lang w:val="en-US" w:eastAsia="zh-CN"/>
                    </w:rPr>
                    <w:t>0.4</w:t>
                  </w:r>
                </w:p>
              </w:tc>
              <w:tc>
                <w:tcPr>
                  <w:tcW w:w="1165" w:type="pct"/>
                  <w:vAlign w:val="center"/>
                </w:tcPr>
                <w:p>
                  <w:pPr>
                    <w:pStyle w:val="2"/>
                    <w:spacing w:after="0"/>
                    <w:ind w:left="0" w:leftChars="0"/>
                    <w:jc w:val="center"/>
                    <w:rPr>
                      <w:color w:val="auto"/>
                      <w:sz w:val="21"/>
                      <w:szCs w:val="21"/>
                    </w:rPr>
                  </w:pPr>
                  <w:r>
                    <w:rPr>
                      <w:color w:val="auto"/>
                      <w:sz w:val="21"/>
                      <w:szCs w:val="21"/>
                    </w:rPr>
                    <w:t>0.</w:t>
                  </w:r>
                  <w:r>
                    <w:rPr>
                      <w:rFonts w:hint="eastAsia"/>
                      <w:color w:val="auto"/>
                      <w:sz w:val="21"/>
                      <w:szCs w:val="21"/>
                    </w:rPr>
                    <w:t>1</w:t>
                  </w:r>
                </w:p>
              </w:tc>
              <w:tc>
                <w:tcPr>
                  <w:tcW w:w="828" w:type="pct"/>
                  <w:vAlign w:val="center"/>
                </w:tcPr>
                <w:p>
                  <w:pPr>
                    <w:pStyle w:val="2"/>
                    <w:spacing w:after="0"/>
                    <w:ind w:left="0" w:leftChars="0"/>
                    <w:jc w:val="center"/>
                    <w:rPr>
                      <w:color w:val="auto"/>
                      <w:sz w:val="21"/>
                      <w:szCs w:val="21"/>
                    </w:rPr>
                  </w:pPr>
                  <w:r>
                    <w:rPr>
                      <w:color w:val="auto"/>
                      <w:sz w:val="21"/>
                      <w:szCs w:val="21"/>
                    </w:rPr>
                    <w:t>2500</w:t>
                  </w:r>
                </w:p>
              </w:tc>
              <w:tc>
                <w:tcPr>
                  <w:tcW w:w="710" w:type="pct"/>
                  <w:vAlign w:val="center"/>
                </w:tcPr>
                <w:p>
                  <w:pPr>
                    <w:pStyle w:val="2"/>
                    <w:spacing w:after="0"/>
                    <w:ind w:left="0" w:leftChars="0"/>
                    <w:jc w:val="center"/>
                    <w:rPr>
                      <w:color w:val="auto"/>
                      <w:sz w:val="21"/>
                      <w:szCs w:val="21"/>
                    </w:rPr>
                  </w:pPr>
                  <w:r>
                    <w:rPr>
                      <w:color w:val="auto"/>
                      <w:sz w:val="21"/>
                      <w:szCs w:val="21"/>
                    </w:rPr>
                    <w:t>0.000</w:t>
                  </w:r>
                  <w:r>
                    <w:rPr>
                      <w:rFonts w:hint="eastAsia"/>
                      <w:color w:val="auto"/>
                      <w:sz w:val="21"/>
                      <w:szCs w:val="21"/>
                    </w:rPr>
                    <w:t>04</w:t>
                  </w:r>
                </w:p>
              </w:tc>
            </w:tr>
          </w:tbl>
          <w:p>
            <w:pPr>
              <w:pStyle w:val="20"/>
              <w:spacing w:before="0" w:beforeAutospacing="0" w:after="0" w:afterAutospacing="0" w:line="360" w:lineRule="auto"/>
              <w:ind w:firstLine="480" w:firstLineChars="200"/>
              <w:rPr>
                <w:rFonts w:ascii="Times New Roman" w:hAnsi="Times New Roman" w:cs="宋体"/>
                <w:color w:val="auto"/>
                <w:kern w:val="2"/>
              </w:rPr>
            </w:pPr>
            <w:r>
              <w:rPr>
                <w:rFonts w:ascii="Times New Roman" w:hAnsi="Times New Roman" w:cs="宋体"/>
                <w:color w:val="auto"/>
                <w:kern w:val="2"/>
              </w:rPr>
              <w:t>综上可知，本项目Q=0.000</w:t>
            </w:r>
            <w:r>
              <w:rPr>
                <w:rFonts w:hint="eastAsia" w:ascii="Times New Roman" w:hAnsi="Times New Roman" w:cs="宋体"/>
                <w:color w:val="auto"/>
                <w:kern w:val="2"/>
              </w:rPr>
              <w:t>04</w:t>
            </w:r>
            <w:r>
              <w:rPr>
                <w:rFonts w:ascii="Times New Roman" w:hAnsi="Times New Roman" w:cs="宋体"/>
                <w:color w:val="auto"/>
                <w:kern w:val="2"/>
              </w:rPr>
              <w:t>&lt;1，该环节风险潜势为I，仅对环境风险进行简单分析。</w:t>
            </w:r>
          </w:p>
          <w:p>
            <w:pPr>
              <w:pStyle w:val="20"/>
              <w:spacing w:before="0" w:beforeAutospacing="0" w:after="0" w:afterAutospacing="0" w:line="360" w:lineRule="auto"/>
              <w:ind w:firstLine="482" w:firstLineChars="200"/>
              <w:rPr>
                <w:rFonts w:ascii="Times New Roman" w:hAnsi="Times New Roman"/>
                <w:b/>
                <w:bCs/>
                <w:color w:val="auto"/>
                <w:kern w:val="2"/>
              </w:rPr>
            </w:pPr>
            <w:r>
              <w:rPr>
                <w:rFonts w:ascii="Times New Roman" w:hAnsi="Times New Roman"/>
                <w:b/>
                <w:bCs/>
                <w:color w:val="auto"/>
                <w:kern w:val="2"/>
              </w:rPr>
              <w:t>6.3环境风险分析</w:t>
            </w:r>
          </w:p>
          <w:p>
            <w:pPr>
              <w:pStyle w:val="20"/>
              <w:spacing w:before="0" w:beforeAutospacing="0" w:after="0" w:afterAutospacing="0" w:line="360" w:lineRule="auto"/>
              <w:ind w:firstLine="480" w:firstLineChars="200"/>
              <w:jc w:val="both"/>
              <w:rPr>
                <w:rFonts w:ascii="Times New Roman" w:hAnsi="Times New Roman" w:cs="宋体"/>
                <w:color w:val="auto"/>
              </w:rPr>
            </w:pPr>
            <w:r>
              <w:rPr>
                <w:rFonts w:ascii="Times New Roman" w:hAnsi="Times New Roman" w:cs="宋体"/>
                <w:color w:val="auto"/>
              </w:rPr>
              <w:t>（1）环境风险识别</w:t>
            </w:r>
          </w:p>
          <w:p>
            <w:pPr>
              <w:pStyle w:val="20"/>
              <w:spacing w:before="0" w:beforeAutospacing="0" w:after="0" w:afterAutospacing="0" w:line="360" w:lineRule="auto"/>
              <w:ind w:firstLine="480" w:firstLineChars="200"/>
              <w:jc w:val="both"/>
              <w:rPr>
                <w:rFonts w:ascii="Times New Roman" w:hAnsi="Times New Roman" w:cs="宋体"/>
                <w:color w:val="auto"/>
              </w:rPr>
            </w:pPr>
            <w:r>
              <w:rPr>
                <w:rFonts w:ascii="Times New Roman" w:hAnsi="Times New Roman" w:cs="宋体"/>
                <w:color w:val="auto"/>
              </w:rPr>
              <w:t>本项目所使用的机油属</w:t>
            </w:r>
            <w:r>
              <w:rPr>
                <w:rFonts w:hint="eastAsia" w:ascii="Times New Roman" w:hAnsi="Times New Roman" w:cs="宋体"/>
                <w:color w:val="auto"/>
              </w:rPr>
              <w:t>于可燃</w:t>
            </w:r>
            <w:r>
              <w:rPr>
                <w:rFonts w:ascii="Times New Roman" w:hAnsi="Times New Roman" w:cs="宋体"/>
                <w:color w:val="auto"/>
              </w:rPr>
              <w:t>物质，遇明火或高热有发生燃烧或火灾的风险。机油及使用后的废机油、废机油桶需要集中收集暂存在危废暂存间内，在贮存、转运过程中可能会发生泄露，从而造成</w:t>
            </w:r>
            <w:r>
              <w:rPr>
                <w:rFonts w:hint="eastAsia" w:ascii="Times New Roman" w:hAnsi="Times New Roman" w:cs="宋体"/>
                <w:color w:val="auto"/>
              </w:rPr>
              <w:t>土壤和地下水</w:t>
            </w:r>
            <w:r>
              <w:rPr>
                <w:rFonts w:ascii="Times New Roman" w:hAnsi="Times New Roman" w:cs="宋体"/>
                <w:color w:val="auto"/>
              </w:rPr>
              <w:t>污染。</w:t>
            </w:r>
          </w:p>
          <w:p>
            <w:pPr>
              <w:pStyle w:val="20"/>
              <w:spacing w:before="0" w:beforeAutospacing="0" w:after="0" w:afterAutospacing="0" w:line="360" w:lineRule="auto"/>
              <w:ind w:firstLine="480" w:firstLineChars="200"/>
              <w:jc w:val="both"/>
              <w:rPr>
                <w:rFonts w:ascii="Times New Roman" w:hAnsi="Times New Roman" w:cs="宋体"/>
                <w:color w:val="auto"/>
                <w:kern w:val="2"/>
              </w:rPr>
            </w:pPr>
            <w:r>
              <w:rPr>
                <w:rFonts w:ascii="Times New Roman" w:hAnsi="Times New Roman" w:cs="宋体"/>
                <w:color w:val="auto"/>
                <w:kern w:val="2"/>
              </w:rPr>
              <w:t>（2）环境风险防范措施</w:t>
            </w:r>
          </w:p>
          <w:p>
            <w:pPr>
              <w:pStyle w:val="20"/>
              <w:spacing w:before="0" w:beforeAutospacing="0" w:after="0" w:afterAutospacing="0" w:line="360" w:lineRule="auto"/>
              <w:ind w:firstLine="480" w:firstLineChars="200"/>
              <w:jc w:val="both"/>
              <w:rPr>
                <w:rFonts w:ascii="Times New Roman" w:hAnsi="Times New Roman" w:cs="宋体"/>
                <w:bCs/>
                <w:color w:val="auto"/>
              </w:rPr>
            </w:pPr>
            <w:r>
              <w:rPr>
                <w:rFonts w:ascii="Times New Roman" w:hAnsi="Times New Roman" w:cs="宋体"/>
                <w:color w:val="auto"/>
                <w:kern w:val="2"/>
              </w:rPr>
              <w:t>①原料贮存过程风险防范：原料在贮存期间定期养护，控制好贮存场所的温度和湿度，做好防火措施；装卸、搬运时应轻装轻卸，注意自我的防护。要严格遵守有关贮存的安全规定，具体包括《仓库起火安全管理规则》、《建筑设计防火规范》、《易燃易爆化学物品消防安全监督管理办法》等。</w:t>
            </w:r>
          </w:p>
          <w:p>
            <w:pPr>
              <w:pStyle w:val="20"/>
              <w:spacing w:before="0" w:beforeAutospacing="0" w:after="0" w:afterAutospacing="0" w:line="360" w:lineRule="auto"/>
              <w:ind w:firstLine="480" w:firstLineChars="200"/>
              <w:jc w:val="both"/>
              <w:rPr>
                <w:rFonts w:ascii="Times New Roman" w:hAnsi="Times New Roman" w:cs="宋体"/>
                <w:color w:val="auto"/>
                <w:kern w:val="2"/>
              </w:rPr>
            </w:pPr>
            <w:r>
              <w:rPr>
                <w:rFonts w:ascii="Times New Roman" w:hAnsi="Times New Roman" w:cs="宋体"/>
                <w:color w:val="auto"/>
                <w:kern w:val="2"/>
              </w:rPr>
              <w:t>②消防、火灾报警系统：根据《建筑设计防火规范》，车间消防耐火等级不低于三级，生产车间的火灾危险性为丙类，凡禁火区均设置明显标志牌；安全出口及安全疏散距离应符合《建筑设计防火规范》（GB 50016-2014）2018修订版要求；各种易燃易爆物料均储存在阴凉、通风处，远离火源；安放易发生爆炸设备的房间，不允许任何人员随便入内，操作全部在控制室进行；安全出口及安全疏散距离应符合《建筑设计防火规范》（GB 50016-2014）2018修订版的要求；消防水是独立的稳高压消防水管网，消防水管道沿装置及辅助生产设施周围布置，在管道上按照规范要求配置消火栓；火灾报警系统：全厂采用电话报警，报警至消防局。</w:t>
            </w:r>
          </w:p>
          <w:p>
            <w:pPr>
              <w:pStyle w:val="20"/>
              <w:spacing w:before="0" w:beforeAutospacing="0" w:after="0" w:afterAutospacing="0" w:line="360" w:lineRule="auto"/>
              <w:ind w:firstLine="480" w:firstLineChars="200"/>
              <w:jc w:val="both"/>
              <w:rPr>
                <w:rFonts w:ascii="Times New Roman" w:hAnsi="Times New Roman" w:cs="宋体"/>
                <w:color w:val="auto"/>
                <w:kern w:val="2"/>
              </w:rPr>
            </w:pPr>
            <w:r>
              <w:rPr>
                <w:rFonts w:ascii="Times New Roman" w:hAnsi="Times New Roman" w:cs="宋体"/>
                <w:color w:val="auto"/>
                <w:kern w:val="2"/>
              </w:rPr>
              <w:t>③火灾和爆炸等防范措施：仓库、堆场、危废暂存间等区域配备防火器材，严禁易燃原料与易燃易爆品混存；厂房内加强通风换气，预留足够的安全距离，同时有利于火灾扑救和人员疏散；严禁吸烟、携带火种，需要提醒人员注意的地点均应按标准设置各种安全标志，车间与库房存放灭火器，一旦发生事故，随时取用灭火；宜用防爆型电气设备，不可接用临时电源；实行安全检查制度，进行各种日常的、定期的、专用的防火安全检查，便于及时发现问题并落实整改；对员工普及烧伤急救知识及防范急救知识，定期进行安全教育和安全生产培训，不断提高员工灭火操作技能和安全生产规程。</w:t>
            </w:r>
          </w:p>
          <w:p>
            <w:pPr>
              <w:pStyle w:val="20"/>
              <w:spacing w:before="0" w:beforeAutospacing="0" w:after="0" w:afterAutospacing="0" w:line="360" w:lineRule="auto"/>
              <w:ind w:firstLine="480" w:firstLineChars="200"/>
              <w:jc w:val="both"/>
              <w:rPr>
                <w:rFonts w:ascii="Times New Roman" w:hAnsi="Times New Roman" w:cs="宋体"/>
                <w:color w:val="auto"/>
                <w:kern w:val="2"/>
              </w:rPr>
            </w:pPr>
            <w:r>
              <w:rPr>
                <w:rFonts w:ascii="Times New Roman" w:hAnsi="Times New Roman" w:cs="宋体"/>
                <w:color w:val="auto"/>
                <w:kern w:val="2"/>
              </w:rPr>
              <w:t>④固体废物事故风险防范措施：在收集过程中要根据固体废物的性质进行收集和临时贮存；厂内应设置专门的一般固废暂存间，以便贮存不能及时送出处理的固废，避免在露天堆放中产生的泄漏、渗透、蒸发、雨水淋溶以及大风吹扬等产生二次污染。危险废物收集后暂存在危废暂存间，地面需进行防渗处理，防止废机油意外泄露对土壤及地下水造成影响；装载容器及容器的材质要满足相应强度要求，并必须完整无损；运输过程中要注意不同的危险废物要单独运输，固废的包装容器要注意密闭，以免在运输途中发生危险废物的泄漏，从而产生二次污染。</w:t>
            </w:r>
          </w:p>
          <w:p>
            <w:pPr>
              <w:pStyle w:val="20"/>
              <w:spacing w:before="0" w:beforeAutospacing="0" w:after="0" w:afterAutospacing="0" w:line="360" w:lineRule="auto"/>
              <w:ind w:firstLine="480" w:firstLineChars="200"/>
              <w:jc w:val="both"/>
              <w:rPr>
                <w:rFonts w:ascii="Times New Roman" w:hAnsi="Times New Roman" w:cs="宋体"/>
                <w:color w:val="auto"/>
                <w:kern w:val="2"/>
              </w:rPr>
            </w:pPr>
            <w:r>
              <w:rPr>
                <w:rFonts w:ascii="Times New Roman" w:hAnsi="Times New Roman" w:cs="宋体"/>
                <w:color w:val="auto"/>
                <w:kern w:val="2"/>
              </w:rPr>
              <w:t>⑤总图布置防范措施：在总平面布置中配套建设应急救援设施、救援通道、应急疏散避难所等防护设施。按《安全标志》规定设置有关的安全标志。</w:t>
            </w:r>
          </w:p>
          <w:p>
            <w:pPr>
              <w:pStyle w:val="20"/>
              <w:spacing w:before="0" w:beforeAutospacing="0" w:after="0" w:afterAutospacing="0" w:line="360" w:lineRule="auto"/>
              <w:ind w:firstLine="480" w:firstLineChars="200"/>
              <w:jc w:val="both"/>
              <w:rPr>
                <w:rFonts w:ascii="Times New Roman" w:hAnsi="Times New Roman" w:cs="宋体"/>
                <w:color w:val="auto"/>
                <w:kern w:val="2"/>
              </w:rPr>
            </w:pPr>
            <w:r>
              <w:rPr>
                <w:rFonts w:ascii="Times New Roman" w:hAnsi="Times New Roman" w:cs="宋体"/>
                <w:color w:val="auto"/>
                <w:kern w:val="2"/>
              </w:rPr>
              <w:t>⑥废气事故应急措施：在日常生产中，必须加强环保设备运作管理，对</w:t>
            </w:r>
            <w:r>
              <w:rPr>
                <w:rFonts w:hint="eastAsia" w:ascii="Times New Roman" w:hAnsi="Times New Roman" w:cs="宋体"/>
                <w:color w:val="auto"/>
                <w:kern w:val="2"/>
              </w:rPr>
              <w:t>除尘器</w:t>
            </w:r>
            <w:r>
              <w:rPr>
                <w:rFonts w:ascii="Times New Roman" w:hAnsi="Times New Roman" w:cs="宋体"/>
                <w:color w:val="auto"/>
                <w:kern w:val="2"/>
              </w:rPr>
              <w:t>处理装置必须定期进行例行检查，以确保在生产过程中对</w:t>
            </w:r>
            <w:r>
              <w:rPr>
                <w:rFonts w:hint="eastAsia" w:ascii="Times New Roman" w:hAnsi="Times New Roman" w:cs="宋体"/>
                <w:color w:val="auto"/>
                <w:kern w:val="2"/>
              </w:rPr>
              <w:t>粉尘</w:t>
            </w:r>
            <w:r>
              <w:rPr>
                <w:rFonts w:ascii="Times New Roman" w:hAnsi="Times New Roman" w:cs="宋体"/>
                <w:color w:val="auto"/>
                <w:kern w:val="2"/>
              </w:rPr>
              <w:t>的收集效率、吸附效率，一旦发生故障应立即停产排查整修后再行生产。此外，还应设置监测采样口，方</w:t>
            </w:r>
            <w:r>
              <w:rPr>
                <w:rFonts w:ascii="Times New Roman" w:hAnsi="Times New Roman" w:cs="宋体"/>
                <w:color w:val="auto"/>
              </w:rPr>
              <w:t>便抽样检测</w:t>
            </w:r>
            <w:r>
              <w:rPr>
                <w:rFonts w:hint="eastAsia" w:ascii="Times New Roman" w:hAnsi="Times New Roman" w:cs="宋体"/>
                <w:color w:val="auto"/>
              </w:rPr>
              <w:t>粉尘</w:t>
            </w:r>
            <w:r>
              <w:rPr>
                <w:rFonts w:ascii="Times New Roman" w:hAnsi="Times New Roman" w:cs="宋体"/>
                <w:color w:val="auto"/>
              </w:rPr>
              <w:t>的产排情况，这样可以较快地发现废气的排放达标与否，一旦发现出现超标排放，即停机进行环保设备维护；根据《固定源废气监测技术规范》(HJ/T397-2007）规定：采样位置应避开对测试人员操作有危险的场所；采样位置应优先选择在垂直管段，应避开烟道弯头和断面急剧变化的部位。采样位置应设置在距弯头、阀门、变径管下游方向不小于6倍直径，和距上述部件上游方向不小于3倍直径处；测试现场空间位置有限，很难满足上述要求时，可选择比较适宜的管段采样，但采样断面与弯头等的距离至少是烟道直径的1.5倍。</w:t>
            </w:r>
          </w:p>
          <w:p>
            <w:pPr>
              <w:spacing w:line="360" w:lineRule="auto"/>
              <w:ind w:firstLine="480" w:firstLineChars="200"/>
              <w:rPr>
                <w:color w:val="auto"/>
                <w:sz w:val="24"/>
              </w:rPr>
            </w:pPr>
            <w:r>
              <w:rPr>
                <w:color w:val="auto"/>
                <w:sz w:val="24"/>
              </w:rPr>
              <w:t>⑦应急预案：根据《中华人民共和国环境保护法》、《中华人民共和国突发事件应对法》、《突发环境事件应急预案管理暂行办法》、《企业事业单位突发环境事件应急预案备案管理办法（试行）》、《安徽省人民政府办公厅关于印发安徽省突发环境事件应急预案的通知》（皖政办秘（2016）32号）等相关法律法规、标准规范的要求，结合《建设项目环境风险评价技术导则》（HJ169-2018）的相关要求，制定本项目突发环境事件应急预案，并报环境保护主管部门备案，组织定期演练。《建设项目环境风险评价技术导则》（HJ169-2018）中突发环境事件应急预案编制要求；按照国家、地方和相关部门要求，提出企业突发环境事件应急预案编制或完善的原则要求，包括预案适用范围、环境事件分类与分级、组织机构与职责、监控和预警、应急响应、应急保障、善后处置、预案管理与演练等内容；明确企业、园区/区域、地方政府环境风险应急体系；企业突发环境应急预案应体现分级响应、区域联动的原则、与地方政府突发环境事件应急预案相衔接，明确分级响应程序；按照环境应急预案，建设单位应定期组织不同类型的环境应急实战演练，提高防范和处置突发环境事件的能力；建设单位应加强环境保护科普宣传教育工作，普及环境污染事件预防常识，增加公众的防范意识；为保障环境应急体系始终处于良好的状态，建设单位应在环境应急能力评价体系中实行自上而下的监督、检查和考核机制。</w:t>
            </w:r>
          </w:p>
          <w:p>
            <w:pPr>
              <w:spacing w:line="360" w:lineRule="auto"/>
              <w:ind w:firstLine="482" w:firstLineChars="200"/>
              <w:rPr>
                <w:b/>
                <w:bCs/>
                <w:color w:val="auto"/>
                <w:sz w:val="24"/>
                <w:szCs w:val="24"/>
              </w:rPr>
            </w:pPr>
            <w:r>
              <w:rPr>
                <w:b/>
                <w:bCs/>
                <w:color w:val="auto"/>
                <w:sz w:val="24"/>
                <w:szCs w:val="24"/>
              </w:rPr>
              <w:t>7、环境管理</w:t>
            </w:r>
          </w:p>
          <w:p>
            <w:pPr>
              <w:spacing w:line="360" w:lineRule="auto"/>
              <w:ind w:firstLine="480" w:firstLineChars="200"/>
              <w:rPr>
                <w:color w:val="auto"/>
                <w:sz w:val="24"/>
                <w:szCs w:val="24"/>
              </w:rPr>
            </w:pPr>
            <w:r>
              <w:rPr>
                <w:color w:val="auto"/>
                <w:sz w:val="24"/>
                <w:szCs w:val="24"/>
              </w:rPr>
              <w:t>（1）环境管理</w:t>
            </w:r>
          </w:p>
          <w:p>
            <w:pPr>
              <w:spacing w:line="360" w:lineRule="auto"/>
              <w:ind w:firstLine="480" w:firstLineChars="200"/>
              <w:rPr>
                <w:color w:val="auto"/>
                <w:sz w:val="24"/>
                <w:szCs w:val="24"/>
              </w:rPr>
            </w:pPr>
            <w:r>
              <w:rPr>
                <w:color w:val="auto"/>
                <w:sz w:val="24"/>
                <w:szCs w:val="24"/>
              </w:rPr>
              <w:t>①环境管理机构</w:t>
            </w:r>
          </w:p>
          <w:p>
            <w:pPr>
              <w:spacing w:line="360" w:lineRule="auto"/>
              <w:ind w:firstLine="480" w:firstLineChars="200"/>
              <w:rPr>
                <w:color w:val="auto"/>
                <w:sz w:val="24"/>
                <w:szCs w:val="24"/>
              </w:rPr>
            </w:pPr>
            <w:r>
              <w:rPr>
                <w:color w:val="auto"/>
                <w:sz w:val="24"/>
                <w:szCs w:val="24"/>
              </w:rPr>
              <w:t>根据我国有关环保法规的规定，企业内应设置环境保护管理机构，配备专职人员和必要的监测仪器。其基本任务是负责企业的环境管理、环境监测和事故应急处理。并逐步完善环境管理制度，以便使环境管理工作走上正规化、科学化的轨道。专职管理人员的主要职责是：</w:t>
            </w:r>
          </w:p>
          <w:p>
            <w:pPr>
              <w:spacing w:line="360" w:lineRule="auto"/>
              <w:ind w:firstLine="480" w:firstLineChars="200"/>
              <w:rPr>
                <w:color w:val="auto"/>
                <w:sz w:val="24"/>
                <w:szCs w:val="24"/>
              </w:rPr>
            </w:pPr>
            <w:r>
              <w:rPr>
                <w:color w:val="auto"/>
                <w:sz w:val="24"/>
                <w:szCs w:val="24"/>
              </w:rPr>
              <w:t>a.贯彻执行环境保护法规和标准；</w:t>
            </w:r>
          </w:p>
          <w:p>
            <w:pPr>
              <w:spacing w:line="360" w:lineRule="auto"/>
              <w:ind w:firstLine="480" w:firstLineChars="200"/>
              <w:rPr>
                <w:color w:val="auto"/>
                <w:sz w:val="24"/>
                <w:szCs w:val="24"/>
              </w:rPr>
            </w:pPr>
            <w:r>
              <w:rPr>
                <w:color w:val="auto"/>
                <w:sz w:val="24"/>
                <w:szCs w:val="24"/>
              </w:rPr>
              <w:t>b.组织制定和修改企业的日常环境管理制度并负责监督执行；</w:t>
            </w:r>
          </w:p>
          <w:p>
            <w:pPr>
              <w:spacing w:line="360" w:lineRule="auto"/>
              <w:ind w:firstLine="480" w:firstLineChars="200"/>
              <w:rPr>
                <w:color w:val="auto"/>
                <w:sz w:val="24"/>
                <w:szCs w:val="24"/>
              </w:rPr>
            </w:pPr>
            <w:r>
              <w:rPr>
                <w:color w:val="auto"/>
                <w:sz w:val="24"/>
                <w:szCs w:val="24"/>
              </w:rPr>
              <w:t>c.制定并组织实施企业环境保护规划和计划；</w:t>
            </w:r>
          </w:p>
          <w:p>
            <w:pPr>
              <w:spacing w:line="360" w:lineRule="auto"/>
              <w:ind w:firstLine="480" w:firstLineChars="200"/>
              <w:rPr>
                <w:color w:val="auto"/>
                <w:sz w:val="24"/>
                <w:szCs w:val="24"/>
              </w:rPr>
            </w:pPr>
            <w:r>
              <w:rPr>
                <w:color w:val="auto"/>
                <w:sz w:val="24"/>
                <w:szCs w:val="24"/>
              </w:rPr>
              <w:t>d.开展企业日常的环境监测工作、负责整理和统计企业污染源资料、日常监测资料，并及时上报地方生态环境部门；</w:t>
            </w:r>
          </w:p>
          <w:p>
            <w:pPr>
              <w:spacing w:line="360" w:lineRule="auto"/>
              <w:ind w:firstLine="480" w:firstLineChars="200"/>
              <w:rPr>
                <w:color w:val="auto"/>
                <w:sz w:val="24"/>
                <w:szCs w:val="24"/>
              </w:rPr>
            </w:pPr>
            <w:r>
              <w:rPr>
                <w:color w:val="auto"/>
                <w:sz w:val="24"/>
                <w:szCs w:val="24"/>
              </w:rPr>
              <w:t>e.检查企业环境保护设施的运行情况；</w:t>
            </w:r>
          </w:p>
          <w:p>
            <w:pPr>
              <w:spacing w:line="360" w:lineRule="auto"/>
              <w:ind w:firstLine="480" w:firstLineChars="200"/>
              <w:rPr>
                <w:color w:val="auto"/>
                <w:sz w:val="24"/>
                <w:szCs w:val="24"/>
              </w:rPr>
            </w:pPr>
            <w:r>
              <w:rPr>
                <w:color w:val="auto"/>
                <w:sz w:val="24"/>
                <w:szCs w:val="24"/>
              </w:rPr>
              <w:t>f.做好污染物产排、环保设施运行等环境管理台账；</w:t>
            </w:r>
          </w:p>
          <w:p>
            <w:pPr>
              <w:spacing w:line="360" w:lineRule="auto"/>
              <w:ind w:firstLine="480" w:firstLineChars="200"/>
              <w:rPr>
                <w:color w:val="auto"/>
                <w:sz w:val="24"/>
                <w:szCs w:val="24"/>
              </w:rPr>
            </w:pPr>
            <w:r>
              <w:rPr>
                <w:color w:val="auto"/>
                <w:sz w:val="24"/>
                <w:szCs w:val="24"/>
              </w:rPr>
              <w:t>g.落实企业污染物排放许可。加强对污染治理设施、治理效果以及治理后的污染物排放状况的监测检查；</w:t>
            </w:r>
          </w:p>
          <w:p>
            <w:pPr>
              <w:spacing w:line="360" w:lineRule="auto"/>
              <w:ind w:firstLine="480" w:firstLineChars="200"/>
              <w:rPr>
                <w:color w:val="auto"/>
                <w:sz w:val="24"/>
                <w:szCs w:val="24"/>
              </w:rPr>
            </w:pPr>
            <w:r>
              <w:rPr>
                <w:color w:val="auto"/>
                <w:sz w:val="24"/>
                <w:szCs w:val="24"/>
              </w:rPr>
              <w:t>h.组织开展企业的环保宣传工作及环保专业技术培训，用以提高全体员工环境保护意识及素质水平。</w:t>
            </w:r>
          </w:p>
          <w:p>
            <w:pPr>
              <w:spacing w:line="360" w:lineRule="auto"/>
              <w:ind w:firstLine="480" w:firstLineChars="200"/>
              <w:rPr>
                <w:color w:val="auto"/>
                <w:sz w:val="24"/>
                <w:szCs w:val="24"/>
              </w:rPr>
            </w:pPr>
            <w:r>
              <w:rPr>
                <w:color w:val="auto"/>
                <w:sz w:val="24"/>
                <w:szCs w:val="24"/>
              </w:rPr>
              <w:t>②环保管理制度的建立</w:t>
            </w:r>
          </w:p>
          <w:p>
            <w:pPr>
              <w:spacing w:line="360" w:lineRule="auto"/>
              <w:ind w:firstLine="480" w:firstLineChars="200"/>
              <w:rPr>
                <w:color w:val="auto"/>
                <w:sz w:val="24"/>
                <w:szCs w:val="24"/>
              </w:rPr>
            </w:pPr>
            <w:r>
              <w:rPr>
                <w:color w:val="auto"/>
                <w:sz w:val="24"/>
                <w:szCs w:val="24"/>
              </w:rPr>
              <w:t>企业应建立健全环境管理制度体系，将环保纳入考核体系，确保在日常运行中将环保目标落实到实处。</w:t>
            </w:r>
          </w:p>
          <w:p>
            <w:pPr>
              <w:spacing w:line="360" w:lineRule="auto"/>
              <w:ind w:firstLine="480" w:firstLineChars="200"/>
              <w:rPr>
                <w:color w:val="auto"/>
                <w:sz w:val="24"/>
                <w:szCs w:val="24"/>
              </w:rPr>
            </w:pPr>
            <w:r>
              <w:rPr>
                <w:color w:val="auto"/>
                <w:sz w:val="24"/>
                <w:szCs w:val="24"/>
              </w:rPr>
              <w:t>a</w:t>
            </w:r>
            <w:r>
              <w:rPr>
                <w:rFonts w:hint="eastAsia" w:ascii="宋体" w:hAnsi="宋体" w:cs="宋体"/>
                <w:color w:val="auto"/>
                <w:sz w:val="24"/>
                <w:szCs w:val="24"/>
              </w:rPr>
              <w:t>.“三同时”</w:t>
            </w:r>
            <w:r>
              <w:rPr>
                <w:color w:val="auto"/>
                <w:sz w:val="24"/>
                <w:szCs w:val="24"/>
              </w:rPr>
              <w:t>制度</w:t>
            </w:r>
          </w:p>
          <w:p>
            <w:pPr>
              <w:spacing w:line="360" w:lineRule="auto"/>
              <w:ind w:firstLine="480" w:firstLineChars="200"/>
              <w:rPr>
                <w:color w:val="auto"/>
                <w:sz w:val="24"/>
                <w:szCs w:val="24"/>
              </w:rPr>
            </w:pPr>
            <w:r>
              <w:rPr>
                <w:color w:val="auto"/>
                <w:sz w:val="24"/>
                <w:szCs w:val="24"/>
              </w:rPr>
              <w:t>根据《建设项目环境保护管理条例》，建设项目需要配套建设的环境保护设施，必须与主体工程同时设计、同时施工、同时投产使用。项目竣工后，建设单位应当按照国务院环境保护行政主管部门规定的标准和程序，对配套建设的环境保护设施进行验收，编制验收报告。建设单位在环境保护设施验收过程中，应当如实查验、监测、记载建设项目环境保护设施的建设和调试情况，不得弄虚作假，验收报告应依法向社会公开。本项目配套建设的环境保护设施经验收合格，方可投入生产或者使用。</w:t>
            </w:r>
          </w:p>
          <w:p>
            <w:pPr>
              <w:spacing w:line="360" w:lineRule="auto"/>
              <w:ind w:firstLine="480" w:firstLineChars="200"/>
              <w:rPr>
                <w:color w:val="auto"/>
                <w:sz w:val="24"/>
                <w:szCs w:val="24"/>
              </w:rPr>
            </w:pPr>
            <w:r>
              <w:rPr>
                <w:color w:val="auto"/>
                <w:sz w:val="24"/>
                <w:szCs w:val="24"/>
              </w:rPr>
              <w:t>b.排污许可证制度</w:t>
            </w:r>
          </w:p>
          <w:p>
            <w:pPr>
              <w:spacing w:line="360" w:lineRule="auto"/>
              <w:ind w:firstLine="480" w:firstLineChars="200"/>
              <w:rPr>
                <w:color w:val="auto"/>
                <w:sz w:val="24"/>
                <w:szCs w:val="24"/>
              </w:rPr>
            </w:pPr>
            <w:r>
              <w:rPr>
                <w:color w:val="auto"/>
                <w:sz w:val="24"/>
                <w:szCs w:val="24"/>
              </w:rPr>
              <w:t>根据《排污许可管理办法（试行）》（环境保护部令48号）的要求，排污单位应当依法持有排污许可证，并按照排污许可证的规定排放污染物；纳入固定污染源排污许可分类管理名录的企业事业单位和其他生产经营者（以下简称排污单位）应当按照规定的时限申请并取得排污许可证；未纳入固定污染源排污许可分类管理名录的排污单位，暂不需申请排污许可证。</w:t>
            </w:r>
          </w:p>
          <w:p>
            <w:pPr>
              <w:spacing w:line="360" w:lineRule="auto"/>
              <w:ind w:firstLine="480" w:firstLineChars="200"/>
              <w:rPr>
                <w:color w:val="auto"/>
                <w:sz w:val="24"/>
                <w:szCs w:val="24"/>
              </w:rPr>
            </w:pPr>
            <w:r>
              <w:rPr>
                <w:color w:val="auto"/>
                <w:sz w:val="24"/>
                <w:szCs w:val="24"/>
              </w:rPr>
              <w:t>根据《固定污染源排污许可分类管理名录（2019年版）》，国家根据排放污染物的企业事业单位和其他生产经营者（以下简称排污单位）污染物产生量、排放量、对环境的影响程度等因素，实行排污许可重点管理、简化管理和登记管理。本项目属于</w:t>
            </w:r>
            <w:r>
              <w:rPr>
                <w:rFonts w:hint="eastAsia"/>
                <w:color w:val="auto"/>
                <w:sz w:val="24"/>
                <w:szCs w:val="24"/>
              </w:rPr>
              <w:t>“C1329其他饲料加工”</w:t>
            </w:r>
            <w:r>
              <w:rPr>
                <w:color w:val="auto"/>
                <w:sz w:val="24"/>
              </w:rPr>
              <w:t>，经查阅《固定污染源排污许可分类管理名录（2019年版）》可知，项目</w:t>
            </w:r>
            <w:r>
              <w:rPr>
                <w:rFonts w:hint="eastAsia"/>
                <w:color w:val="auto"/>
                <w:sz w:val="24"/>
              </w:rPr>
              <w:t>无发酵工艺，</w:t>
            </w:r>
            <w:r>
              <w:rPr>
                <w:color w:val="auto"/>
                <w:sz w:val="24"/>
              </w:rPr>
              <w:t>属于</w:t>
            </w:r>
            <w:r>
              <w:rPr>
                <w:rFonts w:hint="eastAsia" w:ascii="宋体" w:hAnsi="宋体" w:cs="宋体"/>
                <w:color w:val="auto"/>
                <w:sz w:val="24"/>
              </w:rPr>
              <w:t>“</w:t>
            </w:r>
            <w:r>
              <w:rPr>
                <w:color w:val="auto"/>
                <w:sz w:val="24"/>
                <w:szCs w:val="24"/>
              </w:rPr>
              <w:t>登记</w:t>
            </w:r>
            <w:r>
              <w:rPr>
                <w:color w:val="auto"/>
                <w:sz w:val="24"/>
              </w:rPr>
              <w:t>管理</w:t>
            </w:r>
            <w:r>
              <w:rPr>
                <w:rFonts w:hint="eastAsia" w:ascii="宋体" w:hAnsi="宋体" w:cs="宋体"/>
                <w:color w:val="auto"/>
                <w:sz w:val="24"/>
              </w:rPr>
              <w:t>”</w:t>
            </w:r>
            <w:r>
              <w:rPr>
                <w:color w:val="auto"/>
                <w:sz w:val="24"/>
              </w:rPr>
              <w:t>。</w:t>
            </w:r>
            <w:r>
              <w:rPr>
                <w:color w:val="auto"/>
                <w:sz w:val="24"/>
                <w:szCs w:val="24"/>
              </w:rPr>
              <w:t>应当在启动生产设备或者发生实际排污之前按《排污许可证申请与核发技术规范 总则》（HJ942-2018）中的要求申请排污许可证。</w:t>
            </w:r>
          </w:p>
          <w:p>
            <w:pPr>
              <w:spacing w:line="360" w:lineRule="auto"/>
              <w:ind w:firstLine="480" w:firstLineChars="200"/>
              <w:rPr>
                <w:color w:val="auto"/>
                <w:sz w:val="24"/>
                <w:szCs w:val="24"/>
              </w:rPr>
            </w:pPr>
            <w:r>
              <w:rPr>
                <w:color w:val="auto"/>
                <w:sz w:val="24"/>
                <w:szCs w:val="24"/>
              </w:rPr>
              <w:t>c.环保台账制度</w:t>
            </w:r>
          </w:p>
          <w:p>
            <w:pPr>
              <w:spacing w:line="360" w:lineRule="auto"/>
              <w:ind w:firstLine="480" w:firstLineChars="200"/>
              <w:rPr>
                <w:color w:val="auto"/>
                <w:sz w:val="24"/>
                <w:szCs w:val="24"/>
              </w:rPr>
            </w:pPr>
            <w:r>
              <w:rPr>
                <w:color w:val="auto"/>
                <w:sz w:val="24"/>
                <w:szCs w:val="24"/>
              </w:rPr>
              <w:t>厂内需完善记录制度和档案保存制度，有利于环境管理质量的追踪和持续改进；记录和台帐包括设施运行和维护记录、危险废物进出台帐、废水、废气污染物监测台帐、突发性事件的处理、调查记录等，妥善保存所有记录、台帐及污染物排放监测资料、环境管理档案资料等。</w:t>
            </w:r>
          </w:p>
          <w:p>
            <w:pPr>
              <w:spacing w:line="360" w:lineRule="auto"/>
              <w:ind w:firstLine="480" w:firstLineChars="200"/>
              <w:rPr>
                <w:color w:val="auto"/>
                <w:sz w:val="24"/>
                <w:szCs w:val="24"/>
              </w:rPr>
            </w:pPr>
            <w:r>
              <w:rPr>
                <w:color w:val="auto"/>
                <w:sz w:val="24"/>
                <w:szCs w:val="24"/>
              </w:rPr>
              <w:t>d.污染治理设施管理制度</w:t>
            </w:r>
          </w:p>
          <w:p>
            <w:pPr>
              <w:spacing w:line="360" w:lineRule="auto"/>
              <w:ind w:firstLine="480" w:firstLineChars="200"/>
              <w:rPr>
                <w:color w:val="auto"/>
                <w:sz w:val="24"/>
                <w:szCs w:val="24"/>
              </w:rPr>
            </w:pPr>
            <w:r>
              <w:rPr>
                <w:color w:val="auto"/>
                <w:sz w:val="24"/>
                <w:szCs w:val="24"/>
              </w:rPr>
              <w:t>项目建成后，必须确保污染处理设施长期、稳定、有效地运行，不得擅自拆除或者闲置污染处理设施，不得故意不正常使用污染处理设施。污染处理设施的管理必须与生产经营活动一起纳入单位日常管理工作的范畴，落实责任人、操作人员、维修人员、运行经费、设备的备品备件、化学药剂和其他原辅材料。同时要建立岗位责任制、制定操作规程、建立管理台帐。</w:t>
            </w:r>
          </w:p>
          <w:p>
            <w:pPr>
              <w:spacing w:line="360" w:lineRule="auto"/>
              <w:ind w:firstLine="480" w:firstLineChars="200"/>
              <w:rPr>
                <w:color w:val="auto"/>
                <w:sz w:val="24"/>
                <w:szCs w:val="24"/>
              </w:rPr>
            </w:pPr>
            <w:r>
              <w:rPr>
                <w:color w:val="auto"/>
                <w:sz w:val="24"/>
                <w:szCs w:val="24"/>
              </w:rPr>
              <w:t>e.固体废物环境保护制度</w:t>
            </w:r>
          </w:p>
          <w:p>
            <w:pPr>
              <w:spacing w:line="360" w:lineRule="auto"/>
              <w:ind w:firstLine="480" w:firstLineChars="200"/>
              <w:rPr>
                <w:color w:val="auto"/>
                <w:sz w:val="24"/>
                <w:szCs w:val="24"/>
              </w:rPr>
            </w:pPr>
            <w:r>
              <w:rPr>
                <w:color w:val="auto"/>
                <w:sz w:val="24"/>
                <w:szCs w:val="24"/>
              </w:rPr>
              <w:t>建设单位应通过</w:t>
            </w:r>
            <w:r>
              <w:rPr>
                <w:rFonts w:hint="eastAsia" w:ascii="宋体" w:hAnsi="宋体" w:cs="宋体"/>
                <w:color w:val="auto"/>
                <w:sz w:val="24"/>
                <w:szCs w:val="24"/>
              </w:rPr>
              <w:t>“</w:t>
            </w:r>
            <w:r>
              <w:rPr>
                <w:color w:val="auto"/>
                <w:sz w:val="24"/>
                <w:szCs w:val="24"/>
              </w:rPr>
              <w:t>安徽省危险废物动态管理信息系统</w:t>
            </w:r>
            <w:r>
              <w:rPr>
                <w:rFonts w:hint="eastAsia" w:ascii="宋体" w:hAnsi="宋体" w:cs="宋体"/>
                <w:color w:val="auto"/>
                <w:sz w:val="24"/>
                <w:szCs w:val="24"/>
              </w:rPr>
              <w:t>”</w:t>
            </w:r>
            <w:r>
              <w:rPr>
                <w:color w:val="auto"/>
                <w:sz w:val="24"/>
                <w:szCs w:val="24"/>
              </w:rPr>
              <w:t>进行危险废物申报登记。将危险废物的实际产生、贮存、利用、处置等情况纳入生产记录，建立危险废物管理台账和企业内部产生和收集、贮存、转移等部门危险废物交接制度。明确建设单位为固体废物污染防治的责任主体，要求企业建立风险管理及应急救援体系，执行环境监测计划、转移联单管理制度及国家和省有关转移管理的相关规定、处置过程安全操作规程、人员培训考核制度、档案管理制度、处置全过程管理制度等。</w:t>
            </w:r>
          </w:p>
          <w:p>
            <w:pPr>
              <w:spacing w:line="360" w:lineRule="auto"/>
              <w:ind w:firstLine="480" w:firstLineChars="200"/>
              <w:rPr>
                <w:color w:val="auto"/>
                <w:sz w:val="24"/>
                <w:szCs w:val="24"/>
              </w:rPr>
            </w:pPr>
            <w:r>
              <w:rPr>
                <w:color w:val="auto"/>
                <w:sz w:val="24"/>
                <w:szCs w:val="24"/>
              </w:rPr>
              <w:t>f.报告制度</w:t>
            </w:r>
          </w:p>
          <w:p>
            <w:pPr>
              <w:spacing w:line="360" w:lineRule="auto"/>
              <w:ind w:firstLine="480" w:firstLineChars="200"/>
              <w:rPr>
                <w:color w:val="auto"/>
                <w:sz w:val="24"/>
                <w:szCs w:val="24"/>
              </w:rPr>
            </w:pPr>
            <w:r>
              <w:rPr>
                <w:color w:val="auto"/>
                <w:sz w:val="24"/>
                <w:szCs w:val="24"/>
              </w:rPr>
              <w:t>执行月报制度。月报内容主要为污染治理设施的运行情况、污染物排放情况以及污染事故或污染纠纷等。厂内环境保护相关的所有记录、台帐及污染物排放监测资料、环境管理档案资料等应妥善保存并定期上报，发现污染因子超标，要在监测数据出来后以书面形式上报公司管理层，快速果断采取应对措施。</w:t>
            </w:r>
          </w:p>
          <w:p>
            <w:pPr>
              <w:spacing w:line="360" w:lineRule="auto"/>
              <w:rPr>
                <w:color w:val="auto"/>
                <w:sz w:val="24"/>
                <w:szCs w:val="24"/>
              </w:rPr>
            </w:pPr>
            <w:r>
              <w:rPr>
                <w:color w:val="auto"/>
                <w:sz w:val="24"/>
                <w:szCs w:val="24"/>
              </w:rPr>
              <w:t>建设单位应定期向当地政府生态环境部门报告污染治理设施运行情况、污染物</w:t>
            </w:r>
          </w:p>
          <w:p>
            <w:pPr>
              <w:spacing w:line="360" w:lineRule="auto"/>
              <w:rPr>
                <w:color w:val="auto"/>
                <w:sz w:val="24"/>
                <w:szCs w:val="24"/>
              </w:rPr>
            </w:pPr>
            <w:r>
              <w:rPr>
                <w:color w:val="auto"/>
                <w:sz w:val="24"/>
                <w:szCs w:val="24"/>
              </w:rPr>
              <w:t>排放情况以及污染事故、污染纠纷等情况，便于生态环境部门和企业管理人员及时了解企业污染动态，利于采取相应的对策措施。本项目的性质、规模、地点、生产工艺和环境保护措施等发生变动的，必须向生态环境部门报告，并履行相关手续，如发生重大变动并且可能导致环境影响显著变化（特别是不利环境影响加重）的，应当重新报批环评。</w:t>
            </w:r>
          </w:p>
          <w:p>
            <w:pPr>
              <w:spacing w:line="360" w:lineRule="auto"/>
              <w:ind w:firstLine="480" w:firstLineChars="200"/>
              <w:rPr>
                <w:color w:val="auto"/>
                <w:sz w:val="24"/>
                <w:szCs w:val="24"/>
              </w:rPr>
            </w:pPr>
            <w:r>
              <w:rPr>
                <w:color w:val="auto"/>
                <w:sz w:val="24"/>
                <w:szCs w:val="24"/>
              </w:rPr>
              <w:t>按《建设项目环境保护管理条例》中第二十条和第二十三条规定，本项目在正式投产前，应向负责审批的生态环境部门提交</w:t>
            </w:r>
            <w:r>
              <w:rPr>
                <w:rFonts w:hint="eastAsia" w:ascii="宋体" w:hAnsi="宋体" w:cs="宋体"/>
                <w:color w:val="auto"/>
                <w:sz w:val="24"/>
                <w:szCs w:val="24"/>
              </w:rPr>
              <w:t>“环境保护设施竣工验收报告”</w:t>
            </w:r>
            <w:r>
              <w:rPr>
                <w:color w:val="auto"/>
                <w:sz w:val="24"/>
                <w:szCs w:val="24"/>
              </w:rPr>
              <w:t>，经验收合格后方可投产。</w:t>
            </w:r>
          </w:p>
          <w:p>
            <w:pPr>
              <w:spacing w:line="360" w:lineRule="auto"/>
              <w:ind w:firstLine="480" w:firstLineChars="200"/>
              <w:rPr>
                <w:color w:val="auto"/>
                <w:sz w:val="24"/>
                <w:szCs w:val="24"/>
              </w:rPr>
            </w:pPr>
            <w:r>
              <w:rPr>
                <w:color w:val="auto"/>
                <w:sz w:val="24"/>
                <w:szCs w:val="24"/>
              </w:rPr>
              <w:t>g.环保奖惩制度</w:t>
            </w:r>
          </w:p>
          <w:p>
            <w:pPr>
              <w:spacing w:line="360" w:lineRule="auto"/>
              <w:ind w:firstLine="480" w:firstLineChars="200"/>
              <w:rPr>
                <w:color w:val="auto"/>
                <w:sz w:val="24"/>
                <w:szCs w:val="24"/>
              </w:rPr>
            </w:pPr>
            <w:r>
              <w:rPr>
                <w:color w:val="auto"/>
                <w:sz w:val="24"/>
                <w:szCs w:val="24"/>
              </w:rPr>
              <w:t>企业应加强宣传教育，提高员工的污染隐患意识和环境风险意识；制定员工参与环保技术培训的计划，提高员工技术素质水平；设立岗位实责制，制定严格的奖、罚制度。建议企业设置环境保护奖励条例，纳入人员考核体系。对爱护环保设施、节能降耗、改善环境者实行奖励；对环保观念淡薄、不按环保管理要求，造成环保设施损坏、环境污染及资源和能源浪费者一律处以重罚。</w:t>
            </w:r>
          </w:p>
          <w:p>
            <w:pPr>
              <w:spacing w:line="360" w:lineRule="auto"/>
              <w:ind w:firstLine="480" w:firstLineChars="200"/>
              <w:rPr>
                <w:color w:val="auto"/>
                <w:sz w:val="24"/>
                <w:szCs w:val="24"/>
              </w:rPr>
            </w:pPr>
            <w:r>
              <w:rPr>
                <w:color w:val="auto"/>
                <w:sz w:val="24"/>
                <w:szCs w:val="24"/>
              </w:rPr>
              <w:t>h.信息公开制度</w:t>
            </w:r>
          </w:p>
          <w:p>
            <w:pPr>
              <w:spacing w:line="360" w:lineRule="auto"/>
              <w:ind w:firstLine="480" w:firstLineChars="200"/>
              <w:rPr>
                <w:color w:val="auto"/>
                <w:sz w:val="24"/>
                <w:szCs w:val="24"/>
              </w:rPr>
            </w:pPr>
            <w:r>
              <w:rPr>
                <w:color w:val="auto"/>
                <w:sz w:val="24"/>
                <w:szCs w:val="24"/>
              </w:rPr>
              <w:t>建设单位在环评编制、审批、排污许可证申请、竣工环保验收、正常运行等各阶段均应按照有关要求，通过网站或者其他便于公众知悉的方式，依法向社会公开本项目污染物排放清单，明确污染物排放的管理要求。包括工程组成及原辅材料组分要求，建设项目拟采取的环境保护措施及主要运行参数，排放的污染物种类、排放浓度和总量指标，排污口信息，执行的环境标准，环境风险防范措施以及环境监测等相关内容。</w:t>
            </w:r>
          </w:p>
          <w:p>
            <w:pPr>
              <w:spacing w:line="360" w:lineRule="auto"/>
              <w:ind w:firstLine="480" w:firstLineChars="200"/>
              <w:rPr>
                <w:color w:val="auto"/>
                <w:sz w:val="24"/>
                <w:szCs w:val="24"/>
              </w:rPr>
            </w:pPr>
            <w:r>
              <w:rPr>
                <w:color w:val="auto"/>
                <w:sz w:val="24"/>
                <w:szCs w:val="24"/>
              </w:rPr>
              <w:t>③营运期环境管理</w:t>
            </w:r>
          </w:p>
          <w:p>
            <w:pPr>
              <w:spacing w:line="360" w:lineRule="auto"/>
              <w:ind w:firstLine="480" w:firstLineChars="200"/>
              <w:rPr>
                <w:color w:val="auto"/>
                <w:sz w:val="24"/>
                <w:szCs w:val="24"/>
              </w:rPr>
            </w:pPr>
            <w:r>
              <w:rPr>
                <w:color w:val="auto"/>
                <w:sz w:val="24"/>
                <w:szCs w:val="24"/>
              </w:rPr>
              <w:t>本项目建成后，将对周围环境产生一定的影响，因此建设单位应在加强环境管理的同时，定期进行环境监测，以便及时了解本项目对环境造成影响的情况，并采取相应措施，消除不利因素，减轻环境污染，使各项环保措施落到实处，以期达到预定的目标。</w:t>
            </w:r>
          </w:p>
          <w:p>
            <w:pPr>
              <w:spacing w:line="360" w:lineRule="auto"/>
              <w:ind w:firstLine="480" w:firstLineChars="200"/>
              <w:rPr>
                <w:color w:val="auto"/>
                <w:sz w:val="24"/>
                <w:szCs w:val="24"/>
              </w:rPr>
            </w:pPr>
            <w:r>
              <w:rPr>
                <w:color w:val="auto"/>
                <w:sz w:val="24"/>
                <w:szCs w:val="24"/>
              </w:rPr>
              <w:t>环境监测工作应包括污染源强（所有排污口）与环境质量状况（厂区、厂</w:t>
            </w:r>
          </w:p>
          <w:p>
            <w:pPr>
              <w:spacing w:line="360" w:lineRule="auto"/>
              <w:rPr>
                <w:color w:val="auto"/>
                <w:sz w:val="24"/>
                <w:szCs w:val="24"/>
              </w:rPr>
            </w:pPr>
            <w:r>
              <w:rPr>
                <w:color w:val="auto"/>
                <w:sz w:val="24"/>
                <w:szCs w:val="24"/>
              </w:rPr>
              <w:t>界敏感点）两部分内容，对水、气、声等几方面进行监控，本项目的重点为废</w:t>
            </w:r>
          </w:p>
          <w:p>
            <w:pPr>
              <w:spacing w:line="360" w:lineRule="auto"/>
              <w:rPr>
                <w:color w:val="auto"/>
                <w:sz w:val="24"/>
                <w:szCs w:val="24"/>
              </w:rPr>
            </w:pPr>
            <w:r>
              <w:rPr>
                <w:color w:val="auto"/>
                <w:sz w:val="24"/>
                <w:szCs w:val="24"/>
              </w:rPr>
              <w:t>气及噪声。</w:t>
            </w:r>
          </w:p>
          <w:p>
            <w:pPr>
              <w:spacing w:line="360" w:lineRule="auto"/>
              <w:ind w:firstLine="480" w:firstLineChars="200"/>
              <w:rPr>
                <w:color w:val="auto"/>
                <w:sz w:val="24"/>
                <w:szCs w:val="24"/>
              </w:rPr>
            </w:pPr>
            <w:r>
              <w:rPr>
                <w:color w:val="auto"/>
                <w:sz w:val="24"/>
                <w:szCs w:val="24"/>
              </w:rPr>
              <w:t>应注重监测数据的完整性和准确性，建立环保档案，搞好数据积累工作，监测结果定期向有关部门上报，发现问题及时解决，将环境监测与节能降耗、产品质量、生产安全等职能部门的工作相结合，为企业决策提供依据。对环保治理工程设施的运行状态与处理效果进行管理与监控。发现不正常排放或事故泄漏时应立即向环境管理者代表报告，并加强不正常事故排放期间的噪声、大气监测。环境管理代表除应立即采取事故排放的应急措施外，还应立即向当地环保主管部门报告。</w:t>
            </w:r>
          </w:p>
          <w:p>
            <w:pPr>
              <w:spacing w:line="360" w:lineRule="auto"/>
              <w:ind w:firstLine="480" w:firstLineChars="200"/>
              <w:rPr>
                <w:color w:val="auto"/>
                <w:sz w:val="24"/>
                <w:szCs w:val="24"/>
              </w:rPr>
            </w:pPr>
            <w:r>
              <w:rPr>
                <w:color w:val="auto"/>
                <w:sz w:val="24"/>
                <w:szCs w:val="24"/>
              </w:rPr>
              <w:t>④环境管理建议</w:t>
            </w:r>
          </w:p>
          <w:p>
            <w:pPr>
              <w:spacing w:line="360" w:lineRule="auto"/>
              <w:ind w:firstLine="480" w:firstLineChars="200"/>
              <w:rPr>
                <w:color w:val="auto"/>
                <w:sz w:val="24"/>
                <w:szCs w:val="24"/>
              </w:rPr>
            </w:pPr>
            <w:r>
              <w:rPr>
                <w:color w:val="auto"/>
                <w:sz w:val="24"/>
                <w:szCs w:val="24"/>
              </w:rPr>
              <w:t>建设单位应加强项目的环境管理，按照本报告提出的污染防治措施和对策，制定出切实可行的环境污染防治办法和措施；做好环境教育和宣传工作，提高各级管理人员和操作人员的环境保护意识，加强员工对环境污染防治的责任性，自觉遵守和执行各项环境保护的规章制度；定期对环境保护设施进行维护和保养，确保环境保护设施的正常运行，防止污染事故的发生；加强与环境保护管理部门的沟通，主动接受环境保护主管部门的管理、指导和监督。</w:t>
            </w:r>
          </w:p>
          <w:p>
            <w:pPr>
              <w:spacing w:line="360" w:lineRule="auto"/>
              <w:ind w:firstLine="482" w:firstLineChars="200"/>
              <w:rPr>
                <w:b/>
                <w:bCs/>
                <w:color w:val="auto"/>
                <w:sz w:val="24"/>
                <w:szCs w:val="24"/>
              </w:rPr>
            </w:pPr>
            <w:r>
              <w:rPr>
                <w:b/>
                <w:bCs/>
                <w:color w:val="auto"/>
                <w:sz w:val="24"/>
                <w:szCs w:val="24"/>
              </w:rPr>
              <w:t>8、环保投资</w:t>
            </w:r>
          </w:p>
          <w:p>
            <w:pPr>
              <w:spacing w:line="360" w:lineRule="auto"/>
              <w:ind w:firstLine="480" w:firstLineChars="200"/>
              <w:rPr>
                <w:b/>
                <w:bCs/>
                <w:color w:val="auto"/>
                <w:sz w:val="24"/>
                <w:szCs w:val="24"/>
              </w:rPr>
            </w:pPr>
            <w:r>
              <w:rPr>
                <w:color w:val="auto"/>
                <w:sz w:val="24"/>
                <w:szCs w:val="24"/>
              </w:rPr>
              <w:t>项目总投资</w:t>
            </w:r>
            <w:r>
              <w:rPr>
                <w:rFonts w:hint="eastAsia"/>
                <w:color w:val="auto"/>
                <w:sz w:val="24"/>
                <w:szCs w:val="24"/>
              </w:rPr>
              <w:t>13000</w:t>
            </w:r>
            <w:r>
              <w:rPr>
                <w:color w:val="auto"/>
                <w:sz w:val="24"/>
                <w:szCs w:val="24"/>
              </w:rPr>
              <w:t>万元，其中环保投资</w:t>
            </w:r>
            <w:r>
              <w:rPr>
                <w:rFonts w:hint="eastAsia"/>
                <w:color w:val="auto"/>
                <w:sz w:val="24"/>
                <w:szCs w:val="24"/>
              </w:rPr>
              <w:t>108</w:t>
            </w:r>
            <w:r>
              <w:rPr>
                <w:color w:val="auto"/>
                <w:sz w:val="24"/>
                <w:szCs w:val="24"/>
              </w:rPr>
              <w:t>万元，环保投资占总投资的比例为</w:t>
            </w:r>
            <w:r>
              <w:rPr>
                <w:rFonts w:hint="eastAsia"/>
                <w:color w:val="auto"/>
                <w:sz w:val="24"/>
                <w:szCs w:val="24"/>
              </w:rPr>
              <w:t>0.83</w:t>
            </w:r>
            <w:r>
              <w:rPr>
                <w:color w:val="auto"/>
                <w:sz w:val="24"/>
                <w:szCs w:val="24"/>
              </w:rPr>
              <w:t>%；环境保护投资估算详见表4-2</w:t>
            </w:r>
            <w:r>
              <w:rPr>
                <w:rFonts w:hint="eastAsia"/>
                <w:color w:val="auto"/>
                <w:sz w:val="24"/>
                <w:szCs w:val="24"/>
              </w:rPr>
              <w:t>2</w:t>
            </w:r>
            <w:r>
              <w:rPr>
                <w:color w:val="auto"/>
                <w:sz w:val="24"/>
                <w:szCs w:val="24"/>
              </w:rPr>
              <w:t>。</w:t>
            </w:r>
          </w:p>
          <w:p>
            <w:pPr>
              <w:spacing w:line="360" w:lineRule="auto"/>
              <w:jc w:val="center"/>
              <w:rPr>
                <w:color w:val="auto"/>
              </w:rPr>
            </w:pPr>
            <w:r>
              <w:rPr>
                <w:b/>
                <w:bCs/>
                <w:color w:val="auto"/>
                <w:sz w:val="24"/>
                <w:szCs w:val="24"/>
              </w:rPr>
              <w:t>表4-2</w:t>
            </w:r>
            <w:r>
              <w:rPr>
                <w:rFonts w:hint="eastAsia"/>
                <w:b/>
                <w:bCs/>
                <w:color w:val="auto"/>
                <w:sz w:val="24"/>
                <w:szCs w:val="24"/>
              </w:rPr>
              <w:t>2</w:t>
            </w:r>
            <w:r>
              <w:rPr>
                <w:b/>
                <w:bCs/>
                <w:color w:val="auto"/>
                <w:sz w:val="24"/>
                <w:szCs w:val="24"/>
              </w:rPr>
              <w:t xml:space="preserve">  本</w:t>
            </w:r>
            <w:r>
              <w:rPr>
                <w:rFonts w:hint="eastAsia"/>
                <w:b/>
                <w:bCs/>
                <w:color w:val="auto"/>
                <w:sz w:val="24"/>
                <w:szCs w:val="24"/>
              </w:rPr>
              <w:t>次</w:t>
            </w:r>
            <w:r>
              <w:rPr>
                <w:b/>
                <w:bCs/>
                <w:color w:val="auto"/>
                <w:sz w:val="24"/>
                <w:szCs w:val="24"/>
              </w:rPr>
              <w:t>项目环保设施及其估算一览表</w:t>
            </w:r>
          </w:p>
          <w:tbl>
            <w:tblPr>
              <w:tblStyle w:val="23"/>
              <w:tblW w:w="8278"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718"/>
              <w:gridCol w:w="1334"/>
              <w:gridCol w:w="1131"/>
              <w:gridCol w:w="4411"/>
              <w:gridCol w:w="684"/>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12" w:hRule="atLeast"/>
                <w:tblHeader/>
                <w:jc w:val="center"/>
              </w:trPr>
              <w:tc>
                <w:tcPr>
                  <w:tcW w:w="433" w:type="pct"/>
                  <w:tcBorders>
                    <w:top w:val="single" w:color="auto" w:sz="2" w:space="0"/>
                    <w:left w:val="single" w:color="auto" w:sz="2" w:space="0"/>
                    <w:bottom w:val="single" w:color="auto" w:sz="2" w:space="0"/>
                    <w:right w:val="single" w:color="auto" w:sz="2" w:space="0"/>
                  </w:tcBorders>
                  <w:vAlign w:val="center"/>
                </w:tcPr>
                <w:p>
                  <w:pPr>
                    <w:jc w:val="center"/>
                    <w:rPr>
                      <w:color w:val="auto"/>
                    </w:rPr>
                  </w:pPr>
                  <w:r>
                    <w:rPr>
                      <w:color w:val="auto"/>
                    </w:rPr>
                    <w:t>类别</w:t>
                  </w:r>
                </w:p>
              </w:tc>
              <w:tc>
                <w:tcPr>
                  <w:tcW w:w="805" w:type="pct"/>
                  <w:tcBorders>
                    <w:top w:val="single" w:color="auto" w:sz="2" w:space="0"/>
                    <w:left w:val="single" w:color="auto" w:sz="2" w:space="0"/>
                    <w:bottom w:val="single" w:color="auto" w:sz="2" w:space="0"/>
                    <w:right w:val="single" w:color="auto" w:sz="2" w:space="0"/>
                  </w:tcBorders>
                  <w:vAlign w:val="center"/>
                </w:tcPr>
                <w:p>
                  <w:pPr>
                    <w:jc w:val="center"/>
                    <w:rPr>
                      <w:color w:val="auto"/>
                    </w:rPr>
                  </w:pPr>
                  <w:r>
                    <w:rPr>
                      <w:color w:val="auto"/>
                    </w:rPr>
                    <w:t>污染源</w:t>
                  </w:r>
                </w:p>
              </w:tc>
              <w:tc>
                <w:tcPr>
                  <w:tcW w:w="683" w:type="pct"/>
                  <w:tcBorders>
                    <w:top w:val="single" w:color="auto" w:sz="2" w:space="0"/>
                    <w:left w:val="single" w:color="auto" w:sz="2" w:space="0"/>
                    <w:bottom w:val="single" w:color="auto" w:sz="2" w:space="0"/>
                    <w:right w:val="single" w:color="auto" w:sz="2" w:space="0"/>
                  </w:tcBorders>
                  <w:vAlign w:val="center"/>
                </w:tcPr>
                <w:p>
                  <w:pPr>
                    <w:jc w:val="center"/>
                    <w:rPr>
                      <w:color w:val="auto"/>
                    </w:rPr>
                  </w:pPr>
                  <w:r>
                    <w:rPr>
                      <w:color w:val="auto"/>
                    </w:rPr>
                    <w:t>污染工序/污染物</w:t>
                  </w:r>
                </w:p>
              </w:tc>
              <w:tc>
                <w:tcPr>
                  <w:tcW w:w="2664" w:type="pct"/>
                  <w:tcBorders>
                    <w:top w:val="single" w:color="auto" w:sz="2" w:space="0"/>
                    <w:left w:val="single" w:color="auto" w:sz="2" w:space="0"/>
                    <w:bottom w:val="single" w:color="auto" w:sz="2" w:space="0"/>
                    <w:right w:val="single" w:color="auto" w:sz="2" w:space="0"/>
                  </w:tcBorders>
                  <w:vAlign w:val="center"/>
                </w:tcPr>
                <w:p>
                  <w:pPr>
                    <w:jc w:val="center"/>
                    <w:rPr>
                      <w:color w:val="auto"/>
                    </w:rPr>
                  </w:pPr>
                  <w:r>
                    <w:rPr>
                      <w:color w:val="auto"/>
                    </w:rPr>
                    <w:t>拟采取的治理措施</w:t>
                  </w:r>
                </w:p>
              </w:tc>
              <w:tc>
                <w:tcPr>
                  <w:tcW w:w="413" w:type="pct"/>
                  <w:tcBorders>
                    <w:top w:val="single" w:color="auto" w:sz="2" w:space="0"/>
                    <w:left w:val="single" w:color="auto" w:sz="2" w:space="0"/>
                    <w:bottom w:val="single" w:color="auto" w:sz="2" w:space="0"/>
                    <w:right w:val="single" w:color="auto" w:sz="2" w:space="0"/>
                  </w:tcBorders>
                  <w:vAlign w:val="center"/>
                </w:tcPr>
                <w:p>
                  <w:pPr>
                    <w:jc w:val="center"/>
                    <w:rPr>
                      <w:color w:val="auto"/>
                    </w:rPr>
                  </w:pPr>
                  <w:r>
                    <w:rPr>
                      <w:color w:val="auto"/>
                    </w:rPr>
                    <w:t>投资</w:t>
                  </w:r>
                  <w:r>
                    <w:rPr>
                      <w:rStyle w:val="28"/>
                      <w:rFonts w:hint="eastAsia"/>
                      <w:color w:val="auto"/>
                      <w:kern w:val="0"/>
                    </w:rPr>
                    <w:t>（万元）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29" w:hRule="atLeast"/>
                <w:jc w:val="center"/>
              </w:trPr>
              <w:tc>
                <w:tcPr>
                  <w:tcW w:w="433" w:type="pct"/>
                  <w:vMerge w:val="restart"/>
                  <w:tcBorders>
                    <w:top w:val="single" w:color="auto" w:sz="2" w:space="0"/>
                    <w:left w:val="single" w:color="auto" w:sz="2" w:space="0"/>
                    <w:bottom w:val="single" w:color="auto" w:sz="2" w:space="0"/>
                    <w:right w:val="single" w:color="auto" w:sz="2" w:space="0"/>
                  </w:tcBorders>
                  <w:vAlign w:val="center"/>
                </w:tcPr>
                <w:p>
                  <w:pPr>
                    <w:jc w:val="center"/>
                    <w:rPr>
                      <w:color w:val="auto"/>
                    </w:rPr>
                  </w:pPr>
                  <w:r>
                    <w:rPr>
                      <w:color w:val="auto"/>
                    </w:rPr>
                    <w:t>大气污染</w:t>
                  </w:r>
                </w:p>
                <w:p>
                  <w:pPr>
                    <w:jc w:val="center"/>
                    <w:rPr>
                      <w:color w:val="auto"/>
                    </w:rPr>
                  </w:pPr>
                  <w:r>
                    <w:rPr>
                      <w:color w:val="auto"/>
                    </w:rPr>
                    <w:t>防治措施</w:t>
                  </w:r>
                </w:p>
              </w:tc>
              <w:tc>
                <w:tcPr>
                  <w:tcW w:w="805" w:type="pct"/>
                  <w:tcBorders>
                    <w:top w:val="single" w:color="auto" w:sz="2" w:space="0"/>
                    <w:left w:val="single" w:color="auto" w:sz="2" w:space="0"/>
                    <w:right w:val="single" w:color="auto" w:sz="2" w:space="0"/>
                  </w:tcBorders>
                  <w:vAlign w:val="center"/>
                </w:tcPr>
                <w:p>
                  <w:pPr>
                    <w:jc w:val="center"/>
                    <w:rPr>
                      <w:color w:val="auto"/>
                    </w:rPr>
                  </w:pPr>
                  <w:r>
                    <w:rPr>
                      <w:rFonts w:hint="eastAsia"/>
                      <w:color w:val="auto"/>
                      <w:lang w:eastAsia="zh-CN"/>
                    </w:rPr>
                    <w:t>猪饲料</w:t>
                  </w:r>
                  <w:r>
                    <w:rPr>
                      <w:rFonts w:hint="eastAsia"/>
                      <w:color w:val="auto"/>
                    </w:rPr>
                    <w:t>生产过程</w:t>
                  </w:r>
                </w:p>
              </w:tc>
              <w:tc>
                <w:tcPr>
                  <w:tcW w:w="683" w:type="pct"/>
                  <w:tcBorders>
                    <w:top w:val="single" w:color="auto" w:sz="2" w:space="0"/>
                    <w:left w:val="single" w:color="auto" w:sz="2" w:space="0"/>
                    <w:right w:val="single" w:color="auto" w:sz="2" w:space="0"/>
                  </w:tcBorders>
                  <w:vAlign w:val="center"/>
                </w:tcPr>
                <w:p>
                  <w:pPr>
                    <w:jc w:val="center"/>
                    <w:rPr>
                      <w:color w:val="auto"/>
                    </w:rPr>
                  </w:pPr>
                  <w:r>
                    <w:rPr>
                      <w:rFonts w:hint="eastAsia"/>
                      <w:color w:val="auto"/>
                    </w:rPr>
                    <w:t>颗粒物</w:t>
                  </w:r>
                </w:p>
              </w:tc>
              <w:tc>
                <w:tcPr>
                  <w:tcW w:w="2664" w:type="pct"/>
                  <w:tcBorders>
                    <w:top w:val="single" w:color="auto" w:sz="2" w:space="0"/>
                    <w:left w:val="single" w:color="auto" w:sz="2" w:space="0"/>
                    <w:bottom w:val="single" w:color="auto" w:sz="2" w:space="0"/>
                    <w:right w:val="single" w:color="auto" w:sz="2" w:space="0"/>
                  </w:tcBorders>
                  <w:vAlign w:val="center"/>
                </w:tcPr>
                <w:p>
                  <w:pPr>
                    <w:widowControl/>
                    <w:jc w:val="center"/>
                    <w:rPr>
                      <w:color w:val="auto"/>
                    </w:rPr>
                  </w:pPr>
                  <w:r>
                    <w:rPr>
                      <w:rFonts w:ascii="宋体" w:hAnsi="宋体" w:cs="宋体"/>
                      <w:color w:val="auto"/>
                    </w:rPr>
                    <w:t>投料、初清筛、粉碎、配料和打包工段</w:t>
                  </w:r>
                  <w:r>
                    <w:rPr>
                      <w:rFonts w:hint="eastAsia"/>
                      <w:color w:val="auto"/>
                      <w:kern w:val="0"/>
                    </w:rPr>
                    <w:t>产生的粉尘经各工段配置的除尘器进行处理后，通过同一根35m高的DA001排气筒高空排放</w:t>
                  </w:r>
                </w:p>
              </w:tc>
              <w:tc>
                <w:tcPr>
                  <w:tcW w:w="413" w:type="pct"/>
                  <w:vMerge w:val="restart"/>
                  <w:tcBorders>
                    <w:top w:val="single" w:color="auto" w:sz="2" w:space="0"/>
                    <w:left w:val="single" w:color="auto" w:sz="2" w:space="0"/>
                    <w:right w:val="single" w:color="auto" w:sz="2" w:space="0"/>
                  </w:tcBorders>
                  <w:vAlign w:val="center"/>
                </w:tcPr>
                <w:p>
                  <w:pPr>
                    <w:jc w:val="center"/>
                    <w:rPr>
                      <w:color w:val="auto"/>
                    </w:rPr>
                  </w:pPr>
                  <w:r>
                    <w:rPr>
                      <w:rFonts w:hint="eastAsia"/>
                      <w:color w:val="auto"/>
                    </w:rPr>
                    <w:t>80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0" w:hRule="atLeast"/>
                <w:jc w:val="center"/>
              </w:trPr>
              <w:tc>
                <w:tcPr>
                  <w:tcW w:w="433" w:type="pct"/>
                  <w:vMerge w:val="continue"/>
                  <w:tcBorders>
                    <w:top w:val="single" w:color="auto" w:sz="2" w:space="0"/>
                    <w:left w:val="single" w:color="auto" w:sz="2" w:space="0"/>
                    <w:bottom w:val="single" w:color="auto" w:sz="2" w:space="0"/>
                    <w:right w:val="single" w:color="auto" w:sz="2" w:space="0"/>
                  </w:tcBorders>
                  <w:vAlign w:val="center"/>
                </w:tcPr>
                <w:p>
                  <w:pPr>
                    <w:jc w:val="center"/>
                    <w:rPr>
                      <w:color w:val="auto"/>
                    </w:rPr>
                  </w:pPr>
                </w:p>
              </w:tc>
              <w:tc>
                <w:tcPr>
                  <w:tcW w:w="805" w:type="pct"/>
                  <w:tcBorders>
                    <w:left w:val="single" w:color="auto" w:sz="2" w:space="0"/>
                    <w:right w:val="single" w:color="auto" w:sz="2" w:space="0"/>
                  </w:tcBorders>
                  <w:vAlign w:val="center"/>
                </w:tcPr>
                <w:p>
                  <w:pPr>
                    <w:jc w:val="center"/>
                    <w:rPr>
                      <w:color w:val="auto"/>
                    </w:rPr>
                  </w:pPr>
                  <w:r>
                    <w:rPr>
                      <w:rFonts w:hint="eastAsia"/>
                      <w:color w:val="auto"/>
                      <w:lang w:eastAsia="zh-CN"/>
                    </w:rPr>
                    <w:t>反刍饲料</w:t>
                  </w:r>
                  <w:r>
                    <w:rPr>
                      <w:rFonts w:hint="eastAsia"/>
                      <w:color w:val="auto"/>
                    </w:rPr>
                    <w:t>生产过程</w:t>
                  </w:r>
                </w:p>
              </w:tc>
              <w:tc>
                <w:tcPr>
                  <w:tcW w:w="683" w:type="pct"/>
                  <w:tcBorders>
                    <w:top w:val="single" w:color="auto" w:sz="2" w:space="0"/>
                    <w:left w:val="single" w:color="auto" w:sz="2" w:space="0"/>
                    <w:bottom w:val="single" w:color="auto" w:sz="2" w:space="0"/>
                    <w:right w:val="single" w:color="auto" w:sz="2" w:space="0"/>
                  </w:tcBorders>
                  <w:vAlign w:val="center"/>
                </w:tcPr>
                <w:p>
                  <w:pPr>
                    <w:jc w:val="center"/>
                    <w:rPr>
                      <w:color w:val="auto"/>
                    </w:rPr>
                  </w:pPr>
                  <w:r>
                    <w:rPr>
                      <w:rFonts w:hint="eastAsia"/>
                      <w:color w:val="auto"/>
                    </w:rPr>
                    <w:t>颗粒物</w:t>
                  </w:r>
                </w:p>
              </w:tc>
              <w:tc>
                <w:tcPr>
                  <w:tcW w:w="2664" w:type="pct"/>
                  <w:tcBorders>
                    <w:top w:val="single" w:color="auto" w:sz="2" w:space="0"/>
                    <w:left w:val="single" w:color="auto" w:sz="2" w:space="0"/>
                    <w:bottom w:val="single" w:color="auto" w:sz="2" w:space="0"/>
                    <w:right w:val="single" w:color="auto" w:sz="2" w:space="0"/>
                  </w:tcBorders>
                  <w:vAlign w:val="center"/>
                </w:tcPr>
                <w:p>
                  <w:pPr>
                    <w:adjustRightInd w:val="0"/>
                    <w:snapToGrid w:val="0"/>
                    <w:jc w:val="center"/>
                    <w:rPr>
                      <w:color w:val="auto"/>
                      <w:kern w:val="0"/>
                    </w:rPr>
                  </w:pPr>
                  <w:r>
                    <w:rPr>
                      <w:rFonts w:ascii="宋体" w:hAnsi="宋体" w:cs="宋体"/>
                      <w:color w:val="auto"/>
                    </w:rPr>
                    <w:t>投料、初清筛、粉碎、配料和打包工段</w:t>
                  </w:r>
                  <w:r>
                    <w:rPr>
                      <w:rFonts w:hint="eastAsia"/>
                      <w:color w:val="auto"/>
                      <w:kern w:val="0"/>
                    </w:rPr>
                    <w:t>产生的粉尘经各工段配置的除尘器进行处理后，通过同一根35m高的DA002排气筒高空排放</w:t>
                  </w:r>
                </w:p>
              </w:tc>
              <w:tc>
                <w:tcPr>
                  <w:tcW w:w="413" w:type="pct"/>
                  <w:vMerge w:val="continue"/>
                  <w:tcBorders>
                    <w:left w:val="single" w:color="auto" w:sz="2" w:space="0"/>
                    <w:right w:val="single" w:color="auto" w:sz="2" w:space="0"/>
                  </w:tcBorders>
                  <w:vAlign w:val="center"/>
                </w:tcPr>
                <w:p>
                  <w:pPr>
                    <w:jc w:val="center"/>
                    <w:rPr>
                      <w:color w:val="auto"/>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0" w:hRule="atLeast"/>
                <w:jc w:val="center"/>
              </w:trPr>
              <w:tc>
                <w:tcPr>
                  <w:tcW w:w="433" w:type="pct"/>
                  <w:vMerge w:val="continue"/>
                  <w:tcBorders>
                    <w:top w:val="single" w:color="auto" w:sz="2" w:space="0"/>
                    <w:left w:val="single" w:color="auto" w:sz="2" w:space="0"/>
                    <w:bottom w:val="single" w:color="auto" w:sz="2" w:space="0"/>
                    <w:right w:val="single" w:color="auto" w:sz="2" w:space="0"/>
                  </w:tcBorders>
                  <w:vAlign w:val="center"/>
                </w:tcPr>
                <w:p>
                  <w:pPr>
                    <w:jc w:val="center"/>
                    <w:rPr>
                      <w:color w:val="auto"/>
                    </w:rPr>
                  </w:pPr>
                </w:p>
              </w:tc>
              <w:tc>
                <w:tcPr>
                  <w:tcW w:w="805" w:type="pct"/>
                  <w:tcBorders>
                    <w:left w:val="single" w:color="auto" w:sz="2" w:space="0"/>
                    <w:bottom w:val="single" w:color="auto" w:sz="2" w:space="0"/>
                    <w:right w:val="single" w:color="auto" w:sz="2" w:space="0"/>
                  </w:tcBorders>
                  <w:vAlign w:val="center"/>
                </w:tcPr>
                <w:p>
                  <w:pPr>
                    <w:jc w:val="center"/>
                    <w:rPr>
                      <w:color w:val="auto"/>
                    </w:rPr>
                  </w:pPr>
                  <w:r>
                    <w:rPr>
                      <w:rFonts w:hint="eastAsia"/>
                      <w:color w:val="auto"/>
                    </w:rPr>
                    <w:t>燃气锅炉</w:t>
                  </w:r>
                </w:p>
              </w:tc>
              <w:tc>
                <w:tcPr>
                  <w:tcW w:w="683" w:type="pct"/>
                  <w:tcBorders>
                    <w:top w:val="single" w:color="auto" w:sz="2" w:space="0"/>
                    <w:left w:val="single" w:color="auto" w:sz="2" w:space="0"/>
                    <w:bottom w:val="single" w:color="auto" w:sz="2" w:space="0"/>
                    <w:right w:val="single" w:color="auto" w:sz="2" w:space="0"/>
                  </w:tcBorders>
                  <w:vAlign w:val="center"/>
                </w:tcPr>
                <w:p>
                  <w:pPr>
                    <w:jc w:val="center"/>
                    <w:rPr>
                      <w:color w:val="auto"/>
                    </w:rPr>
                  </w:pPr>
                  <w:r>
                    <w:rPr>
                      <w:rFonts w:hint="eastAsia"/>
                      <w:color w:val="auto"/>
                    </w:rPr>
                    <w:t>颗粒物、SO</w:t>
                  </w:r>
                  <w:r>
                    <w:rPr>
                      <w:rFonts w:hint="eastAsia"/>
                      <w:color w:val="auto"/>
                      <w:vertAlign w:val="subscript"/>
                    </w:rPr>
                    <w:t>2</w:t>
                  </w:r>
                  <w:r>
                    <w:rPr>
                      <w:rFonts w:hint="eastAsia"/>
                      <w:color w:val="auto"/>
                    </w:rPr>
                    <w:t>、NO</w:t>
                  </w:r>
                  <w:r>
                    <w:rPr>
                      <w:rFonts w:hint="eastAsia"/>
                      <w:color w:val="auto"/>
                      <w:vertAlign w:val="subscript"/>
                    </w:rPr>
                    <w:t>X</w:t>
                  </w:r>
                </w:p>
              </w:tc>
              <w:tc>
                <w:tcPr>
                  <w:tcW w:w="2664" w:type="pct"/>
                  <w:tcBorders>
                    <w:top w:val="single" w:color="auto" w:sz="2" w:space="0"/>
                    <w:left w:val="single" w:color="auto" w:sz="2" w:space="0"/>
                    <w:bottom w:val="single" w:color="auto" w:sz="2" w:space="0"/>
                    <w:right w:val="single" w:color="auto" w:sz="2" w:space="0"/>
                  </w:tcBorders>
                  <w:vAlign w:val="center"/>
                </w:tcPr>
                <w:p>
                  <w:pPr>
                    <w:jc w:val="center"/>
                    <w:rPr>
                      <w:color w:val="auto"/>
                    </w:rPr>
                  </w:pPr>
                  <w:r>
                    <w:rPr>
                      <w:rFonts w:hint="eastAsia"/>
                      <w:color w:val="auto"/>
                    </w:rPr>
                    <w:t>低氮燃烧器+8m高的DA003排气筒</w:t>
                  </w:r>
                </w:p>
              </w:tc>
              <w:tc>
                <w:tcPr>
                  <w:tcW w:w="413" w:type="pct"/>
                  <w:vMerge w:val="continue"/>
                  <w:tcBorders>
                    <w:left w:val="single" w:color="auto" w:sz="2" w:space="0"/>
                    <w:bottom w:val="single" w:color="auto" w:sz="2" w:space="0"/>
                    <w:right w:val="single" w:color="auto" w:sz="2" w:space="0"/>
                  </w:tcBorders>
                  <w:vAlign w:val="center"/>
                </w:tcPr>
                <w:p>
                  <w:pPr>
                    <w:jc w:val="center"/>
                    <w:rPr>
                      <w:color w:val="auto"/>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433" w:type="pct"/>
                  <w:vMerge w:val="restart"/>
                  <w:tcBorders>
                    <w:top w:val="single" w:color="auto" w:sz="2" w:space="0"/>
                    <w:left w:val="single" w:color="auto" w:sz="2" w:space="0"/>
                    <w:right w:val="single" w:color="auto" w:sz="2" w:space="0"/>
                  </w:tcBorders>
                  <w:vAlign w:val="center"/>
                </w:tcPr>
                <w:p>
                  <w:pPr>
                    <w:jc w:val="center"/>
                    <w:rPr>
                      <w:color w:val="auto"/>
                    </w:rPr>
                  </w:pPr>
                  <w:r>
                    <w:rPr>
                      <w:color w:val="auto"/>
                    </w:rPr>
                    <w:t>废水</w:t>
                  </w:r>
                </w:p>
                <w:p>
                  <w:pPr>
                    <w:jc w:val="center"/>
                    <w:rPr>
                      <w:color w:val="auto"/>
                    </w:rPr>
                  </w:pPr>
                  <w:r>
                    <w:rPr>
                      <w:color w:val="auto"/>
                    </w:rPr>
                    <w:t>防治</w:t>
                  </w:r>
                </w:p>
                <w:p>
                  <w:pPr>
                    <w:jc w:val="center"/>
                    <w:rPr>
                      <w:color w:val="auto"/>
                    </w:rPr>
                  </w:pPr>
                  <w:r>
                    <w:rPr>
                      <w:color w:val="auto"/>
                    </w:rPr>
                    <w:t>措施</w:t>
                  </w:r>
                </w:p>
              </w:tc>
              <w:tc>
                <w:tcPr>
                  <w:tcW w:w="805" w:type="pct"/>
                  <w:vMerge w:val="restart"/>
                  <w:tcBorders>
                    <w:top w:val="single" w:color="auto" w:sz="2" w:space="0"/>
                    <w:left w:val="single" w:color="auto" w:sz="2" w:space="0"/>
                    <w:right w:val="single" w:color="auto" w:sz="2" w:space="0"/>
                  </w:tcBorders>
                  <w:vAlign w:val="center"/>
                </w:tcPr>
                <w:p>
                  <w:pPr>
                    <w:jc w:val="center"/>
                    <w:rPr>
                      <w:color w:val="auto"/>
                    </w:rPr>
                  </w:pPr>
                  <w:r>
                    <w:rPr>
                      <w:color w:val="auto"/>
                    </w:rPr>
                    <w:t>员工</w:t>
                  </w:r>
                </w:p>
                <w:p>
                  <w:pPr>
                    <w:jc w:val="center"/>
                    <w:rPr>
                      <w:color w:val="auto"/>
                    </w:rPr>
                  </w:pPr>
                  <w:r>
                    <w:rPr>
                      <w:color w:val="auto"/>
                    </w:rPr>
                    <w:t>生活</w:t>
                  </w:r>
                </w:p>
              </w:tc>
              <w:tc>
                <w:tcPr>
                  <w:tcW w:w="683" w:type="pct"/>
                  <w:tcBorders>
                    <w:top w:val="single" w:color="auto" w:sz="2" w:space="0"/>
                    <w:left w:val="single" w:color="auto" w:sz="2" w:space="0"/>
                    <w:bottom w:val="single" w:color="auto" w:sz="2" w:space="0"/>
                    <w:right w:val="single" w:color="auto" w:sz="2" w:space="0"/>
                  </w:tcBorders>
                  <w:vAlign w:val="center"/>
                </w:tcPr>
                <w:p>
                  <w:pPr>
                    <w:jc w:val="center"/>
                    <w:rPr>
                      <w:color w:val="auto"/>
                    </w:rPr>
                  </w:pPr>
                  <w:r>
                    <w:rPr>
                      <w:color w:val="auto"/>
                    </w:rPr>
                    <w:t>生活污水</w:t>
                  </w:r>
                </w:p>
              </w:tc>
              <w:tc>
                <w:tcPr>
                  <w:tcW w:w="2664" w:type="pct"/>
                  <w:vMerge w:val="restart"/>
                  <w:tcBorders>
                    <w:top w:val="single" w:color="auto" w:sz="2" w:space="0"/>
                    <w:left w:val="single" w:color="auto" w:sz="2" w:space="0"/>
                    <w:right w:val="single" w:color="auto" w:sz="2" w:space="0"/>
                  </w:tcBorders>
                  <w:vAlign w:val="center"/>
                </w:tcPr>
                <w:p>
                  <w:pPr>
                    <w:jc w:val="center"/>
                    <w:rPr>
                      <w:color w:val="auto"/>
                    </w:rPr>
                  </w:pPr>
                  <w:r>
                    <w:rPr>
                      <w:rFonts w:ascii="宋体" w:hAnsi="宋体" w:cs="宋体"/>
                      <w:color w:val="auto"/>
                    </w:rPr>
                    <w:t>雨污分流，雨水进入区域雨水管网；食堂废水经隔油池处理后，与生活污水一同经化粪池处理后纳管，</w:t>
                  </w:r>
                  <w:r>
                    <w:rPr>
                      <w:rFonts w:hint="eastAsia" w:ascii="宋体" w:hAnsi="宋体" w:cs="宋体"/>
                      <w:color w:val="auto"/>
                      <w:lang w:eastAsia="zh-CN"/>
                    </w:rPr>
                    <w:t>纯水制备废水</w:t>
                  </w:r>
                  <w:r>
                    <w:rPr>
                      <w:rFonts w:ascii="宋体" w:hAnsi="宋体" w:cs="宋体"/>
                      <w:color w:val="auto"/>
                    </w:rPr>
                    <w:t>浓度满足宿州市经济技术开发区污水处理厂接管标准，可直接纳管排入区域管网，所有废水均进入宿州市经济技术开发区污水处理厂集中处理，达标后排入运粮河</w:t>
                  </w:r>
                </w:p>
              </w:tc>
              <w:tc>
                <w:tcPr>
                  <w:tcW w:w="413" w:type="pct"/>
                  <w:vMerge w:val="restart"/>
                  <w:tcBorders>
                    <w:top w:val="single" w:color="auto" w:sz="2" w:space="0"/>
                    <w:left w:val="single" w:color="auto" w:sz="2" w:space="0"/>
                    <w:right w:val="single" w:color="auto" w:sz="2" w:space="0"/>
                  </w:tcBorders>
                  <w:vAlign w:val="center"/>
                </w:tcPr>
                <w:p>
                  <w:pPr>
                    <w:jc w:val="center"/>
                    <w:rPr>
                      <w:color w:val="auto"/>
                    </w:rPr>
                  </w:pPr>
                  <w:r>
                    <w:rPr>
                      <w:rFonts w:hint="eastAsia"/>
                      <w:color w:val="auto"/>
                    </w:rPr>
                    <w:t>10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2" w:hRule="atLeast"/>
                <w:jc w:val="center"/>
              </w:trPr>
              <w:tc>
                <w:tcPr>
                  <w:tcW w:w="433" w:type="pct"/>
                  <w:vMerge w:val="continue"/>
                  <w:tcBorders>
                    <w:left w:val="single" w:color="auto" w:sz="2" w:space="0"/>
                    <w:right w:val="single" w:color="auto" w:sz="2" w:space="0"/>
                  </w:tcBorders>
                  <w:vAlign w:val="center"/>
                </w:tcPr>
                <w:p>
                  <w:pPr>
                    <w:jc w:val="center"/>
                    <w:rPr>
                      <w:color w:val="auto"/>
                    </w:rPr>
                  </w:pPr>
                </w:p>
              </w:tc>
              <w:tc>
                <w:tcPr>
                  <w:tcW w:w="805" w:type="pct"/>
                  <w:vMerge w:val="continue"/>
                  <w:tcBorders>
                    <w:left w:val="single" w:color="auto" w:sz="2" w:space="0"/>
                    <w:bottom w:val="single" w:color="auto" w:sz="2" w:space="0"/>
                    <w:right w:val="single" w:color="auto" w:sz="2" w:space="0"/>
                  </w:tcBorders>
                  <w:vAlign w:val="center"/>
                </w:tcPr>
                <w:p>
                  <w:pPr>
                    <w:jc w:val="center"/>
                    <w:rPr>
                      <w:color w:val="auto"/>
                    </w:rPr>
                  </w:pPr>
                </w:p>
              </w:tc>
              <w:tc>
                <w:tcPr>
                  <w:tcW w:w="683" w:type="pct"/>
                  <w:tcBorders>
                    <w:top w:val="single" w:color="auto" w:sz="2" w:space="0"/>
                    <w:left w:val="single" w:color="auto" w:sz="2" w:space="0"/>
                    <w:bottom w:val="single" w:color="auto" w:sz="2" w:space="0"/>
                    <w:right w:val="single" w:color="auto" w:sz="2" w:space="0"/>
                  </w:tcBorders>
                  <w:vAlign w:val="center"/>
                </w:tcPr>
                <w:p>
                  <w:pPr>
                    <w:jc w:val="center"/>
                    <w:rPr>
                      <w:color w:val="auto"/>
                    </w:rPr>
                  </w:pPr>
                  <w:r>
                    <w:rPr>
                      <w:rFonts w:hint="eastAsia"/>
                      <w:color w:val="auto"/>
                    </w:rPr>
                    <w:t>食堂废水</w:t>
                  </w:r>
                </w:p>
              </w:tc>
              <w:tc>
                <w:tcPr>
                  <w:tcW w:w="2664" w:type="pct"/>
                  <w:vMerge w:val="continue"/>
                  <w:tcBorders>
                    <w:left w:val="single" w:color="auto" w:sz="2" w:space="0"/>
                    <w:right w:val="single" w:color="auto" w:sz="2" w:space="0"/>
                  </w:tcBorders>
                  <w:vAlign w:val="center"/>
                </w:tcPr>
                <w:p>
                  <w:pPr>
                    <w:jc w:val="center"/>
                    <w:rPr>
                      <w:color w:val="auto"/>
                    </w:rPr>
                  </w:pPr>
                </w:p>
              </w:tc>
              <w:tc>
                <w:tcPr>
                  <w:tcW w:w="413" w:type="pct"/>
                  <w:vMerge w:val="continue"/>
                  <w:tcBorders>
                    <w:left w:val="single" w:color="auto" w:sz="2" w:space="0"/>
                    <w:right w:val="single" w:color="auto" w:sz="2" w:space="0"/>
                  </w:tcBorders>
                  <w:vAlign w:val="center"/>
                </w:tcPr>
                <w:p>
                  <w:pPr>
                    <w:jc w:val="center"/>
                    <w:rPr>
                      <w:color w:val="auto"/>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95" w:hRule="atLeast"/>
                <w:jc w:val="center"/>
              </w:trPr>
              <w:tc>
                <w:tcPr>
                  <w:tcW w:w="433" w:type="pct"/>
                  <w:vMerge w:val="continue"/>
                  <w:tcBorders>
                    <w:left w:val="single" w:color="auto" w:sz="2" w:space="0"/>
                    <w:bottom w:val="single" w:color="auto" w:sz="2" w:space="0"/>
                    <w:right w:val="single" w:color="auto" w:sz="2" w:space="0"/>
                  </w:tcBorders>
                  <w:vAlign w:val="center"/>
                </w:tcPr>
                <w:p>
                  <w:pPr>
                    <w:jc w:val="center"/>
                    <w:rPr>
                      <w:color w:val="auto"/>
                    </w:rPr>
                  </w:pPr>
                </w:p>
              </w:tc>
              <w:tc>
                <w:tcPr>
                  <w:tcW w:w="805" w:type="pct"/>
                  <w:tcBorders>
                    <w:left w:val="single" w:color="auto" w:sz="2" w:space="0"/>
                    <w:bottom w:val="single" w:color="auto" w:sz="2" w:space="0"/>
                    <w:right w:val="single" w:color="auto" w:sz="2" w:space="0"/>
                  </w:tcBorders>
                  <w:vAlign w:val="center"/>
                </w:tcPr>
                <w:p>
                  <w:pPr>
                    <w:jc w:val="center"/>
                    <w:rPr>
                      <w:color w:val="auto"/>
                    </w:rPr>
                  </w:pPr>
                  <w:r>
                    <w:rPr>
                      <w:rFonts w:hint="eastAsia"/>
                      <w:color w:val="auto"/>
                    </w:rPr>
                    <w:t>燃气锅炉</w:t>
                  </w:r>
                </w:p>
              </w:tc>
              <w:tc>
                <w:tcPr>
                  <w:tcW w:w="683" w:type="pct"/>
                  <w:tcBorders>
                    <w:top w:val="single" w:color="auto" w:sz="2" w:space="0"/>
                    <w:left w:val="single" w:color="auto" w:sz="2" w:space="0"/>
                    <w:bottom w:val="single" w:color="auto" w:sz="2" w:space="0"/>
                    <w:right w:val="single" w:color="auto" w:sz="2" w:space="0"/>
                  </w:tcBorders>
                  <w:vAlign w:val="center"/>
                </w:tcPr>
                <w:p>
                  <w:pPr>
                    <w:jc w:val="center"/>
                    <w:rPr>
                      <w:rFonts w:hint="eastAsia" w:eastAsia="宋体"/>
                      <w:color w:val="auto"/>
                      <w:lang w:eastAsia="zh-CN"/>
                    </w:rPr>
                  </w:pPr>
                  <w:r>
                    <w:rPr>
                      <w:rFonts w:hint="eastAsia"/>
                      <w:color w:val="auto"/>
                      <w:lang w:eastAsia="zh-CN"/>
                    </w:rPr>
                    <w:t>纯水制备废水</w:t>
                  </w:r>
                </w:p>
              </w:tc>
              <w:tc>
                <w:tcPr>
                  <w:tcW w:w="2664" w:type="pct"/>
                  <w:vMerge w:val="continue"/>
                  <w:tcBorders>
                    <w:left w:val="single" w:color="auto" w:sz="2" w:space="0"/>
                    <w:bottom w:val="single" w:color="auto" w:sz="2" w:space="0"/>
                    <w:right w:val="single" w:color="auto" w:sz="2" w:space="0"/>
                  </w:tcBorders>
                  <w:vAlign w:val="center"/>
                </w:tcPr>
                <w:p>
                  <w:pPr>
                    <w:jc w:val="center"/>
                    <w:rPr>
                      <w:color w:val="auto"/>
                    </w:rPr>
                  </w:pPr>
                </w:p>
              </w:tc>
              <w:tc>
                <w:tcPr>
                  <w:tcW w:w="413" w:type="pct"/>
                  <w:vMerge w:val="continue"/>
                  <w:tcBorders>
                    <w:left w:val="single" w:color="auto" w:sz="2" w:space="0"/>
                    <w:bottom w:val="single" w:color="auto" w:sz="2" w:space="0"/>
                    <w:right w:val="single" w:color="auto" w:sz="2" w:space="0"/>
                  </w:tcBorders>
                  <w:vAlign w:val="center"/>
                </w:tcPr>
                <w:p>
                  <w:pPr>
                    <w:jc w:val="center"/>
                    <w:rPr>
                      <w:color w:val="auto"/>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72" w:hRule="atLeast"/>
                <w:jc w:val="center"/>
              </w:trPr>
              <w:tc>
                <w:tcPr>
                  <w:tcW w:w="433" w:type="pct"/>
                  <w:tcBorders>
                    <w:top w:val="single" w:color="auto" w:sz="2" w:space="0"/>
                    <w:left w:val="single" w:color="auto" w:sz="2" w:space="0"/>
                    <w:bottom w:val="single" w:color="auto" w:sz="2" w:space="0"/>
                    <w:right w:val="single" w:color="auto" w:sz="2" w:space="0"/>
                  </w:tcBorders>
                  <w:vAlign w:val="center"/>
                </w:tcPr>
                <w:p>
                  <w:pPr>
                    <w:jc w:val="center"/>
                    <w:rPr>
                      <w:color w:val="auto"/>
                    </w:rPr>
                  </w:pPr>
                  <w:r>
                    <w:rPr>
                      <w:color w:val="auto"/>
                    </w:rPr>
                    <w:t>噪声</w:t>
                  </w:r>
                </w:p>
                <w:p>
                  <w:pPr>
                    <w:jc w:val="center"/>
                    <w:rPr>
                      <w:color w:val="auto"/>
                    </w:rPr>
                  </w:pPr>
                  <w:r>
                    <w:rPr>
                      <w:color w:val="auto"/>
                    </w:rPr>
                    <w:t>防治</w:t>
                  </w:r>
                </w:p>
                <w:p>
                  <w:pPr>
                    <w:jc w:val="center"/>
                    <w:rPr>
                      <w:color w:val="auto"/>
                    </w:rPr>
                  </w:pPr>
                  <w:r>
                    <w:rPr>
                      <w:color w:val="auto"/>
                    </w:rPr>
                    <w:t>措施</w:t>
                  </w:r>
                </w:p>
              </w:tc>
              <w:tc>
                <w:tcPr>
                  <w:tcW w:w="805" w:type="pct"/>
                  <w:tcBorders>
                    <w:top w:val="single" w:color="auto" w:sz="2" w:space="0"/>
                    <w:left w:val="single" w:color="auto" w:sz="2" w:space="0"/>
                    <w:bottom w:val="single" w:color="auto" w:sz="2" w:space="0"/>
                    <w:right w:val="single" w:color="auto" w:sz="2" w:space="0"/>
                  </w:tcBorders>
                  <w:vAlign w:val="center"/>
                </w:tcPr>
                <w:p>
                  <w:pPr>
                    <w:jc w:val="center"/>
                    <w:rPr>
                      <w:color w:val="auto"/>
                    </w:rPr>
                  </w:pPr>
                  <w:r>
                    <w:rPr>
                      <w:color w:val="auto"/>
                    </w:rPr>
                    <w:t>生产</w:t>
                  </w:r>
                </w:p>
                <w:p>
                  <w:pPr>
                    <w:jc w:val="center"/>
                    <w:rPr>
                      <w:color w:val="auto"/>
                    </w:rPr>
                  </w:pPr>
                  <w:r>
                    <w:rPr>
                      <w:color w:val="auto"/>
                    </w:rPr>
                    <w:t>过程</w:t>
                  </w:r>
                </w:p>
              </w:tc>
              <w:tc>
                <w:tcPr>
                  <w:tcW w:w="683" w:type="pct"/>
                  <w:tcBorders>
                    <w:top w:val="single" w:color="auto" w:sz="2" w:space="0"/>
                    <w:left w:val="single" w:color="auto" w:sz="2" w:space="0"/>
                    <w:bottom w:val="single" w:color="auto" w:sz="2" w:space="0"/>
                    <w:right w:val="single" w:color="auto" w:sz="2" w:space="0"/>
                  </w:tcBorders>
                  <w:vAlign w:val="center"/>
                </w:tcPr>
                <w:p>
                  <w:pPr>
                    <w:jc w:val="center"/>
                    <w:rPr>
                      <w:color w:val="auto"/>
                    </w:rPr>
                  </w:pPr>
                  <w:r>
                    <w:rPr>
                      <w:color w:val="auto"/>
                    </w:rPr>
                    <w:t>设备运行噪声</w:t>
                  </w:r>
                </w:p>
              </w:tc>
              <w:tc>
                <w:tcPr>
                  <w:tcW w:w="2664" w:type="pct"/>
                  <w:tcBorders>
                    <w:top w:val="single" w:color="auto" w:sz="2" w:space="0"/>
                    <w:left w:val="single" w:color="auto" w:sz="2" w:space="0"/>
                    <w:bottom w:val="single" w:color="auto" w:sz="2" w:space="0"/>
                    <w:right w:val="single" w:color="auto" w:sz="2" w:space="0"/>
                  </w:tcBorders>
                  <w:vAlign w:val="center"/>
                </w:tcPr>
                <w:p>
                  <w:pPr>
                    <w:jc w:val="center"/>
                    <w:rPr>
                      <w:color w:val="auto"/>
                    </w:rPr>
                  </w:pPr>
                  <w:r>
                    <w:rPr>
                      <w:color w:val="auto"/>
                    </w:rPr>
                    <w:t>合理布局，设备选型，减振、消声、墙体隔声，距离衰减，加强生产设备维护保养，采用柔性接头等措施</w:t>
                  </w:r>
                </w:p>
              </w:tc>
              <w:tc>
                <w:tcPr>
                  <w:tcW w:w="413" w:type="pct"/>
                  <w:tcBorders>
                    <w:top w:val="single" w:color="auto" w:sz="2" w:space="0"/>
                    <w:left w:val="single" w:color="auto" w:sz="2" w:space="0"/>
                    <w:bottom w:val="single" w:color="auto" w:sz="2" w:space="0"/>
                    <w:right w:val="single" w:color="auto" w:sz="2" w:space="0"/>
                  </w:tcBorders>
                  <w:vAlign w:val="center"/>
                </w:tcPr>
                <w:p>
                  <w:pPr>
                    <w:jc w:val="center"/>
                    <w:rPr>
                      <w:color w:val="auto"/>
                    </w:rPr>
                  </w:pPr>
                  <w:r>
                    <w:rPr>
                      <w:rFonts w:hint="eastAsia"/>
                      <w:color w:val="auto"/>
                    </w:rPr>
                    <w:t>8</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0" w:hRule="atLeast"/>
                <w:jc w:val="center"/>
              </w:trPr>
              <w:tc>
                <w:tcPr>
                  <w:tcW w:w="433" w:type="pct"/>
                  <w:vMerge w:val="restart"/>
                  <w:tcBorders>
                    <w:top w:val="single" w:color="auto" w:sz="2" w:space="0"/>
                    <w:left w:val="single" w:color="auto" w:sz="2" w:space="0"/>
                    <w:bottom w:val="single" w:color="auto" w:sz="2" w:space="0"/>
                    <w:right w:val="single" w:color="auto" w:sz="2" w:space="0"/>
                  </w:tcBorders>
                  <w:vAlign w:val="center"/>
                </w:tcPr>
                <w:p>
                  <w:pPr>
                    <w:jc w:val="center"/>
                    <w:rPr>
                      <w:color w:val="auto"/>
                    </w:rPr>
                  </w:pPr>
                  <w:r>
                    <w:rPr>
                      <w:color w:val="auto"/>
                    </w:rPr>
                    <w:t>固废</w:t>
                  </w:r>
                </w:p>
                <w:p>
                  <w:pPr>
                    <w:jc w:val="center"/>
                    <w:rPr>
                      <w:color w:val="auto"/>
                    </w:rPr>
                  </w:pPr>
                  <w:r>
                    <w:rPr>
                      <w:color w:val="auto"/>
                    </w:rPr>
                    <w:t>防治</w:t>
                  </w:r>
                </w:p>
                <w:p>
                  <w:pPr>
                    <w:jc w:val="center"/>
                    <w:rPr>
                      <w:color w:val="auto"/>
                    </w:rPr>
                  </w:pPr>
                  <w:r>
                    <w:rPr>
                      <w:color w:val="auto"/>
                    </w:rPr>
                    <w:t>措施</w:t>
                  </w:r>
                </w:p>
              </w:tc>
              <w:tc>
                <w:tcPr>
                  <w:tcW w:w="805" w:type="pct"/>
                  <w:tcBorders>
                    <w:top w:val="single" w:color="auto" w:sz="2" w:space="0"/>
                    <w:left w:val="single" w:color="auto" w:sz="2" w:space="0"/>
                    <w:bottom w:val="single" w:color="auto" w:sz="2" w:space="0"/>
                    <w:right w:val="single" w:color="auto" w:sz="2" w:space="0"/>
                  </w:tcBorders>
                  <w:vAlign w:val="center"/>
                </w:tcPr>
                <w:p>
                  <w:pPr>
                    <w:jc w:val="center"/>
                    <w:rPr>
                      <w:color w:val="auto"/>
                    </w:rPr>
                  </w:pPr>
                  <w:r>
                    <w:rPr>
                      <w:color w:val="auto"/>
                    </w:rPr>
                    <w:t>员工</w:t>
                  </w:r>
                </w:p>
                <w:p>
                  <w:pPr>
                    <w:jc w:val="center"/>
                    <w:rPr>
                      <w:color w:val="auto"/>
                    </w:rPr>
                  </w:pPr>
                  <w:r>
                    <w:rPr>
                      <w:color w:val="auto"/>
                    </w:rPr>
                    <w:t>生活</w:t>
                  </w:r>
                </w:p>
              </w:tc>
              <w:tc>
                <w:tcPr>
                  <w:tcW w:w="683" w:type="pct"/>
                  <w:tcBorders>
                    <w:top w:val="single" w:color="auto" w:sz="2" w:space="0"/>
                    <w:left w:val="single" w:color="auto" w:sz="2" w:space="0"/>
                    <w:bottom w:val="single" w:color="auto" w:sz="2" w:space="0"/>
                    <w:right w:val="single" w:color="auto" w:sz="2" w:space="0"/>
                  </w:tcBorders>
                  <w:vAlign w:val="center"/>
                </w:tcPr>
                <w:p>
                  <w:pPr>
                    <w:pStyle w:val="53"/>
                    <w:spacing w:beforeLines="0" w:afterLines="0" w:line="240" w:lineRule="auto"/>
                    <w:rPr>
                      <w:rFonts w:ascii="Times New Roman"/>
                      <w:color w:val="auto"/>
                    </w:rPr>
                  </w:pPr>
                  <w:r>
                    <w:rPr>
                      <w:rFonts w:ascii="Times New Roman"/>
                      <w:snapToGrid w:val="0"/>
                      <w:color w:val="auto"/>
                      <w:kern w:val="21"/>
                    </w:rPr>
                    <w:t>生活垃圾</w:t>
                  </w:r>
                </w:p>
              </w:tc>
              <w:tc>
                <w:tcPr>
                  <w:tcW w:w="2664" w:type="pct"/>
                  <w:tcBorders>
                    <w:top w:val="single" w:color="auto" w:sz="2" w:space="0"/>
                    <w:left w:val="single" w:color="auto" w:sz="2" w:space="0"/>
                    <w:bottom w:val="single" w:color="auto" w:sz="2" w:space="0"/>
                    <w:right w:val="single" w:color="auto" w:sz="2" w:space="0"/>
                  </w:tcBorders>
                  <w:vAlign w:val="center"/>
                </w:tcPr>
                <w:p>
                  <w:pPr>
                    <w:jc w:val="center"/>
                    <w:rPr>
                      <w:color w:val="auto"/>
                    </w:rPr>
                  </w:pPr>
                  <w:r>
                    <w:rPr>
                      <w:color w:val="auto"/>
                    </w:rPr>
                    <w:t>袋装或桶装分类收集，委托环卫部门统一处理</w:t>
                  </w:r>
                </w:p>
              </w:tc>
              <w:tc>
                <w:tcPr>
                  <w:tcW w:w="413" w:type="pct"/>
                  <w:vMerge w:val="restart"/>
                  <w:tcBorders>
                    <w:top w:val="single" w:color="auto" w:sz="2" w:space="0"/>
                    <w:left w:val="single" w:color="auto" w:sz="2" w:space="0"/>
                    <w:bottom w:val="single" w:color="auto" w:sz="2" w:space="0"/>
                    <w:right w:val="single" w:color="auto" w:sz="2" w:space="0"/>
                  </w:tcBorders>
                  <w:vAlign w:val="center"/>
                </w:tcPr>
                <w:p>
                  <w:pPr>
                    <w:jc w:val="center"/>
                    <w:rPr>
                      <w:color w:val="auto"/>
                    </w:rPr>
                  </w:pPr>
                  <w:r>
                    <w:rPr>
                      <w:rFonts w:hint="eastAsia"/>
                      <w:color w:val="auto"/>
                    </w:rPr>
                    <w:t>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0" w:hRule="atLeast"/>
                <w:jc w:val="center"/>
              </w:trPr>
              <w:tc>
                <w:tcPr>
                  <w:tcW w:w="433" w:type="pct"/>
                  <w:vMerge w:val="continue"/>
                  <w:tcBorders>
                    <w:top w:val="single" w:color="auto" w:sz="2" w:space="0"/>
                    <w:left w:val="single" w:color="auto" w:sz="2" w:space="0"/>
                    <w:bottom w:val="single" w:color="auto" w:sz="2" w:space="0"/>
                    <w:right w:val="single" w:color="auto" w:sz="2" w:space="0"/>
                  </w:tcBorders>
                  <w:vAlign w:val="center"/>
                </w:tcPr>
                <w:p>
                  <w:pPr>
                    <w:jc w:val="center"/>
                    <w:rPr>
                      <w:color w:val="auto"/>
                    </w:rPr>
                  </w:pPr>
                </w:p>
              </w:tc>
              <w:tc>
                <w:tcPr>
                  <w:tcW w:w="805" w:type="pct"/>
                  <w:vMerge w:val="restart"/>
                  <w:tcBorders>
                    <w:top w:val="single" w:color="auto" w:sz="2" w:space="0"/>
                    <w:left w:val="single" w:color="auto" w:sz="2" w:space="0"/>
                    <w:right w:val="single" w:color="auto" w:sz="2" w:space="0"/>
                  </w:tcBorders>
                  <w:vAlign w:val="center"/>
                </w:tcPr>
                <w:p>
                  <w:pPr>
                    <w:jc w:val="center"/>
                    <w:rPr>
                      <w:color w:val="auto"/>
                    </w:rPr>
                  </w:pPr>
                  <w:r>
                    <w:rPr>
                      <w:color w:val="auto"/>
                    </w:rPr>
                    <w:t>生产</w:t>
                  </w:r>
                </w:p>
                <w:p>
                  <w:pPr>
                    <w:jc w:val="center"/>
                    <w:rPr>
                      <w:color w:val="auto"/>
                    </w:rPr>
                  </w:pPr>
                  <w:r>
                    <w:rPr>
                      <w:color w:val="auto"/>
                    </w:rPr>
                    <w:t>过程</w:t>
                  </w:r>
                </w:p>
              </w:tc>
              <w:tc>
                <w:tcPr>
                  <w:tcW w:w="683" w:type="pct"/>
                  <w:tcBorders>
                    <w:top w:val="single" w:color="auto" w:sz="2" w:space="0"/>
                    <w:left w:val="single" w:color="auto" w:sz="2" w:space="0"/>
                    <w:bottom w:val="single" w:color="auto" w:sz="2" w:space="0"/>
                    <w:right w:val="single" w:color="auto" w:sz="2" w:space="0"/>
                  </w:tcBorders>
                  <w:vAlign w:val="center"/>
                </w:tcPr>
                <w:p>
                  <w:pPr>
                    <w:pStyle w:val="53"/>
                    <w:spacing w:beforeLines="0" w:afterLines="0" w:line="240" w:lineRule="auto"/>
                    <w:rPr>
                      <w:rFonts w:ascii="Times New Roman"/>
                      <w:snapToGrid w:val="0"/>
                      <w:color w:val="auto"/>
                      <w:kern w:val="21"/>
                    </w:rPr>
                  </w:pPr>
                  <w:r>
                    <w:rPr>
                      <w:rFonts w:hint="eastAsia" w:ascii="Times New Roman"/>
                      <w:snapToGrid w:val="0"/>
                      <w:color w:val="auto"/>
                      <w:kern w:val="21"/>
                    </w:rPr>
                    <w:t>初清筛杂质</w:t>
                  </w:r>
                </w:p>
              </w:tc>
              <w:tc>
                <w:tcPr>
                  <w:tcW w:w="2664" w:type="pct"/>
                  <w:tcBorders>
                    <w:top w:val="single" w:color="auto" w:sz="2" w:space="0"/>
                    <w:left w:val="single" w:color="auto" w:sz="2" w:space="0"/>
                    <w:right w:val="single" w:color="auto" w:sz="2" w:space="0"/>
                  </w:tcBorders>
                  <w:vAlign w:val="center"/>
                </w:tcPr>
                <w:p>
                  <w:pPr>
                    <w:jc w:val="center"/>
                    <w:rPr>
                      <w:color w:val="auto"/>
                    </w:rPr>
                  </w:pPr>
                  <w:r>
                    <w:rPr>
                      <w:rFonts w:hint="eastAsia"/>
                      <w:color w:val="auto"/>
                    </w:rPr>
                    <w:t>收集后，</w:t>
                  </w:r>
                  <w:r>
                    <w:rPr>
                      <w:color w:val="auto"/>
                    </w:rPr>
                    <w:t>委托环卫部门统一处理</w:t>
                  </w:r>
                </w:p>
              </w:tc>
              <w:tc>
                <w:tcPr>
                  <w:tcW w:w="413" w:type="pct"/>
                  <w:vMerge w:val="continue"/>
                  <w:tcBorders>
                    <w:top w:val="single" w:color="auto" w:sz="2" w:space="0"/>
                    <w:left w:val="single" w:color="auto" w:sz="2" w:space="0"/>
                    <w:bottom w:val="single" w:color="auto" w:sz="2" w:space="0"/>
                    <w:right w:val="single" w:color="auto" w:sz="2" w:space="0"/>
                  </w:tcBorders>
                  <w:vAlign w:val="center"/>
                </w:tcPr>
                <w:p>
                  <w:pPr>
                    <w:jc w:val="center"/>
                    <w:rPr>
                      <w:color w:val="auto"/>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0" w:hRule="atLeast"/>
                <w:jc w:val="center"/>
              </w:trPr>
              <w:tc>
                <w:tcPr>
                  <w:tcW w:w="433" w:type="pct"/>
                  <w:vMerge w:val="continue"/>
                  <w:tcBorders>
                    <w:top w:val="single" w:color="auto" w:sz="2" w:space="0"/>
                    <w:left w:val="single" w:color="auto" w:sz="2" w:space="0"/>
                    <w:bottom w:val="single" w:color="auto" w:sz="2" w:space="0"/>
                    <w:right w:val="single" w:color="auto" w:sz="2" w:space="0"/>
                  </w:tcBorders>
                  <w:vAlign w:val="center"/>
                </w:tcPr>
                <w:p>
                  <w:pPr>
                    <w:jc w:val="center"/>
                    <w:rPr>
                      <w:color w:val="auto"/>
                    </w:rPr>
                  </w:pPr>
                </w:p>
              </w:tc>
              <w:tc>
                <w:tcPr>
                  <w:tcW w:w="805" w:type="pct"/>
                  <w:vMerge w:val="continue"/>
                  <w:tcBorders>
                    <w:left w:val="single" w:color="auto" w:sz="2" w:space="0"/>
                    <w:right w:val="single" w:color="auto" w:sz="2" w:space="0"/>
                  </w:tcBorders>
                  <w:vAlign w:val="center"/>
                </w:tcPr>
                <w:p>
                  <w:pPr>
                    <w:jc w:val="center"/>
                    <w:rPr>
                      <w:color w:val="auto"/>
                    </w:rPr>
                  </w:pPr>
                </w:p>
              </w:tc>
              <w:tc>
                <w:tcPr>
                  <w:tcW w:w="683" w:type="pct"/>
                  <w:tcBorders>
                    <w:top w:val="single" w:color="auto" w:sz="2" w:space="0"/>
                    <w:left w:val="single" w:color="auto" w:sz="2" w:space="0"/>
                    <w:bottom w:val="single" w:color="auto" w:sz="2" w:space="0"/>
                    <w:right w:val="single" w:color="auto" w:sz="2" w:space="0"/>
                  </w:tcBorders>
                  <w:vAlign w:val="center"/>
                </w:tcPr>
                <w:p>
                  <w:pPr>
                    <w:pStyle w:val="53"/>
                    <w:spacing w:beforeLines="0" w:afterLines="0" w:line="240" w:lineRule="auto"/>
                    <w:rPr>
                      <w:rFonts w:ascii="Times New Roman"/>
                      <w:color w:val="auto"/>
                    </w:rPr>
                  </w:pPr>
                  <w:r>
                    <w:rPr>
                      <w:rFonts w:hint="eastAsia" w:ascii="Times New Roman"/>
                      <w:color w:val="auto"/>
                    </w:rPr>
                    <w:t>废包装袋</w:t>
                  </w:r>
                </w:p>
              </w:tc>
              <w:tc>
                <w:tcPr>
                  <w:tcW w:w="2664" w:type="pct"/>
                  <w:vMerge w:val="restart"/>
                  <w:tcBorders>
                    <w:top w:val="single" w:color="auto" w:sz="2" w:space="0"/>
                    <w:left w:val="single" w:color="auto" w:sz="2" w:space="0"/>
                    <w:right w:val="single" w:color="auto" w:sz="2" w:space="0"/>
                  </w:tcBorders>
                  <w:vAlign w:val="center"/>
                </w:tcPr>
                <w:p>
                  <w:pPr>
                    <w:jc w:val="center"/>
                    <w:rPr>
                      <w:color w:val="auto"/>
                    </w:rPr>
                  </w:pPr>
                  <w:r>
                    <w:rPr>
                      <w:rFonts w:hint="eastAsia"/>
                      <w:color w:val="auto"/>
                    </w:rPr>
                    <w:t>分类收集后外售综合利用</w:t>
                  </w:r>
                </w:p>
              </w:tc>
              <w:tc>
                <w:tcPr>
                  <w:tcW w:w="413" w:type="pct"/>
                  <w:vMerge w:val="continue"/>
                  <w:tcBorders>
                    <w:top w:val="single" w:color="auto" w:sz="2" w:space="0"/>
                    <w:left w:val="single" w:color="auto" w:sz="2" w:space="0"/>
                    <w:bottom w:val="single" w:color="auto" w:sz="2" w:space="0"/>
                    <w:right w:val="single" w:color="auto" w:sz="2" w:space="0"/>
                  </w:tcBorders>
                  <w:vAlign w:val="center"/>
                </w:tcPr>
                <w:p>
                  <w:pPr>
                    <w:jc w:val="center"/>
                    <w:rPr>
                      <w:color w:val="auto"/>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0" w:hRule="atLeast"/>
                <w:jc w:val="center"/>
              </w:trPr>
              <w:tc>
                <w:tcPr>
                  <w:tcW w:w="433" w:type="pct"/>
                  <w:vMerge w:val="continue"/>
                  <w:tcBorders>
                    <w:left w:val="single" w:color="auto" w:sz="2" w:space="0"/>
                    <w:bottom w:val="single" w:color="auto" w:sz="2" w:space="0"/>
                    <w:right w:val="single" w:color="auto" w:sz="2" w:space="0"/>
                  </w:tcBorders>
                  <w:vAlign w:val="center"/>
                </w:tcPr>
                <w:p>
                  <w:pPr>
                    <w:jc w:val="center"/>
                    <w:rPr>
                      <w:color w:val="auto"/>
                    </w:rPr>
                  </w:pPr>
                </w:p>
              </w:tc>
              <w:tc>
                <w:tcPr>
                  <w:tcW w:w="805" w:type="pct"/>
                  <w:vMerge w:val="continue"/>
                  <w:tcBorders>
                    <w:left w:val="single" w:color="auto" w:sz="2" w:space="0"/>
                    <w:bottom w:val="single" w:color="auto" w:sz="2" w:space="0"/>
                    <w:right w:val="single" w:color="auto" w:sz="2" w:space="0"/>
                  </w:tcBorders>
                  <w:vAlign w:val="center"/>
                </w:tcPr>
                <w:p>
                  <w:pPr>
                    <w:jc w:val="center"/>
                    <w:rPr>
                      <w:color w:val="auto"/>
                    </w:rPr>
                  </w:pPr>
                </w:p>
              </w:tc>
              <w:tc>
                <w:tcPr>
                  <w:tcW w:w="683" w:type="pct"/>
                  <w:tcBorders>
                    <w:top w:val="single" w:color="auto" w:sz="2" w:space="0"/>
                    <w:left w:val="single" w:color="auto" w:sz="2" w:space="0"/>
                    <w:bottom w:val="single" w:color="auto" w:sz="2" w:space="0"/>
                    <w:right w:val="single" w:color="auto" w:sz="2" w:space="0"/>
                  </w:tcBorders>
                  <w:vAlign w:val="center"/>
                </w:tcPr>
                <w:p>
                  <w:pPr>
                    <w:pStyle w:val="53"/>
                    <w:spacing w:beforeLines="0" w:afterLines="0" w:line="240" w:lineRule="auto"/>
                    <w:rPr>
                      <w:rFonts w:ascii="Times New Roman"/>
                      <w:color w:val="auto"/>
                    </w:rPr>
                  </w:pPr>
                  <w:r>
                    <w:rPr>
                      <w:rFonts w:hint="eastAsia" w:ascii="Times New Roman"/>
                      <w:color w:val="auto"/>
                    </w:rPr>
                    <w:t>磁选杂质</w:t>
                  </w:r>
                </w:p>
              </w:tc>
              <w:tc>
                <w:tcPr>
                  <w:tcW w:w="2664" w:type="pct"/>
                  <w:vMerge w:val="continue"/>
                  <w:tcBorders>
                    <w:left w:val="single" w:color="auto" w:sz="2" w:space="0"/>
                    <w:right w:val="single" w:color="auto" w:sz="2" w:space="0"/>
                  </w:tcBorders>
                  <w:vAlign w:val="center"/>
                </w:tcPr>
                <w:p>
                  <w:pPr>
                    <w:jc w:val="center"/>
                    <w:rPr>
                      <w:color w:val="auto"/>
                    </w:rPr>
                  </w:pPr>
                </w:p>
              </w:tc>
              <w:tc>
                <w:tcPr>
                  <w:tcW w:w="413" w:type="pct"/>
                  <w:vMerge w:val="continue"/>
                  <w:tcBorders>
                    <w:left w:val="single" w:color="auto" w:sz="2" w:space="0"/>
                    <w:bottom w:val="single" w:color="auto" w:sz="2" w:space="0"/>
                    <w:right w:val="single" w:color="auto" w:sz="2" w:space="0"/>
                  </w:tcBorders>
                  <w:vAlign w:val="center"/>
                </w:tcPr>
                <w:p>
                  <w:pPr>
                    <w:jc w:val="center"/>
                    <w:rPr>
                      <w:color w:val="auto"/>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0" w:hRule="atLeast"/>
                <w:jc w:val="center"/>
              </w:trPr>
              <w:tc>
                <w:tcPr>
                  <w:tcW w:w="433" w:type="pct"/>
                  <w:vMerge w:val="continue"/>
                  <w:tcBorders>
                    <w:left w:val="single" w:color="auto" w:sz="2" w:space="0"/>
                    <w:bottom w:val="single" w:color="auto" w:sz="2" w:space="0"/>
                    <w:right w:val="single" w:color="auto" w:sz="2" w:space="0"/>
                  </w:tcBorders>
                  <w:vAlign w:val="center"/>
                </w:tcPr>
                <w:p>
                  <w:pPr>
                    <w:jc w:val="center"/>
                    <w:rPr>
                      <w:color w:val="auto"/>
                    </w:rPr>
                  </w:pPr>
                </w:p>
              </w:tc>
              <w:tc>
                <w:tcPr>
                  <w:tcW w:w="805" w:type="pct"/>
                  <w:vMerge w:val="continue"/>
                  <w:tcBorders>
                    <w:left w:val="single" w:color="auto" w:sz="2" w:space="0"/>
                    <w:bottom w:val="single" w:color="auto" w:sz="2" w:space="0"/>
                    <w:right w:val="single" w:color="auto" w:sz="2" w:space="0"/>
                  </w:tcBorders>
                  <w:vAlign w:val="center"/>
                </w:tcPr>
                <w:p>
                  <w:pPr>
                    <w:jc w:val="center"/>
                    <w:rPr>
                      <w:color w:val="auto"/>
                    </w:rPr>
                  </w:pPr>
                </w:p>
              </w:tc>
              <w:tc>
                <w:tcPr>
                  <w:tcW w:w="683" w:type="pct"/>
                  <w:tcBorders>
                    <w:top w:val="single" w:color="auto" w:sz="2" w:space="0"/>
                    <w:left w:val="single" w:color="auto" w:sz="2" w:space="0"/>
                    <w:bottom w:val="single" w:color="auto" w:sz="2" w:space="0"/>
                    <w:right w:val="single" w:color="auto" w:sz="2" w:space="0"/>
                  </w:tcBorders>
                  <w:vAlign w:val="center"/>
                </w:tcPr>
                <w:p>
                  <w:pPr>
                    <w:pStyle w:val="53"/>
                    <w:spacing w:beforeLines="0" w:afterLines="0" w:line="240" w:lineRule="auto"/>
                    <w:rPr>
                      <w:rFonts w:ascii="Times New Roman"/>
                      <w:color w:val="auto"/>
                    </w:rPr>
                  </w:pPr>
                  <w:r>
                    <w:rPr>
                      <w:rFonts w:hint="eastAsia" w:ascii="Times New Roman"/>
                      <w:color w:val="auto"/>
                    </w:rPr>
                    <w:t>除尘器收集的粉尘</w:t>
                  </w:r>
                </w:p>
              </w:tc>
              <w:tc>
                <w:tcPr>
                  <w:tcW w:w="2664" w:type="pct"/>
                  <w:tcBorders>
                    <w:left w:val="single" w:color="auto" w:sz="2" w:space="0"/>
                    <w:right w:val="single" w:color="auto" w:sz="2" w:space="0"/>
                  </w:tcBorders>
                  <w:vAlign w:val="center"/>
                </w:tcPr>
                <w:p>
                  <w:pPr>
                    <w:jc w:val="center"/>
                    <w:rPr>
                      <w:color w:val="auto"/>
                    </w:rPr>
                  </w:pPr>
                  <w:r>
                    <w:rPr>
                      <w:rFonts w:hint="eastAsia"/>
                      <w:color w:val="auto"/>
                    </w:rPr>
                    <w:t>收集后回用于生产</w:t>
                  </w:r>
                </w:p>
              </w:tc>
              <w:tc>
                <w:tcPr>
                  <w:tcW w:w="413" w:type="pct"/>
                  <w:vMerge w:val="continue"/>
                  <w:tcBorders>
                    <w:left w:val="single" w:color="auto" w:sz="2" w:space="0"/>
                    <w:bottom w:val="single" w:color="auto" w:sz="2" w:space="0"/>
                    <w:right w:val="single" w:color="auto" w:sz="2" w:space="0"/>
                  </w:tcBorders>
                  <w:vAlign w:val="center"/>
                </w:tcPr>
                <w:p>
                  <w:pPr>
                    <w:jc w:val="center"/>
                    <w:rPr>
                      <w:color w:val="auto"/>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0" w:hRule="atLeast"/>
                <w:jc w:val="center"/>
              </w:trPr>
              <w:tc>
                <w:tcPr>
                  <w:tcW w:w="433" w:type="pct"/>
                  <w:vMerge w:val="continue"/>
                  <w:tcBorders>
                    <w:top w:val="single" w:color="auto" w:sz="2" w:space="0"/>
                    <w:left w:val="single" w:color="auto" w:sz="2" w:space="0"/>
                    <w:bottom w:val="single" w:color="auto" w:sz="2" w:space="0"/>
                    <w:right w:val="single" w:color="auto" w:sz="2" w:space="0"/>
                  </w:tcBorders>
                  <w:vAlign w:val="center"/>
                </w:tcPr>
                <w:p>
                  <w:pPr>
                    <w:jc w:val="center"/>
                    <w:rPr>
                      <w:color w:val="auto"/>
                    </w:rPr>
                  </w:pPr>
                </w:p>
              </w:tc>
              <w:tc>
                <w:tcPr>
                  <w:tcW w:w="805" w:type="pct"/>
                  <w:vMerge w:val="continue"/>
                  <w:tcBorders>
                    <w:top w:val="single" w:color="auto" w:sz="2" w:space="0"/>
                    <w:left w:val="single" w:color="auto" w:sz="2" w:space="0"/>
                    <w:bottom w:val="single" w:color="auto" w:sz="2" w:space="0"/>
                    <w:right w:val="single" w:color="auto" w:sz="2" w:space="0"/>
                  </w:tcBorders>
                  <w:vAlign w:val="center"/>
                </w:tcPr>
                <w:p>
                  <w:pPr>
                    <w:jc w:val="center"/>
                    <w:rPr>
                      <w:color w:val="auto"/>
                    </w:rPr>
                  </w:pPr>
                </w:p>
              </w:tc>
              <w:tc>
                <w:tcPr>
                  <w:tcW w:w="683" w:type="pct"/>
                  <w:tcBorders>
                    <w:top w:val="single" w:color="auto" w:sz="2" w:space="0"/>
                    <w:left w:val="single" w:color="auto" w:sz="2" w:space="0"/>
                    <w:bottom w:val="single" w:color="auto" w:sz="2" w:space="0"/>
                    <w:right w:val="single" w:color="auto" w:sz="2" w:space="0"/>
                  </w:tcBorders>
                  <w:vAlign w:val="center"/>
                </w:tcPr>
                <w:p>
                  <w:pPr>
                    <w:pStyle w:val="53"/>
                    <w:spacing w:beforeLines="0" w:afterLines="0" w:line="240" w:lineRule="auto"/>
                    <w:rPr>
                      <w:rFonts w:ascii="Times New Roman"/>
                      <w:color w:val="auto"/>
                    </w:rPr>
                  </w:pPr>
                  <w:r>
                    <w:rPr>
                      <w:rFonts w:hint="eastAsia" w:ascii="Times New Roman"/>
                      <w:snapToGrid w:val="0"/>
                      <w:color w:val="auto"/>
                      <w:kern w:val="21"/>
                    </w:rPr>
                    <w:t>废机油</w:t>
                  </w:r>
                </w:p>
              </w:tc>
              <w:tc>
                <w:tcPr>
                  <w:tcW w:w="2664" w:type="pct"/>
                  <w:vMerge w:val="restart"/>
                  <w:tcBorders>
                    <w:top w:val="single" w:color="auto" w:sz="2" w:space="0"/>
                    <w:left w:val="single" w:color="auto" w:sz="2" w:space="0"/>
                    <w:right w:val="single" w:color="auto" w:sz="2" w:space="0"/>
                  </w:tcBorders>
                  <w:vAlign w:val="center"/>
                </w:tcPr>
                <w:p>
                  <w:pPr>
                    <w:jc w:val="center"/>
                    <w:rPr>
                      <w:color w:val="auto"/>
                    </w:rPr>
                  </w:pPr>
                  <w:r>
                    <w:rPr>
                      <w:rFonts w:hint="eastAsia"/>
                      <w:color w:val="auto"/>
                    </w:rPr>
                    <w:t>暂存于危废暂存间，委托有危废处理资质的公司妥善处理</w:t>
                  </w:r>
                </w:p>
              </w:tc>
              <w:tc>
                <w:tcPr>
                  <w:tcW w:w="413" w:type="pct"/>
                  <w:vMerge w:val="continue"/>
                  <w:tcBorders>
                    <w:top w:val="single" w:color="auto" w:sz="2" w:space="0"/>
                    <w:left w:val="single" w:color="auto" w:sz="2" w:space="0"/>
                    <w:bottom w:val="single" w:color="auto" w:sz="2" w:space="0"/>
                    <w:right w:val="single" w:color="auto" w:sz="2" w:space="0"/>
                  </w:tcBorders>
                  <w:vAlign w:val="center"/>
                </w:tcPr>
                <w:p>
                  <w:pPr>
                    <w:jc w:val="center"/>
                    <w:rPr>
                      <w:color w:val="auto"/>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0" w:hRule="atLeast"/>
                <w:jc w:val="center"/>
              </w:trPr>
              <w:tc>
                <w:tcPr>
                  <w:tcW w:w="433" w:type="pct"/>
                  <w:vMerge w:val="continue"/>
                  <w:tcBorders>
                    <w:left w:val="single" w:color="auto" w:sz="2" w:space="0"/>
                    <w:bottom w:val="single" w:color="auto" w:sz="2" w:space="0"/>
                    <w:right w:val="single" w:color="auto" w:sz="2" w:space="0"/>
                  </w:tcBorders>
                  <w:vAlign w:val="center"/>
                </w:tcPr>
                <w:p>
                  <w:pPr>
                    <w:jc w:val="center"/>
                    <w:rPr>
                      <w:color w:val="auto"/>
                    </w:rPr>
                  </w:pPr>
                </w:p>
              </w:tc>
              <w:tc>
                <w:tcPr>
                  <w:tcW w:w="805" w:type="pct"/>
                  <w:vMerge w:val="continue"/>
                  <w:tcBorders>
                    <w:left w:val="single" w:color="auto" w:sz="2" w:space="0"/>
                    <w:bottom w:val="single" w:color="auto" w:sz="2" w:space="0"/>
                    <w:right w:val="single" w:color="auto" w:sz="2" w:space="0"/>
                  </w:tcBorders>
                  <w:vAlign w:val="center"/>
                </w:tcPr>
                <w:p>
                  <w:pPr>
                    <w:jc w:val="center"/>
                    <w:rPr>
                      <w:color w:val="auto"/>
                    </w:rPr>
                  </w:pPr>
                </w:p>
              </w:tc>
              <w:tc>
                <w:tcPr>
                  <w:tcW w:w="683" w:type="pct"/>
                  <w:tcBorders>
                    <w:top w:val="single" w:color="auto" w:sz="2" w:space="0"/>
                    <w:left w:val="single" w:color="auto" w:sz="2" w:space="0"/>
                    <w:bottom w:val="single" w:color="auto" w:sz="2" w:space="0"/>
                    <w:right w:val="single" w:color="auto" w:sz="2" w:space="0"/>
                  </w:tcBorders>
                  <w:vAlign w:val="center"/>
                </w:tcPr>
                <w:p>
                  <w:pPr>
                    <w:pStyle w:val="53"/>
                    <w:spacing w:beforeLines="0" w:afterLines="0" w:line="240" w:lineRule="auto"/>
                    <w:rPr>
                      <w:rFonts w:ascii="Times New Roman"/>
                      <w:color w:val="auto"/>
                    </w:rPr>
                  </w:pPr>
                  <w:r>
                    <w:rPr>
                      <w:rFonts w:hint="eastAsia" w:ascii="Times New Roman"/>
                      <w:color w:val="auto"/>
                    </w:rPr>
                    <w:t>废机油桶</w:t>
                  </w:r>
                </w:p>
              </w:tc>
              <w:tc>
                <w:tcPr>
                  <w:tcW w:w="2664" w:type="pct"/>
                  <w:vMerge w:val="continue"/>
                  <w:tcBorders>
                    <w:left w:val="single" w:color="auto" w:sz="2" w:space="0"/>
                    <w:bottom w:val="single" w:color="auto" w:sz="2" w:space="0"/>
                    <w:right w:val="single" w:color="auto" w:sz="2" w:space="0"/>
                  </w:tcBorders>
                  <w:vAlign w:val="center"/>
                </w:tcPr>
                <w:p>
                  <w:pPr>
                    <w:jc w:val="center"/>
                    <w:rPr>
                      <w:color w:val="auto"/>
                    </w:rPr>
                  </w:pPr>
                </w:p>
              </w:tc>
              <w:tc>
                <w:tcPr>
                  <w:tcW w:w="413" w:type="pct"/>
                  <w:vMerge w:val="continue"/>
                  <w:tcBorders>
                    <w:left w:val="single" w:color="auto" w:sz="2" w:space="0"/>
                    <w:bottom w:val="single" w:color="auto" w:sz="2" w:space="0"/>
                    <w:right w:val="single" w:color="auto" w:sz="2" w:space="0"/>
                  </w:tcBorders>
                  <w:vAlign w:val="center"/>
                </w:tcPr>
                <w:p>
                  <w:pPr>
                    <w:jc w:val="center"/>
                    <w:rPr>
                      <w:color w:val="auto"/>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54" w:hRule="atLeast"/>
                <w:jc w:val="center"/>
              </w:trPr>
              <w:tc>
                <w:tcPr>
                  <w:tcW w:w="433" w:type="pct"/>
                  <w:vMerge w:val="restart"/>
                  <w:tcBorders>
                    <w:top w:val="single" w:color="auto" w:sz="2" w:space="0"/>
                    <w:left w:val="single" w:color="auto" w:sz="2" w:space="0"/>
                    <w:right w:val="single" w:color="auto" w:sz="2" w:space="0"/>
                  </w:tcBorders>
                  <w:vAlign w:val="center"/>
                </w:tcPr>
                <w:p>
                  <w:pPr>
                    <w:jc w:val="center"/>
                    <w:rPr>
                      <w:color w:val="auto"/>
                    </w:rPr>
                  </w:pPr>
                  <w:r>
                    <w:rPr>
                      <w:color w:val="auto"/>
                    </w:rPr>
                    <w:t>防渗</w:t>
                  </w:r>
                </w:p>
                <w:p>
                  <w:pPr>
                    <w:jc w:val="center"/>
                    <w:rPr>
                      <w:color w:val="auto"/>
                    </w:rPr>
                  </w:pPr>
                  <w:r>
                    <w:rPr>
                      <w:color w:val="auto"/>
                    </w:rPr>
                    <w:t>措施</w:t>
                  </w:r>
                </w:p>
              </w:tc>
              <w:tc>
                <w:tcPr>
                  <w:tcW w:w="805" w:type="pct"/>
                  <w:tcBorders>
                    <w:top w:val="single" w:color="auto" w:sz="2" w:space="0"/>
                    <w:left w:val="single" w:color="auto" w:sz="2" w:space="0"/>
                    <w:bottom w:val="single" w:color="auto" w:sz="2" w:space="0"/>
                    <w:right w:val="single" w:color="auto" w:sz="2" w:space="0"/>
                  </w:tcBorders>
                  <w:vAlign w:val="center"/>
                </w:tcPr>
                <w:p>
                  <w:pPr>
                    <w:jc w:val="center"/>
                    <w:rPr>
                      <w:color w:val="auto"/>
                    </w:rPr>
                  </w:pPr>
                  <w:r>
                    <w:rPr>
                      <w:color w:val="auto"/>
                    </w:rPr>
                    <w:t>重点防渗区</w:t>
                  </w:r>
                </w:p>
              </w:tc>
              <w:tc>
                <w:tcPr>
                  <w:tcW w:w="3347" w:type="pct"/>
                  <w:gridSpan w:val="2"/>
                  <w:tcBorders>
                    <w:top w:val="single" w:color="auto" w:sz="2" w:space="0"/>
                    <w:left w:val="single" w:color="auto" w:sz="2" w:space="0"/>
                    <w:bottom w:val="single" w:color="auto" w:sz="2" w:space="0"/>
                    <w:right w:val="single" w:color="auto" w:sz="2" w:space="0"/>
                  </w:tcBorders>
                  <w:vAlign w:val="center"/>
                </w:tcPr>
                <w:p>
                  <w:pPr>
                    <w:jc w:val="center"/>
                    <w:rPr>
                      <w:color w:val="auto"/>
                    </w:rPr>
                  </w:pPr>
                  <w:r>
                    <w:rPr>
                      <w:rFonts w:hint="eastAsia"/>
                      <w:color w:val="auto"/>
                    </w:rPr>
                    <w:t>危废暂存间进行重点防渗</w:t>
                  </w:r>
                  <w:r>
                    <w:rPr>
                      <w:color w:val="auto"/>
                    </w:rPr>
                    <w:t>；</w:t>
                  </w:r>
                  <w:r>
                    <w:rPr>
                      <w:rFonts w:hint="eastAsia"/>
                      <w:color w:val="auto"/>
                    </w:rPr>
                    <w:t>防渗要求：</w:t>
                  </w:r>
                  <w:r>
                    <w:rPr>
                      <w:color w:val="auto"/>
                    </w:rPr>
                    <w:t>等效黏土层Mb≥1.0m，渗透系数K≤1×10</w:t>
                  </w:r>
                  <w:r>
                    <w:rPr>
                      <w:color w:val="auto"/>
                      <w:vertAlign w:val="superscript"/>
                    </w:rPr>
                    <w:t>-7</w:t>
                  </w:r>
                  <w:r>
                    <w:rPr>
                      <w:color w:val="auto"/>
                    </w:rPr>
                    <w:t>cm/s</w:t>
                  </w:r>
                </w:p>
              </w:tc>
              <w:tc>
                <w:tcPr>
                  <w:tcW w:w="413" w:type="pct"/>
                  <w:vMerge w:val="restart"/>
                  <w:tcBorders>
                    <w:top w:val="single" w:color="auto" w:sz="2" w:space="0"/>
                    <w:left w:val="single" w:color="auto" w:sz="2" w:space="0"/>
                    <w:bottom w:val="single" w:color="auto" w:sz="2" w:space="0"/>
                    <w:right w:val="single" w:color="auto" w:sz="2" w:space="0"/>
                  </w:tcBorders>
                  <w:vAlign w:val="center"/>
                </w:tcPr>
                <w:p>
                  <w:pPr>
                    <w:jc w:val="center"/>
                    <w:rPr>
                      <w:color w:val="auto"/>
                    </w:rPr>
                  </w:pPr>
                  <w:r>
                    <w:rPr>
                      <w:rFonts w:hint="eastAsia"/>
                      <w:color w:val="auto"/>
                    </w:rPr>
                    <w:t>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0" w:hRule="atLeast"/>
                <w:jc w:val="center"/>
              </w:trPr>
              <w:tc>
                <w:tcPr>
                  <w:tcW w:w="433" w:type="pct"/>
                  <w:vMerge w:val="continue"/>
                  <w:tcBorders>
                    <w:left w:val="single" w:color="auto" w:sz="2" w:space="0"/>
                    <w:bottom w:val="single" w:color="auto" w:sz="2" w:space="0"/>
                    <w:right w:val="single" w:color="auto" w:sz="2" w:space="0"/>
                  </w:tcBorders>
                  <w:vAlign w:val="center"/>
                </w:tcPr>
                <w:p>
                  <w:pPr>
                    <w:jc w:val="center"/>
                    <w:rPr>
                      <w:color w:val="auto"/>
                    </w:rPr>
                  </w:pPr>
                </w:p>
              </w:tc>
              <w:tc>
                <w:tcPr>
                  <w:tcW w:w="805" w:type="pct"/>
                  <w:tcBorders>
                    <w:top w:val="single" w:color="auto" w:sz="2" w:space="0"/>
                    <w:left w:val="single" w:color="auto" w:sz="2" w:space="0"/>
                    <w:bottom w:val="single" w:color="auto" w:sz="2" w:space="0"/>
                    <w:right w:val="single" w:color="auto" w:sz="2" w:space="0"/>
                  </w:tcBorders>
                  <w:vAlign w:val="center"/>
                </w:tcPr>
                <w:p>
                  <w:pPr>
                    <w:jc w:val="center"/>
                    <w:rPr>
                      <w:color w:val="auto"/>
                    </w:rPr>
                  </w:pPr>
                  <w:r>
                    <w:rPr>
                      <w:rFonts w:hint="eastAsia"/>
                      <w:color w:val="auto"/>
                    </w:rPr>
                    <w:t>一般防渗区</w:t>
                  </w:r>
                </w:p>
              </w:tc>
              <w:tc>
                <w:tcPr>
                  <w:tcW w:w="3347" w:type="pct"/>
                  <w:gridSpan w:val="2"/>
                  <w:tcBorders>
                    <w:top w:val="single" w:color="auto" w:sz="2" w:space="0"/>
                    <w:left w:val="single" w:color="auto" w:sz="2" w:space="0"/>
                    <w:bottom w:val="single" w:color="auto" w:sz="2" w:space="0"/>
                    <w:right w:val="single" w:color="auto" w:sz="2" w:space="0"/>
                  </w:tcBorders>
                  <w:vAlign w:val="center"/>
                </w:tcPr>
                <w:p>
                  <w:pPr>
                    <w:jc w:val="center"/>
                    <w:rPr>
                      <w:color w:val="auto"/>
                    </w:rPr>
                  </w:pPr>
                  <w:r>
                    <w:rPr>
                      <w:color w:val="auto"/>
                    </w:rPr>
                    <w:t>主要包括成品库、原料库、综合楼、主车间、一般固废暂存间等，可采用改性压实粘土类衬层或具有同等以上隔水效力的其他材料防渗衬层，其防渗性能应至少相当于渗透系数为1.0×10</w:t>
                  </w:r>
                  <w:r>
                    <w:rPr>
                      <w:color w:val="auto"/>
                      <w:vertAlign w:val="superscript"/>
                    </w:rPr>
                    <w:t>-5</w:t>
                  </w:r>
                  <w:r>
                    <w:rPr>
                      <w:color w:val="auto"/>
                    </w:rPr>
                    <w:t>cm/s且厚度为0.75m的天然基础层</w:t>
                  </w:r>
                </w:p>
              </w:tc>
              <w:tc>
                <w:tcPr>
                  <w:tcW w:w="413" w:type="pct"/>
                  <w:vMerge w:val="continue"/>
                  <w:tcBorders>
                    <w:left w:val="single" w:color="auto" w:sz="2" w:space="0"/>
                    <w:right w:val="single" w:color="auto" w:sz="2" w:space="0"/>
                  </w:tcBorders>
                  <w:vAlign w:val="center"/>
                </w:tcPr>
                <w:p>
                  <w:pPr>
                    <w:jc w:val="center"/>
                    <w:rPr>
                      <w:color w:val="auto"/>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0" w:hRule="atLeast"/>
                <w:jc w:val="center"/>
              </w:trPr>
              <w:tc>
                <w:tcPr>
                  <w:tcW w:w="433" w:type="pct"/>
                  <w:vMerge w:val="continue"/>
                  <w:tcBorders>
                    <w:left w:val="single" w:color="auto" w:sz="2" w:space="0"/>
                    <w:bottom w:val="single" w:color="auto" w:sz="2" w:space="0"/>
                    <w:right w:val="single" w:color="auto" w:sz="2" w:space="0"/>
                  </w:tcBorders>
                  <w:vAlign w:val="center"/>
                </w:tcPr>
                <w:p>
                  <w:pPr>
                    <w:jc w:val="center"/>
                    <w:rPr>
                      <w:color w:val="auto"/>
                    </w:rPr>
                  </w:pPr>
                </w:p>
              </w:tc>
              <w:tc>
                <w:tcPr>
                  <w:tcW w:w="805" w:type="pct"/>
                  <w:tcBorders>
                    <w:top w:val="single" w:color="auto" w:sz="2" w:space="0"/>
                    <w:left w:val="single" w:color="auto" w:sz="2" w:space="0"/>
                    <w:bottom w:val="single" w:color="auto" w:sz="2" w:space="0"/>
                    <w:right w:val="single" w:color="auto" w:sz="2" w:space="0"/>
                  </w:tcBorders>
                  <w:vAlign w:val="center"/>
                </w:tcPr>
                <w:p>
                  <w:pPr>
                    <w:jc w:val="center"/>
                    <w:rPr>
                      <w:color w:val="auto"/>
                    </w:rPr>
                  </w:pPr>
                  <w:r>
                    <w:rPr>
                      <w:rFonts w:hint="eastAsia"/>
                      <w:color w:val="auto"/>
                    </w:rPr>
                    <w:t>简单防渗区</w:t>
                  </w:r>
                </w:p>
              </w:tc>
              <w:tc>
                <w:tcPr>
                  <w:tcW w:w="3347" w:type="pct"/>
                  <w:gridSpan w:val="2"/>
                  <w:tcBorders>
                    <w:top w:val="single" w:color="auto" w:sz="2" w:space="0"/>
                    <w:left w:val="single" w:color="auto" w:sz="2" w:space="0"/>
                    <w:bottom w:val="single" w:color="auto" w:sz="2" w:space="0"/>
                    <w:right w:val="single" w:color="auto" w:sz="2" w:space="0"/>
                  </w:tcBorders>
                  <w:vAlign w:val="center"/>
                </w:tcPr>
                <w:p>
                  <w:pPr>
                    <w:jc w:val="center"/>
                    <w:rPr>
                      <w:color w:val="auto"/>
                    </w:rPr>
                  </w:pPr>
                  <w:r>
                    <w:rPr>
                      <w:rFonts w:ascii="宋体" w:hAnsi="宋体" w:cs="宋体"/>
                      <w:color w:val="auto"/>
                    </w:rPr>
                    <w:t>主要包括厂区道路等，混凝土硬化的方式进行防渗处理</w:t>
                  </w:r>
                </w:p>
              </w:tc>
              <w:tc>
                <w:tcPr>
                  <w:tcW w:w="413" w:type="pct"/>
                  <w:vMerge w:val="continue"/>
                  <w:tcBorders>
                    <w:left w:val="single" w:color="auto" w:sz="2" w:space="0"/>
                    <w:right w:val="single" w:color="auto" w:sz="2" w:space="0"/>
                  </w:tcBorders>
                  <w:vAlign w:val="center"/>
                </w:tcPr>
                <w:p>
                  <w:pPr>
                    <w:jc w:val="center"/>
                    <w:rPr>
                      <w:color w:val="auto"/>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0" w:hRule="atLeast"/>
                <w:jc w:val="center"/>
              </w:trPr>
              <w:tc>
                <w:tcPr>
                  <w:tcW w:w="433" w:type="pct"/>
                  <w:tcBorders>
                    <w:top w:val="single" w:color="auto" w:sz="2" w:space="0"/>
                    <w:left w:val="single" w:color="auto" w:sz="2" w:space="0"/>
                    <w:bottom w:val="single" w:color="auto" w:sz="2" w:space="0"/>
                    <w:right w:val="single" w:color="auto" w:sz="2" w:space="0"/>
                  </w:tcBorders>
                  <w:vAlign w:val="center"/>
                </w:tcPr>
                <w:p>
                  <w:pPr>
                    <w:jc w:val="center"/>
                    <w:rPr>
                      <w:color w:val="auto"/>
                    </w:rPr>
                  </w:pPr>
                  <w:r>
                    <w:rPr>
                      <w:color w:val="auto"/>
                    </w:rPr>
                    <w:t>风险</w:t>
                  </w:r>
                </w:p>
                <w:p>
                  <w:pPr>
                    <w:jc w:val="center"/>
                    <w:rPr>
                      <w:color w:val="auto"/>
                    </w:rPr>
                  </w:pPr>
                  <w:r>
                    <w:rPr>
                      <w:color w:val="auto"/>
                    </w:rPr>
                    <w:t>防范</w:t>
                  </w:r>
                </w:p>
              </w:tc>
              <w:tc>
                <w:tcPr>
                  <w:tcW w:w="4153" w:type="pct"/>
                  <w:gridSpan w:val="3"/>
                  <w:tcBorders>
                    <w:top w:val="single" w:color="auto" w:sz="2" w:space="0"/>
                    <w:left w:val="single" w:color="auto" w:sz="2" w:space="0"/>
                    <w:bottom w:val="single" w:color="auto" w:sz="2" w:space="0"/>
                    <w:right w:val="single" w:color="auto" w:sz="2" w:space="0"/>
                  </w:tcBorders>
                  <w:vAlign w:val="center"/>
                </w:tcPr>
                <w:p>
                  <w:pPr>
                    <w:jc w:val="center"/>
                    <w:rPr>
                      <w:color w:val="auto"/>
                    </w:rPr>
                  </w:pPr>
                  <w:r>
                    <w:rPr>
                      <w:color w:val="auto"/>
                    </w:rPr>
                    <w:t>①原料贮存过程风险防范；②消防、火灾报警系统；③火灾和爆炸等防范措施；④固体废物事故风险防范措施；⑤总图布置防范措施；⑥废气事故应急措施；⑦应急预案</w:t>
                  </w:r>
                </w:p>
              </w:tc>
              <w:tc>
                <w:tcPr>
                  <w:tcW w:w="413" w:type="pct"/>
                  <w:vMerge w:val="continue"/>
                  <w:tcBorders>
                    <w:top w:val="single" w:color="auto" w:sz="2" w:space="0"/>
                    <w:left w:val="single" w:color="auto" w:sz="2" w:space="0"/>
                    <w:bottom w:val="single" w:color="auto" w:sz="2" w:space="0"/>
                    <w:right w:val="single" w:color="auto" w:sz="2" w:space="0"/>
                  </w:tcBorders>
                  <w:vAlign w:val="center"/>
                </w:tcPr>
                <w:p>
                  <w:pPr>
                    <w:jc w:val="center"/>
                    <w:rPr>
                      <w:color w:val="auto"/>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0" w:hRule="atLeast"/>
                <w:jc w:val="center"/>
              </w:trPr>
              <w:tc>
                <w:tcPr>
                  <w:tcW w:w="4586" w:type="pct"/>
                  <w:gridSpan w:val="4"/>
                  <w:tcBorders>
                    <w:top w:val="single" w:color="auto" w:sz="2" w:space="0"/>
                    <w:left w:val="single" w:color="auto" w:sz="2" w:space="0"/>
                    <w:bottom w:val="single" w:color="auto" w:sz="2" w:space="0"/>
                    <w:right w:val="single" w:color="auto" w:sz="2" w:space="0"/>
                  </w:tcBorders>
                  <w:vAlign w:val="center"/>
                </w:tcPr>
                <w:p>
                  <w:pPr>
                    <w:jc w:val="center"/>
                    <w:rPr>
                      <w:color w:val="auto"/>
                    </w:rPr>
                  </w:pPr>
                  <w:r>
                    <w:rPr>
                      <w:color w:val="auto"/>
                    </w:rPr>
                    <w:t>总计</w:t>
                  </w:r>
                </w:p>
              </w:tc>
              <w:tc>
                <w:tcPr>
                  <w:tcW w:w="413" w:type="pct"/>
                  <w:tcBorders>
                    <w:top w:val="single" w:color="auto" w:sz="2" w:space="0"/>
                    <w:left w:val="single" w:color="auto" w:sz="2" w:space="0"/>
                    <w:bottom w:val="single" w:color="auto" w:sz="2" w:space="0"/>
                    <w:right w:val="single" w:color="auto" w:sz="2" w:space="0"/>
                  </w:tcBorders>
                  <w:vAlign w:val="center"/>
                </w:tcPr>
                <w:p>
                  <w:pPr>
                    <w:jc w:val="center"/>
                    <w:rPr>
                      <w:color w:val="auto"/>
                    </w:rPr>
                  </w:pPr>
                  <w:r>
                    <w:rPr>
                      <w:rFonts w:hint="eastAsia"/>
                      <w:color w:val="auto"/>
                    </w:rPr>
                    <w:t>108</w:t>
                  </w:r>
                </w:p>
              </w:tc>
            </w:tr>
          </w:tbl>
          <w:p>
            <w:pPr>
              <w:pStyle w:val="82"/>
              <w:adjustRightInd w:val="0"/>
              <w:snapToGrid w:val="0"/>
              <w:spacing w:before="0" w:line="360" w:lineRule="auto"/>
              <w:ind w:firstLine="31680"/>
              <w:rPr>
                <w:rFonts w:hint="default" w:ascii="Times New Roman" w:hAnsi="Times New Roman" w:cs="Times New Roman"/>
                <w:b/>
                <w:bCs/>
                <w:spacing w:val="4"/>
              </w:rPr>
            </w:pPr>
            <w:r>
              <w:rPr>
                <w:rFonts w:hint="default" w:ascii="Times New Roman" w:hAnsi="Times New Roman" w:cs="Times New Roman"/>
                <w:b/>
                <w:bCs/>
                <w:spacing w:val="4"/>
              </w:rPr>
              <w:t>9、项目“三本账”</w:t>
            </w:r>
          </w:p>
          <w:p>
            <w:pPr>
              <w:snapToGrid w:val="0"/>
              <w:spacing w:line="360" w:lineRule="auto"/>
              <w:jc w:val="center"/>
              <w:rPr>
                <w:rFonts w:hint="default" w:ascii="Times New Roman" w:hAnsi="Times New Roman" w:cs="Times New Roman"/>
                <w:b/>
                <w:bCs/>
                <w:sz w:val="24"/>
                <w:szCs w:val="24"/>
              </w:rPr>
            </w:pPr>
            <w:r>
              <w:rPr>
                <w:rFonts w:hint="default" w:ascii="Times New Roman" w:hAnsi="Times New Roman" w:cs="Times New Roman"/>
                <w:b/>
                <w:bCs/>
                <w:sz w:val="24"/>
                <w:szCs w:val="24"/>
              </w:rPr>
              <w:t>表4-2</w:t>
            </w:r>
            <w:r>
              <w:rPr>
                <w:rFonts w:hint="eastAsia" w:cs="Times New Roman"/>
                <w:b/>
                <w:bCs/>
                <w:sz w:val="24"/>
                <w:szCs w:val="24"/>
                <w:lang w:val="en-US" w:eastAsia="zh-CN"/>
              </w:rPr>
              <w:t>3</w:t>
            </w:r>
            <w:r>
              <w:rPr>
                <w:rFonts w:hint="default" w:ascii="Times New Roman" w:hAnsi="Times New Roman" w:cs="Times New Roman"/>
                <w:b/>
                <w:bCs/>
                <w:sz w:val="24"/>
                <w:szCs w:val="24"/>
              </w:rPr>
              <w:t xml:space="preserve">  </w:t>
            </w:r>
            <w:r>
              <w:rPr>
                <w:rFonts w:hint="eastAsia" w:cs="Times New Roman"/>
                <w:b/>
                <w:bCs/>
                <w:sz w:val="24"/>
                <w:szCs w:val="24"/>
                <w:lang w:val="en-US" w:eastAsia="zh-CN"/>
              </w:rPr>
              <w:t>迁</w:t>
            </w:r>
            <w:r>
              <w:rPr>
                <w:rFonts w:hint="default" w:ascii="Times New Roman" w:hAnsi="Times New Roman" w:cs="Times New Roman"/>
                <w:b/>
                <w:bCs/>
                <w:sz w:val="24"/>
                <w:szCs w:val="24"/>
              </w:rPr>
              <w:t>建项目污染物</w:t>
            </w:r>
            <w:r>
              <w:rPr>
                <w:rFonts w:hint="eastAsia" w:cs="Times New Roman"/>
                <w:b/>
                <w:bCs/>
                <w:sz w:val="24"/>
                <w:szCs w:val="24"/>
                <w:lang w:eastAsia="zh-CN"/>
              </w:rPr>
              <w:t>“三本账”</w:t>
            </w:r>
            <w:r>
              <w:rPr>
                <w:rFonts w:hint="default" w:ascii="Times New Roman" w:hAnsi="Times New Roman" w:cs="Times New Roman"/>
                <w:b/>
                <w:bCs/>
                <w:sz w:val="24"/>
                <w:szCs w:val="24"/>
              </w:rPr>
              <w:t>一览表（单位：t/a）</w:t>
            </w:r>
          </w:p>
          <w:tbl>
            <w:tblPr>
              <w:tblStyle w:val="23"/>
              <w:tblW w:w="508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3"/>
              <w:gridCol w:w="1200"/>
              <w:gridCol w:w="1066"/>
              <w:gridCol w:w="885"/>
              <w:gridCol w:w="899"/>
              <w:gridCol w:w="870"/>
              <w:gridCol w:w="1156"/>
              <w:gridCol w:w="885"/>
              <w:gridCol w:w="9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 w:hRule="atLeast"/>
                <w:jc w:val="center"/>
              </w:trPr>
              <w:tc>
                <w:tcPr>
                  <w:tcW w:w="236" w:type="pct"/>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cs="Times New Roman"/>
                    </w:rPr>
                  </w:pPr>
                  <w:r>
                    <w:rPr>
                      <w:rFonts w:hint="default" w:ascii="Times New Roman" w:hAnsi="Times New Roman" w:cs="Times New Roman"/>
                    </w:rPr>
                    <w:t>种类</w:t>
                  </w:r>
                </w:p>
              </w:tc>
              <w:tc>
                <w:tcPr>
                  <w:tcW w:w="721" w:type="pct"/>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cs="Times New Roman"/>
                    </w:rPr>
                  </w:pPr>
                  <w:r>
                    <w:rPr>
                      <w:rFonts w:hint="default" w:ascii="Times New Roman" w:hAnsi="Times New Roman" w:cs="Times New Roman"/>
                    </w:rPr>
                    <w:t>污染物名称</w:t>
                  </w:r>
                </w:p>
              </w:tc>
              <w:tc>
                <w:tcPr>
                  <w:tcW w:w="641" w:type="pct"/>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cs="Times New Roman"/>
                    </w:rPr>
                  </w:pPr>
                  <w:r>
                    <w:rPr>
                      <w:rFonts w:hint="default" w:ascii="Times New Roman" w:hAnsi="Times New Roman" w:cs="Times New Roman"/>
                    </w:rPr>
                    <w:t>原有项目排放量</w:t>
                  </w:r>
                </w:p>
              </w:tc>
              <w:tc>
                <w:tcPr>
                  <w:tcW w:w="1596" w:type="pct"/>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cs="Times New Roman"/>
                    </w:rPr>
                  </w:pPr>
                  <w:r>
                    <w:rPr>
                      <w:rFonts w:hint="default" w:ascii="Times New Roman" w:hAnsi="Times New Roman" w:cs="Times New Roman"/>
                    </w:rPr>
                    <w:t>本次</w:t>
                  </w:r>
                  <w:r>
                    <w:rPr>
                      <w:rFonts w:hint="eastAsia" w:cs="Times New Roman"/>
                      <w:lang w:val="en-US" w:eastAsia="zh-CN"/>
                    </w:rPr>
                    <w:t>迁</w:t>
                  </w:r>
                  <w:r>
                    <w:rPr>
                      <w:rFonts w:hint="default" w:ascii="Times New Roman" w:hAnsi="Times New Roman" w:cs="Times New Roman"/>
                    </w:rPr>
                    <w:t>建项目排放量</w:t>
                  </w:r>
                </w:p>
              </w:tc>
              <w:tc>
                <w:tcPr>
                  <w:tcW w:w="695" w:type="pct"/>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cs="Times New Roman"/>
                    </w:rPr>
                  </w:pPr>
                  <w:r>
                    <w:rPr>
                      <w:rFonts w:hint="eastAsia" w:ascii="宋体" w:hAnsi="宋体" w:eastAsia="宋体" w:cs="宋体"/>
                    </w:rPr>
                    <w:t>“以新带老”削减量</w:t>
                  </w:r>
                </w:p>
              </w:tc>
              <w:tc>
                <w:tcPr>
                  <w:tcW w:w="532" w:type="pct"/>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cs="Times New Roman"/>
                    </w:rPr>
                  </w:pPr>
                  <w:r>
                    <w:rPr>
                      <w:rFonts w:hint="default" w:ascii="Times New Roman" w:hAnsi="Times New Roman" w:cs="Times New Roman"/>
                    </w:rPr>
                    <w:t>全厂总排放量</w:t>
                  </w:r>
                </w:p>
              </w:tc>
              <w:tc>
                <w:tcPr>
                  <w:tcW w:w="576" w:type="pct"/>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cs="Times New Roman"/>
                    </w:rPr>
                  </w:pPr>
                  <w:r>
                    <w:rPr>
                      <w:rFonts w:hint="default" w:ascii="Times New Roman" w:hAnsi="Times New Roman" w:cs="Times New Roman"/>
                    </w:rPr>
                    <w:t>排放增减量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 w:hRule="atLeast"/>
                <w:jc w:val="center"/>
              </w:trPr>
              <w:tc>
                <w:tcPr>
                  <w:tcW w:w="236"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rPr>
                  </w:pPr>
                </w:p>
              </w:tc>
              <w:tc>
                <w:tcPr>
                  <w:tcW w:w="721"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rPr>
                  </w:pPr>
                </w:p>
              </w:tc>
              <w:tc>
                <w:tcPr>
                  <w:tcW w:w="641"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rPr>
                  </w:pPr>
                </w:p>
              </w:tc>
              <w:tc>
                <w:tcPr>
                  <w:tcW w:w="532" w:type="pct"/>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cs="Times New Roman"/>
                    </w:rPr>
                  </w:pPr>
                  <w:r>
                    <w:rPr>
                      <w:rFonts w:hint="default" w:ascii="Times New Roman" w:hAnsi="Times New Roman" w:cs="Times New Roman"/>
                    </w:rPr>
                    <w:t>产生量</w:t>
                  </w:r>
                </w:p>
              </w:tc>
              <w:tc>
                <w:tcPr>
                  <w:tcW w:w="540" w:type="pct"/>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cs="Times New Roman"/>
                    </w:rPr>
                  </w:pPr>
                  <w:r>
                    <w:rPr>
                      <w:rFonts w:hint="default" w:ascii="Times New Roman" w:hAnsi="Times New Roman" w:cs="Times New Roman"/>
                    </w:rPr>
                    <w:t>削减量</w:t>
                  </w:r>
                </w:p>
              </w:tc>
              <w:tc>
                <w:tcPr>
                  <w:tcW w:w="523" w:type="pct"/>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cs="Times New Roman"/>
                    </w:rPr>
                  </w:pPr>
                  <w:r>
                    <w:rPr>
                      <w:rFonts w:hint="default" w:ascii="Times New Roman" w:hAnsi="Times New Roman" w:cs="Times New Roman"/>
                    </w:rPr>
                    <w:t>排放量</w:t>
                  </w:r>
                </w:p>
              </w:tc>
              <w:tc>
                <w:tcPr>
                  <w:tcW w:w="695"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rPr>
                  </w:pPr>
                </w:p>
              </w:tc>
              <w:tc>
                <w:tcPr>
                  <w:tcW w:w="532"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rPr>
                  </w:pPr>
                </w:p>
              </w:tc>
              <w:tc>
                <w:tcPr>
                  <w:tcW w:w="576"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36" w:type="pct"/>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cs="Times New Roman"/>
                    </w:rPr>
                  </w:pPr>
                  <w:r>
                    <w:rPr>
                      <w:rFonts w:hint="default" w:ascii="Times New Roman" w:hAnsi="Times New Roman" w:cs="Times New Roman"/>
                    </w:rPr>
                    <w:t>废气</w:t>
                  </w:r>
                </w:p>
              </w:tc>
              <w:tc>
                <w:tcPr>
                  <w:tcW w:w="721"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rPr>
                  </w:pPr>
                  <w:r>
                    <w:rPr>
                      <w:rFonts w:hint="default" w:ascii="Times New Roman" w:hAnsi="Times New Roman" w:cs="Times New Roman"/>
                    </w:rPr>
                    <w:t>颗粒物</w:t>
                  </w:r>
                </w:p>
              </w:tc>
              <w:tc>
                <w:tcPr>
                  <w:tcW w:w="641" w:type="pct"/>
                  <w:tcBorders>
                    <w:top w:val="single" w:color="auto" w:sz="4" w:space="0"/>
                    <w:left w:val="single" w:color="auto" w:sz="4" w:space="0"/>
                    <w:bottom w:val="single" w:color="auto" w:sz="4" w:space="0"/>
                    <w:right w:val="single" w:color="auto" w:sz="4" w:space="0"/>
                  </w:tcBorders>
                  <w:vAlign w:val="center"/>
                </w:tcPr>
                <w:p>
                  <w:pPr>
                    <w:pStyle w:val="53"/>
                    <w:spacing w:before="24" w:after="24"/>
                    <w:rPr>
                      <w:rFonts w:hint="default" w:ascii="Times New Roman" w:hAnsi="Times New Roman" w:eastAsia="宋体" w:cs="Times New Roman"/>
                      <w:lang w:val="en-US" w:eastAsia="zh-CN"/>
                    </w:rPr>
                  </w:pPr>
                  <w:r>
                    <w:rPr>
                      <w:rFonts w:hint="eastAsia" w:ascii="Times New Roman" w:cs="Times New Roman"/>
                      <w:lang w:val="en-US" w:eastAsia="zh-CN"/>
                    </w:rPr>
                    <w:t>0.0671</w:t>
                  </w:r>
                </w:p>
              </w:tc>
              <w:tc>
                <w:tcPr>
                  <w:tcW w:w="532" w:type="pct"/>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lang w:val="en-US" w:eastAsia="zh-CN"/>
                    </w:rPr>
                  </w:pPr>
                  <w:r>
                    <w:rPr>
                      <w:rFonts w:hint="eastAsia" w:cs="Times New Roman"/>
                      <w:lang w:val="en-US" w:eastAsia="zh-CN"/>
                    </w:rPr>
                    <w:t>12.847</w:t>
                  </w:r>
                </w:p>
              </w:tc>
              <w:tc>
                <w:tcPr>
                  <w:tcW w:w="540" w:type="pct"/>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lang w:val="en-US" w:eastAsia="zh-CN"/>
                    </w:rPr>
                  </w:pPr>
                  <w:r>
                    <w:rPr>
                      <w:rFonts w:hint="eastAsia" w:cs="Times New Roman"/>
                      <w:lang w:val="en-US" w:eastAsia="zh-CN"/>
                    </w:rPr>
                    <w:t>12.147</w:t>
                  </w:r>
                </w:p>
              </w:tc>
              <w:tc>
                <w:tcPr>
                  <w:tcW w:w="523" w:type="pct"/>
                  <w:tcBorders>
                    <w:top w:val="single" w:color="auto" w:sz="4" w:space="0"/>
                    <w:left w:val="single" w:color="auto" w:sz="4" w:space="0"/>
                    <w:bottom w:val="single" w:color="auto" w:sz="4" w:space="0"/>
                    <w:right w:val="single" w:color="auto" w:sz="4" w:space="0"/>
                  </w:tcBorders>
                  <w:vAlign w:val="center"/>
                </w:tcPr>
                <w:p>
                  <w:pPr>
                    <w:pStyle w:val="53"/>
                    <w:spacing w:before="24" w:after="24"/>
                    <w:rPr>
                      <w:rFonts w:hint="default" w:ascii="Times New Roman" w:hAnsi="Times New Roman" w:eastAsia="宋体" w:cs="Times New Roman"/>
                      <w:lang w:val="en-US" w:eastAsia="zh-CN"/>
                    </w:rPr>
                  </w:pPr>
                  <w:r>
                    <w:rPr>
                      <w:rFonts w:hint="eastAsia" w:ascii="Times New Roman" w:cs="Times New Roman"/>
                      <w:lang w:val="en-US" w:eastAsia="zh-CN"/>
                    </w:rPr>
                    <w:t>0.700</w:t>
                  </w:r>
                </w:p>
              </w:tc>
              <w:tc>
                <w:tcPr>
                  <w:tcW w:w="695" w:type="pct"/>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lang w:val="en-US" w:eastAsia="zh-CN"/>
                    </w:rPr>
                  </w:pPr>
                  <w:r>
                    <w:rPr>
                      <w:rFonts w:hint="eastAsia" w:cs="Times New Roman"/>
                      <w:lang w:val="en-US" w:eastAsia="zh-CN"/>
                    </w:rPr>
                    <w:t>0.0671</w:t>
                  </w:r>
                </w:p>
              </w:tc>
              <w:tc>
                <w:tcPr>
                  <w:tcW w:w="532" w:type="pct"/>
                  <w:tcBorders>
                    <w:top w:val="single" w:color="auto" w:sz="4" w:space="0"/>
                    <w:left w:val="single" w:color="auto" w:sz="4" w:space="0"/>
                    <w:bottom w:val="single" w:color="auto" w:sz="4" w:space="0"/>
                    <w:right w:val="single" w:color="auto" w:sz="4" w:space="0"/>
                  </w:tcBorders>
                  <w:vAlign w:val="center"/>
                </w:tcPr>
                <w:p>
                  <w:pPr>
                    <w:pStyle w:val="53"/>
                    <w:spacing w:before="24" w:after="24"/>
                    <w:rPr>
                      <w:rFonts w:hint="default" w:ascii="Times New Roman" w:hAnsi="Times New Roman" w:eastAsia="宋体" w:cs="Times New Roman"/>
                      <w:lang w:val="en-US" w:eastAsia="zh-CN"/>
                    </w:rPr>
                  </w:pPr>
                  <w:r>
                    <w:rPr>
                      <w:rFonts w:hint="eastAsia" w:ascii="Times New Roman" w:cs="Times New Roman"/>
                      <w:lang w:val="en-US" w:eastAsia="zh-CN"/>
                    </w:rPr>
                    <w:t>0.700</w:t>
                  </w:r>
                </w:p>
              </w:tc>
              <w:tc>
                <w:tcPr>
                  <w:tcW w:w="576" w:type="pct"/>
                  <w:tcBorders>
                    <w:top w:val="single" w:color="auto" w:sz="4" w:space="0"/>
                    <w:left w:val="single" w:color="auto" w:sz="4" w:space="0"/>
                    <w:bottom w:val="single" w:color="auto" w:sz="4" w:space="0"/>
                    <w:right w:val="single" w:color="auto" w:sz="4" w:space="0"/>
                  </w:tcBorders>
                  <w:vAlign w:val="center"/>
                </w:tcPr>
                <w:p>
                  <w:pPr>
                    <w:pStyle w:val="53"/>
                    <w:spacing w:before="24" w:after="24"/>
                    <w:rPr>
                      <w:rFonts w:hint="default" w:ascii="Times New Roman" w:hAnsi="Times New Roman" w:eastAsia="宋体" w:cs="Times New Roman"/>
                      <w:lang w:val="en-US" w:eastAsia="zh-CN"/>
                    </w:rPr>
                  </w:pPr>
                  <w:r>
                    <w:rPr>
                      <w:rFonts w:hint="eastAsia" w:ascii="Times New Roman" w:cs="Times New Roman"/>
                      <w:lang w:val="en-US" w:eastAsia="zh-CN"/>
                    </w:rPr>
                    <w:t>+0.6329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36"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rPr>
                  </w:pPr>
                </w:p>
              </w:tc>
              <w:tc>
                <w:tcPr>
                  <w:tcW w:w="721"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lang w:val="en-US" w:eastAsia="zh-CN"/>
                    </w:rPr>
                  </w:pPr>
                  <w:r>
                    <w:rPr>
                      <w:rFonts w:hint="eastAsia" w:cs="Times New Roman"/>
                      <w:lang w:val="en-US" w:eastAsia="zh-CN"/>
                    </w:rPr>
                    <w:t>SO</w:t>
                  </w:r>
                  <w:r>
                    <w:rPr>
                      <w:rFonts w:hint="eastAsia" w:cs="Times New Roman"/>
                      <w:sz w:val="21"/>
                      <w:vertAlign w:val="subscript"/>
                      <w:lang w:val="en-US" w:eastAsia="zh-CN"/>
                    </w:rPr>
                    <w:t>2</w:t>
                  </w:r>
                </w:p>
              </w:tc>
              <w:tc>
                <w:tcPr>
                  <w:tcW w:w="641"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color w:val="auto"/>
                      <w:lang w:val="en-US" w:eastAsia="zh-CN"/>
                    </w:rPr>
                  </w:pPr>
                  <w:r>
                    <w:rPr>
                      <w:rFonts w:hint="eastAsia" w:eastAsia="宋体" w:cs="Times New Roman"/>
                      <w:color w:val="auto"/>
                      <w:lang w:val="en-US" w:eastAsia="zh-CN"/>
                    </w:rPr>
                    <w:t>0.0224</w:t>
                  </w:r>
                </w:p>
              </w:tc>
              <w:tc>
                <w:tcPr>
                  <w:tcW w:w="532" w:type="pct"/>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color w:val="auto"/>
                      <w:lang w:val="en-US" w:eastAsia="zh-CN"/>
                    </w:rPr>
                  </w:pPr>
                  <w:r>
                    <w:rPr>
                      <w:rFonts w:hint="eastAsia" w:eastAsia="宋体" w:cs="Times New Roman"/>
                      <w:color w:val="auto"/>
                      <w:lang w:val="en-US" w:eastAsia="zh-CN"/>
                    </w:rPr>
                    <w:t>0.0403</w:t>
                  </w:r>
                </w:p>
              </w:tc>
              <w:tc>
                <w:tcPr>
                  <w:tcW w:w="540" w:type="pct"/>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color w:val="auto"/>
                      <w:lang w:val="en-US" w:eastAsia="zh-CN"/>
                    </w:rPr>
                  </w:pPr>
                  <w:r>
                    <w:rPr>
                      <w:rFonts w:hint="eastAsia" w:eastAsia="宋体" w:cs="Times New Roman"/>
                      <w:color w:val="auto"/>
                      <w:lang w:val="en-US" w:eastAsia="zh-CN"/>
                    </w:rPr>
                    <w:t>0</w:t>
                  </w:r>
                </w:p>
              </w:tc>
              <w:tc>
                <w:tcPr>
                  <w:tcW w:w="523"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color w:val="auto"/>
                      <w:lang w:val="en-US" w:eastAsia="zh-CN"/>
                    </w:rPr>
                  </w:pPr>
                  <w:r>
                    <w:rPr>
                      <w:rFonts w:hint="eastAsia" w:eastAsia="宋体" w:cs="Times New Roman"/>
                      <w:color w:val="auto"/>
                      <w:lang w:val="en-US" w:eastAsia="zh-CN"/>
                    </w:rPr>
                    <w:t>0.0403</w:t>
                  </w:r>
                </w:p>
              </w:tc>
              <w:tc>
                <w:tcPr>
                  <w:tcW w:w="695" w:type="pct"/>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color w:val="auto"/>
                      <w:lang w:val="en-US" w:eastAsia="zh-CN"/>
                    </w:rPr>
                  </w:pPr>
                  <w:r>
                    <w:rPr>
                      <w:rFonts w:hint="eastAsia" w:cs="Times New Roman"/>
                      <w:color w:val="auto"/>
                      <w:lang w:val="en-US" w:eastAsia="zh-CN"/>
                    </w:rPr>
                    <w:t>0.0224</w:t>
                  </w:r>
                </w:p>
              </w:tc>
              <w:tc>
                <w:tcPr>
                  <w:tcW w:w="532" w:type="pct"/>
                  <w:tcBorders>
                    <w:top w:val="single" w:color="auto" w:sz="4" w:space="0"/>
                    <w:left w:val="single" w:color="auto" w:sz="4" w:space="0"/>
                    <w:bottom w:val="single" w:color="auto" w:sz="4" w:space="0"/>
                    <w:right w:val="single" w:color="auto" w:sz="4" w:space="0"/>
                  </w:tcBorders>
                  <w:vAlign w:val="center"/>
                </w:tcPr>
                <w:p>
                  <w:pPr>
                    <w:pStyle w:val="53"/>
                    <w:spacing w:before="24" w:after="24"/>
                    <w:rPr>
                      <w:rFonts w:hint="default" w:ascii="Times New Roman" w:hAnsi="Times New Roman" w:eastAsia="宋体" w:cs="Times New Roman"/>
                      <w:color w:val="auto"/>
                      <w:lang w:val="en-US" w:eastAsia="zh-CN"/>
                    </w:rPr>
                  </w:pPr>
                  <w:r>
                    <w:rPr>
                      <w:rFonts w:hint="eastAsia" w:ascii="Times New Roman" w:eastAsia="宋体" w:cs="Times New Roman"/>
                      <w:color w:val="auto"/>
                      <w:lang w:val="en-US" w:eastAsia="zh-CN"/>
                    </w:rPr>
                    <w:t>0.0403</w:t>
                  </w:r>
                </w:p>
              </w:tc>
              <w:tc>
                <w:tcPr>
                  <w:tcW w:w="576"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color w:val="auto"/>
                      <w:lang w:val="en-US" w:eastAsia="zh-CN"/>
                    </w:rPr>
                  </w:pPr>
                  <w:r>
                    <w:rPr>
                      <w:rFonts w:hint="eastAsia" w:eastAsia="宋体" w:cs="Times New Roman"/>
                      <w:color w:val="auto"/>
                      <w:lang w:val="en-US" w:eastAsia="zh-CN"/>
                    </w:rPr>
                    <w:t>+0.0179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236" w:type="pct"/>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rPr>
                  </w:pPr>
                </w:p>
              </w:tc>
              <w:tc>
                <w:tcPr>
                  <w:tcW w:w="721"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lang w:val="en-US" w:eastAsia="zh-CN"/>
                    </w:rPr>
                  </w:pPr>
                  <w:r>
                    <w:rPr>
                      <w:rFonts w:hint="eastAsia" w:cs="Times New Roman"/>
                      <w:lang w:val="en-US" w:eastAsia="zh-CN"/>
                    </w:rPr>
                    <w:t>NO</w:t>
                  </w:r>
                  <w:r>
                    <w:rPr>
                      <w:rFonts w:hint="eastAsia" w:cs="Times New Roman"/>
                      <w:sz w:val="21"/>
                      <w:vertAlign w:val="subscript"/>
                      <w:lang w:val="en-US" w:eastAsia="zh-CN"/>
                    </w:rPr>
                    <w:t>X</w:t>
                  </w:r>
                </w:p>
              </w:tc>
              <w:tc>
                <w:tcPr>
                  <w:tcW w:w="641"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lang w:val="en-US" w:eastAsia="zh-CN"/>
                    </w:rPr>
                  </w:pPr>
                  <w:r>
                    <w:rPr>
                      <w:rFonts w:hint="eastAsia" w:cs="Times New Roman"/>
                      <w:lang w:val="en-US" w:eastAsia="zh-CN"/>
                    </w:rPr>
                    <w:t>0.3493</w:t>
                  </w:r>
                </w:p>
              </w:tc>
              <w:tc>
                <w:tcPr>
                  <w:tcW w:w="532" w:type="pct"/>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lang w:val="en-US" w:eastAsia="zh-CN"/>
                    </w:rPr>
                  </w:pPr>
                  <w:r>
                    <w:rPr>
                      <w:rFonts w:hint="eastAsia" w:cs="Times New Roman"/>
                      <w:lang w:val="en-US" w:eastAsia="zh-CN"/>
                    </w:rPr>
                    <w:t>0.1018</w:t>
                  </w:r>
                </w:p>
              </w:tc>
              <w:tc>
                <w:tcPr>
                  <w:tcW w:w="540" w:type="pct"/>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Times New Roman" w:hAnsi="Times New Roman" w:eastAsia="宋体" w:cs="Times New Roman"/>
                      <w:lang w:val="en-US" w:eastAsia="zh-CN"/>
                    </w:rPr>
                  </w:pPr>
                  <w:r>
                    <w:rPr>
                      <w:rFonts w:hint="eastAsia" w:cs="Times New Roman"/>
                      <w:lang w:val="en-US" w:eastAsia="zh-CN"/>
                    </w:rPr>
                    <w:t>0</w:t>
                  </w:r>
                </w:p>
              </w:tc>
              <w:tc>
                <w:tcPr>
                  <w:tcW w:w="523" w:type="pct"/>
                  <w:tcBorders>
                    <w:top w:val="single" w:color="auto" w:sz="4" w:space="0"/>
                    <w:left w:val="single" w:color="auto" w:sz="4" w:space="0"/>
                    <w:bottom w:val="single" w:color="auto" w:sz="4" w:space="0"/>
                    <w:right w:val="single" w:color="auto" w:sz="4" w:space="0"/>
                  </w:tcBorders>
                  <w:vAlign w:val="center"/>
                </w:tcPr>
                <w:p>
                  <w:pPr>
                    <w:pStyle w:val="53"/>
                    <w:spacing w:before="24" w:after="24"/>
                    <w:rPr>
                      <w:rFonts w:hint="default" w:ascii="Times New Roman" w:hAnsi="Times New Roman" w:eastAsia="宋体" w:cs="Times New Roman"/>
                      <w:lang w:val="en-US" w:eastAsia="zh-CN"/>
                    </w:rPr>
                  </w:pPr>
                  <w:r>
                    <w:rPr>
                      <w:rFonts w:hint="eastAsia" w:ascii="Times New Roman" w:cs="Times New Roman"/>
                      <w:lang w:val="en-US" w:eastAsia="zh-CN"/>
                    </w:rPr>
                    <w:t>0.1018</w:t>
                  </w:r>
                </w:p>
              </w:tc>
              <w:tc>
                <w:tcPr>
                  <w:tcW w:w="695" w:type="pct"/>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lang w:val="en-US" w:eastAsia="zh-CN"/>
                    </w:rPr>
                  </w:pPr>
                  <w:r>
                    <w:rPr>
                      <w:rFonts w:hint="eastAsia" w:cs="Times New Roman"/>
                      <w:lang w:val="en-US" w:eastAsia="zh-CN"/>
                    </w:rPr>
                    <w:t>0.3493</w:t>
                  </w:r>
                </w:p>
              </w:tc>
              <w:tc>
                <w:tcPr>
                  <w:tcW w:w="532" w:type="pct"/>
                  <w:tcBorders>
                    <w:top w:val="single" w:color="auto" w:sz="4" w:space="0"/>
                    <w:left w:val="single" w:color="auto" w:sz="4" w:space="0"/>
                    <w:bottom w:val="single" w:color="auto" w:sz="4" w:space="0"/>
                    <w:right w:val="single" w:color="auto" w:sz="4" w:space="0"/>
                  </w:tcBorders>
                  <w:vAlign w:val="center"/>
                </w:tcPr>
                <w:p>
                  <w:pPr>
                    <w:pStyle w:val="53"/>
                    <w:spacing w:before="24" w:after="24"/>
                    <w:rPr>
                      <w:rFonts w:hint="default" w:ascii="Times New Roman" w:hAnsi="Times New Roman" w:eastAsia="宋体" w:cs="Times New Roman"/>
                      <w:lang w:val="en-US" w:eastAsia="zh-CN"/>
                    </w:rPr>
                  </w:pPr>
                  <w:r>
                    <w:rPr>
                      <w:rFonts w:hint="eastAsia" w:ascii="Times New Roman" w:cs="Times New Roman"/>
                      <w:lang w:val="en-US" w:eastAsia="zh-CN"/>
                    </w:rPr>
                    <w:t>0.1018</w:t>
                  </w:r>
                </w:p>
              </w:tc>
              <w:tc>
                <w:tcPr>
                  <w:tcW w:w="576" w:type="pct"/>
                  <w:tcBorders>
                    <w:top w:val="single" w:color="auto" w:sz="4" w:space="0"/>
                    <w:left w:val="single" w:color="auto" w:sz="4" w:space="0"/>
                    <w:bottom w:val="single" w:color="auto" w:sz="4" w:space="0"/>
                    <w:right w:val="single" w:color="auto" w:sz="4" w:space="0"/>
                  </w:tcBorders>
                  <w:vAlign w:val="center"/>
                </w:tcPr>
                <w:p>
                  <w:pPr>
                    <w:pStyle w:val="53"/>
                    <w:spacing w:before="24" w:after="24"/>
                    <w:rPr>
                      <w:rFonts w:hint="default" w:ascii="Times New Roman" w:hAnsi="Times New Roman" w:eastAsia="宋体" w:cs="Times New Roman"/>
                      <w:lang w:val="en-US" w:eastAsia="zh-CN"/>
                    </w:rPr>
                  </w:pPr>
                  <w:r>
                    <w:rPr>
                      <w:rFonts w:hint="eastAsia" w:ascii="Times New Roman" w:cs="Times New Roman"/>
                      <w:lang w:val="en-US" w:eastAsia="zh-CN"/>
                    </w:rPr>
                    <w:t>-0.2475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236" w:type="pct"/>
                  <w:vMerge w:val="restart"/>
                  <w:tcBorders>
                    <w:top w:val="single" w:color="auto" w:sz="4" w:space="0"/>
                    <w:left w:val="single" w:color="auto" w:sz="4" w:space="0"/>
                    <w:right w:val="single" w:color="auto" w:sz="4" w:space="0"/>
                  </w:tcBorders>
                  <w:vAlign w:val="center"/>
                </w:tcPr>
                <w:p>
                  <w:pPr>
                    <w:jc w:val="center"/>
                    <w:rPr>
                      <w:rFonts w:hint="default" w:ascii="Times New Roman" w:hAnsi="Times New Roman" w:cs="Times New Roman"/>
                    </w:rPr>
                  </w:pPr>
                  <w:r>
                    <w:rPr>
                      <w:rFonts w:hint="default" w:ascii="Times New Roman" w:hAnsi="Times New Roman" w:cs="Times New Roman"/>
                    </w:rPr>
                    <w:t>废水</w:t>
                  </w:r>
                </w:p>
              </w:tc>
              <w:tc>
                <w:tcPr>
                  <w:tcW w:w="721"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rPr>
                  </w:pPr>
                  <w:r>
                    <w:rPr>
                      <w:rFonts w:hint="default" w:ascii="Times New Roman" w:hAnsi="Times New Roman" w:cs="Times New Roman"/>
                    </w:rPr>
                    <w:t>COD</w:t>
                  </w:r>
                </w:p>
              </w:tc>
              <w:tc>
                <w:tcPr>
                  <w:tcW w:w="641"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lang w:val="en-US" w:eastAsia="zh-CN"/>
                    </w:rPr>
                  </w:pPr>
                  <w:r>
                    <w:rPr>
                      <w:rFonts w:hint="eastAsia" w:cs="Times New Roman"/>
                      <w:lang w:val="en-US" w:eastAsia="zh-CN"/>
                    </w:rPr>
                    <w:t>0.088</w:t>
                  </w:r>
                </w:p>
              </w:tc>
              <w:tc>
                <w:tcPr>
                  <w:tcW w:w="53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eastAsia"/>
                      <w:color w:val="auto"/>
                    </w:rPr>
                    <w:t>0.456</w:t>
                  </w:r>
                </w:p>
              </w:tc>
              <w:tc>
                <w:tcPr>
                  <w:tcW w:w="540"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lang w:val="en-US" w:eastAsia="zh-CN"/>
                    </w:rPr>
                  </w:pPr>
                  <w:r>
                    <w:rPr>
                      <w:rFonts w:hint="eastAsia" w:cs="Times New Roman"/>
                      <w:lang w:val="en-US" w:eastAsia="zh-CN"/>
                    </w:rPr>
                    <w:t>0.259</w:t>
                  </w:r>
                </w:p>
              </w:tc>
              <w:tc>
                <w:tcPr>
                  <w:tcW w:w="523"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lang w:val="en-US" w:eastAsia="zh-CN"/>
                    </w:rPr>
                  </w:pPr>
                  <w:r>
                    <w:rPr>
                      <w:rFonts w:hint="eastAsia" w:cs="Times New Roman"/>
                      <w:lang w:val="en-US" w:eastAsia="zh-CN"/>
                    </w:rPr>
                    <w:t>0.197</w:t>
                  </w:r>
                </w:p>
              </w:tc>
              <w:tc>
                <w:tcPr>
                  <w:tcW w:w="695"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lang w:val="en-US" w:eastAsia="zh-CN"/>
                    </w:rPr>
                  </w:pPr>
                  <w:r>
                    <w:rPr>
                      <w:rFonts w:hint="eastAsia" w:cs="Times New Roman"/>
                      <w:lang w:val="en-US" w:eastAsia="zh-CN"/>
                    </w:rPr>
                    <w:t>0.088</w:t>
                  </w:r>
                </w:p>
              </w:tc>
              <w:tc>
                <w:tcPr>
                  <w:tcW w:w="532"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2"/>
                      <w:sz w:val="21"/>
                      <w:szCs w:val="21"/>
                      <w:lang w:val="en-US" w:eastAsia="zh-CN" w:bidi="ar-SA"/>
                    </w:rPr>
                  </w:pPr>
                  <w:r>
                    <w:rPr>
                      <w:rFonts w:hint="eastAsia" w:cs="Times New Roman"/>
                      <w:lang w:val="en-US" w:eastAsia="zh-CN"/>
                    </w:rPr>
                    <w:t>0.197</w:t>
                  </w:r>
                </w:p>
              </w:tc>
              <w:tc>
                <w:tcPr>
                  <w:tcW w:w="576"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lang w:val="en-US" w:eastAsia="zh-CN"/>
                    </w:rPr>
                  </w:pPr>
                  <w:r>
                    <w:rPr>
                      <w:rFonts w:hint="eastAsia" w:cs="Times New Roman"/>
                      <w:lang w:val="en-US" w:eastAsia="zh-CN"/>
                    </w:rPr>
                    <w:t>+0.109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236" w:type="pct"/>
                  <w:vMerge w:val="continue"/>
                  <w:tcBorders>
                    <w:left w:val="single" w:color="auto" w:sz="4" w:space="0"/>
                    <w:right w:val="single" w:color="auto" w:sz="4" w:space="0"/>
                  </w:tcBorders>
                  <w:vAlign w:val="center"/>
                </w:tcPr>
                <w:p>
                  <w:pPr>
                    <w:jc w:val="center"/>
                    <w:rPr>
                      <w:rFonts w:hint="default" w:ascii="Times New Roman" w:hAnsi="Times New Roman" w:cs="Times New Roman"/>
                    </w:rPr>
                  </w:pPr>
                </w:p>
              </w:tc>
              <w:tc>
                <w:tcPr>
                  <w:tcW w:w="721"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rPr>
                  </w:pPr>
                  <w:r>
                    <w:rPr>
                      <w:rFonts w:hint="default" w:ascii="Times New Roman" w:hAnsi="Times New Roman" w:cs="Times New Roman"/>
                    </w:rPr>
                    <w:t>BOD</w:t>
                  </w:r>
                  <w:r>
                    <w:rPr>
                      <w:rFonts w:hint="default" w:ascii="Times New Roman" w:hAnsi="Times New Roman" w:cs="Times New Roman"/>
                      <w:vertAlign w:val="subscript"/>
                    </w:rPr>
                    <w:t>5</w:t>
                  </w:r>
                </w:p>
              </w:tc>
              <w:tc>
                <w:tcPr>
                  <w:tcW w:w="641"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0"/>
                      <w:lang w:val="en-US" w:eastAsia="zh-CN"/>
                    </w:rPr>
                  </w:pPr>
                  <w:r>
                    <w:rPr>
                      <w:rFonts w:hint="eastAsia" w:cs="Times New Roman"/>
                      <w:kern w:val="0"/>
                      <w:lang w:val="en-US" w:eastAsia="zh-CN"/>
                    </w:rPr>
                    <w:t>0.018</w:t>
                  </w:r>
                </w:p>
              </w:tc>
              <w:tc>
                <w:tcPr>
                  <w:tcW w:w="53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eastAsia"/>
                      <w:color w:val="auto"/>
                    </w:rPr>
                    <w:t>0.252</w:t>
                  </w:r>
                </w:p>
              </w:tc>
              <w:tc>
                <w:tcPr>
                  <w:tcW w:w="540"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lang w:val="en-US" w:eastAsia="zh-CN"/>
                    </w:rPr>
                  </w:pPr>
                  <w:r>
                    <w:rPr>
                      <w:rFonts w:hint="eastAsia" w:cs="Times New Roman"/>
                      <w:lang w:val="en-US" w:eastAsia="zh-CN"/>
                    </w:rPr>
                    <w:t>0.213</w:t>
                  </w:r>
                </w:p>
              </w:tc>
              <w:tc>
                <w:tcPr>
                  <w:tcW w:w="523"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0"/>
                      <w:lang w:val="en-US" w:eastAsia="zh-CN"/>
                    </w:rPr>
                  </w:pPr>
                  <w:r>
                    <w:rPr>
                      <w:rFonts w:hint="eastAsia" w:cs="Times New Roman"/>
                      <w:kern w:val="0"/>
                      <w:lang w:val="en-US" w:eastAsia="zh-CN"/>
                    </w:rPr>
                    <w:t>0.039</w:t>
                  </w:r>
                </w:p>
              </w:tc>
              <w:tc>
                <w:tcPr>
                  <w:tcW w:w="695"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lang w:val="en-US" w:eastAsia="zh-CN"/>
                    </w:rPr>
                  </w:pPr>
                  <w:r>
                    <w:rPr>
                      <w:rFonts w:hint="eastAsia" w:cs="Times New Roman"/>
                      <w:lang w:val="en-US" w:eastAsia="zh-CN"/>
                    </w:rPr>
                    <w:t>0.018</w:t>
                  </w:r>
                </w:p>
              </w:tc>
              <w:tc>
                <w:tcPr>
                  <w:tcW w:w="532"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0"/>
                      <w:sz w:val="21"/>
                      <w:szCs w:val="21"/>
                      <w:lang w:val="en-US" w:eastAsia="zh-CN" w:bidi="ar-SA"/>
                    </w:rPr>
                  </w:pPr>
                  <w:r>
                    <w:rPr>
                      <w:rFonts w:hint="eastAsia" w:cs="Times New Roman"/>
                      <w:kern w:val="0"/>
                      <w:lang w:val="en-US" w:eastAsia="zh-CN"/>
                    </w:rPr>
                    <w:t>0.039</w:t>
                  </w:r>
                </w:p>
              </w:tc>
              <w:tc>
                <w:tcPr>
                  <w:tcW w:w="576"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lang w:val="en-US" w:eastAsia="zh-CN"/>
                    </w:rPr>
                  </w:pPr>
                  <w:r>
                    <w:rPr>
                      <w:rFonts w:hint="eastAsia" w:cs="Times New Roman"/>
                      <w:lang w:val="en-US" w:eastAsia="zh-CN"/>
                    </w:rPr>
                    <w:t>+0.021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236" w:type="pct"/>
                  <w:vMerge w:val="continue"/>
                  <w:tcBorders>
                    <w:left w:val="single" w:color="auto" w:sz="4" w:space="0"/>
                    <w:right w:val="single" w:color="auto" w:sz="4" w:space="0"/>
                  </w:tcBorders>
                  <w:vAlign w:val="center"/>
                </w:tcPr>
                <w:p>
                  <w:pPr>
                    <w:jc w:val="center"/>
                    <w:rPr>
                      <w:rFonts w:hint="default" w:ascii="Times New Roman" w:hAnsi="Times New Roman" w:cs="Times New Roman"/>
                    </w:rPr>
                  </w:pPr>
                </w:p>
              </w:tc>
              <w:tc>
                <w:tcPr>
                  <w:tcW w:w="721" w:type="pct"/>
                  <w:tcBorders>
                    <w:top w:val="single" w:color="auto" w:sz="4" w:space="0"/>
                    <w:left w:val="single" w:color="auto" w:sz="4" w:space="0"/>
                    <w:bottom w:val="single" w:color="auto" w:sz="4" w:space="0"/>
                    <w:right w:val="single" w:color="auto" w:sz="4" w:space="0"/>
                  </w:tcBorders>
                  <w:vAlign w:val="center"/>
                </w:tcPr>
                <w:p>
                  <w:pPr>
                    <w:ind w:left="-252" w:leftChars="-120" w:firstLine="252" w:firstLineChars="120"/>
                    <w:jc w:val="center"/>
                    <w:rPr>
                      <w:rFonts w:hint="default" w:ascii="Times New Roman" w:hAnsi="Times New Roman" w:cs="Times New Roman"/>
                    </w:rPr>
                  </w:pPr>
                  <w:r>
                    <w:rPr>
                      <w:rFonts w:hint="default" w:ascii="Times New Roman" w:hAnsi="Times New Roman" w:cs="Times New Roman"/>
                    </w:rPr>
                    <w:t>氨氮</w:t>
                  </w:r>
                </w:p>
              </w:tc>
              <w:tc>
                <w:tcPr>
                  <w:tcW w:w="641"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0"/>
                      <w:lang w:val="en-US" w:eastAsia="zh-CN"/>
                    </w:rPr>
                  </w:pPr>
                  <w:r>
                    <w:rPr>
                      <w:rFonts w:hint="eastAsia" w:cs="Times New Roman"/>
                      <w:kern w:val="0"/>
                      <w:lang w:val="en-US" w:eastAsia="zh-CN"/>
                    </w:rPr>
                    <w:t>0.009</w:t>
                  </w:r>
                </w:p>
              </w:tc>
              <w:tc>
                <w:tcPr>
                  <w:tcW w:w="53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eastAsia" w:cs="Times New Roman"/>
                      <w:color w:val="auto"/>
                      <w:kern w:val="2"/>
                      <w:sz w:val="21"/>
                      <w:szCs w:val="21"/>
                      <w:lang w:val="en-US" w:eastAsia="zh-CN" w:bidi="ar-SA"/>
                    </w:rPr>
                    <w:t>0.058</w:t>
                  </w:r>
                </w:p>
              </w:tc>
              <w:tc>
                <w:tcPr>
                  <w:tcW w:w="540"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lang w:val="en-US" w:eastAsia="zh-CN"/>
                    </w:rPr>
                  </w:pPr>
                  <w:r>
                    <w:rPr>
                      <w:rFonts w:hint="eastAsia" w:cs="Times New Roman"/>
                      <w:lang w:val="en-US" w:eastAsia="zh-CN"/>
                    </w:rPr>
                    <w:t>0.038</w:t>
                  </w:r>
                </w:p>
              </w:tc>
              <w:tc>
                <w:tcPr>
                  <w:tcW w:w="523"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0"/>
                      <w:lang w:val="en-US" w:eastAsia="zh-CN"/>
                    </w:rPr>
                  </w:pPr>
                  <w:r>
                    <w:rPr>
                      <w:rFonts w:hint="eastAsia" w:cs="Times New Roman"/>
                      <w:kern w:val="0"/>
                      <w:lang w:val="en-US" w:eastAsia="zh-CN"/>
                    </w:rPr>
                    <w:t>0.020</w:t>
                  </w:r>
                </w:p>
              </w:tc>
              <w:tc>
                <w:tcPr>
                  <w:tcW w:w="695"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lang w:val="en-US" w:eastAsia="zh-CN"/>
                    </w:rPr>
                  </w:pPr>
                  <w:r>
                    <w:rPr>
                      <w:rFonts w:hint="eastAsia" w:cs="Times New Roman"/>
                      <w:lang w:val="en-US" w:eastAsia="zh-CN"/>
                    </w:rPr>
                    <w:t>0.009</w:t>
                  </w:r>
                </w:p>
              </w:tc>
              <w:tc>
                <w:tcPr>
                  <w:tcW w:w="532"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0"/>
                      <w:sz w:val="21"/>
                      <w:szCs w:val="21"/>
                      <w:lang w:val="en-US" w:eastAsia="zh-CN" w:bidi="ar-SA"/>
                    </w:rPr>
                  </w:pPr>
                  <w:r>
                    <w:rPr>
                      <w:rFonts w:hint="eastAsia" w:cs="Times New Roman"/>
                      <w:kern w:val="0"/>
                      <w:lang w:val="en-US" w:eastAsia="zh-CN"/>
                    </w:rPr>
                    <w:t>0.020</w:t>
                  </w:r>
                </w:p>
              </w:tc>
              <w:tc>
                <w:tcPr>
                  <w:tcW w:w="576"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lang w:val="en-US" w:eastAsia="zh-CN"/>
                    </w:rPr>
                  </w:pPr>
                  <w:r>
                    <w:rPr>
                      <w:rFonts w:hint="eastAsia" w:cs="Times New Roman"/>
                      <w:lang w:val="en-US" w:eastAsia="zh-CN"/>
                    </w:rPr>
                    <w:t>+0.011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236" w:type="pct"/>
                  <w:vMerge w:val="continue"/>
                  <w:tcBorders>
                    <w:left w:val="single" w:color="auto" w:sz="4" w:space="0"/>
                    <w:right w:val="single" w:color="auto" w:sz="4" w:space="0"/>
                  </w:tcBorders>
                  <w:vAlign w:val="center"/>
                </w:tcPr>
                <w:p>
                  <w:pPr>
                    <w:jc w:val="center"/>
                    <w:rPr>
                      <w:rFonts w:hint="default" w:ascii="Times New Roman" w:hAnsi="Times New Roman" w:cs="Times New Roman"/>
                    </w:rPr>
                  </w:pPr>
                </w:p>
              </w:tc>
              <w:tc>
                <w:tcPr>
                  <w:tcW w:w="721"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rPr>
                  </w:pPr>
                  <w:r>
                    <w:rPr>
                      <w:rFonts w:hint="default" w:ascii="Times New Roman" w:hAnsi="Times New Roman" w:cs="Times New Roman"/>
                    </w:rPr>
                    <w:t>SS</w:t>
                  </w:r>
                </w:p>
              </w:tc>
              <w:tc>
                <w:tcPr>
                  <w:tcW w:w="641"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0"/>
                      <w:lang w:val="en-US" w:eastAsia="zh-CN"/>
                    </w:rPr>
                  </w:pPr>
                  <w:r>
                    <w:rPr>
                      <w:rFonts w:hint="eastAsia" w:cs="Times New Roman"/>
                      <w:kern w:val="0"/>
                      <w:lang w:val="en-US" w:eastAsia="zh-CN"/>
                    </w:rPr>
                    <w:t>0.018</w:t>
                  </w:r>
                </w:p>
              </w:tc>
              <w:tc>
                <w:tcPr>
                  <w:tcW w:w="53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eastAsia"/>
                      <w:color w:val="auto"/>
                      <w:lang w:val="en-US" w:eastAsia="zh-CN"/>
                    </w:rPr>
                    <w:t>0.304</w:t>
                  </w:r>
                </w:p>
              </w:tc>
              <w:tc>
                <w:tcPr>
                  <w:tcW w:w="540"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lang w:val="en-US" w:eastAsia="zh-CN"/>
                    </w:rPr>
                  </w:pPr>
                  <w:r>
                    <w:rPr>
                      <w:rFonts w:hint="eastAsia" w:cs="Times New Roman"/>
                      <w:lang w:val="en-US" w:eastAsia="zh-CN"/>
                    </w:rPr>
                    <w:t>0.265</w:t>
                  </w:r>
                </w:p>
              </w:tc>
              <w:tc>
                <w:tcPr>
                  <w:tcW w:w="523"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0"/>
                      <w:lang w:val="en-US" w:eastAsia="zh-CN"/>
                    </w:rPr>
                  </w:pPr>
                  <w:r>
                    <w:rPr>
                      <w:rFonts w:hint="eastAsia" w:cs="Times New Roman"/>
                      <w:kern w:val="0"/>
                      <w:lang w:val="en-US" w:eastAsia="zh-CN"/>
                    </w:rPr>
                    <w:t>0.039</w:t>
                  </w:r>
                </w:p>
              </w:tc>
              <w:tc>
                <w:tcPr>
                  <w:tcW w:w="695"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lang w:val="en-US" w:eastAsia="zh-CN"/>
                    </w:rPr>
                  </w:pPr>
                  <w:r>
                    <w:rPr>
                      <w:rFonts w:hint="eastAsia" w:cs="Times New Roman"/>
                      <w:lang w:val="en-US" w:eastAsia="zh-CN"/>
                    </w:rPr>
                    <w:t>0.018</w:t>
                  </w:r>
                </w:p>
              </w:tc>
              <w:tc>
                <w:tcPr>
                  <w:tcW w:w="532"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0"/>
                      <w:sz w:val="21"/>
                      <w:szCs w:val="21"/>
                      <w:lang w:val="en-US" w:eastAsia="zh-CN" w:bidi="ar-SA"/>
                    </w:rPr>
                  </w:pPr>
                  <w:r>
                    <w:rPr>
                      <w:rFonts w:hint="eastAsia" w:cs="Times New Roman"/>
                      <w:kern w:val="0"/>
                      <w:lang w:val="en-US" w:eastAsia="zh-CN"/>
                    </w:rPr>
                    <w:t>0.039</w:t>
                  </w:r>
                </w:p>
              </w:tc>
              <w:tc>
                <w:tcPr>
                  <w:tcW w:w="576"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lang w:val="en-US" w:eastAsia="zh-CN"/>
                    </w:rPr>
                  </w:pPr>
                  <w:r>
                    <w:rPr>
                      <w:rFonts w:hint="eastAsia" w:cs="Times New Roman"/>
                      <w:lang w:val="en-US" w:eastAsia="zh-CN"/>
                    </w:rPr>
                    <w:t>+0.021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236" w:type="pct"/>
                  <w:vMerge w:val="continue"/>
                  <w:tcBorders>
                    <w:left w:val="single" w:color="auto" w:sz="4" w:space="0"/>
                    <w:bottom w:val="single" w:color="auto" w:sz="4" w:space="0"/>
                    <w:right w:val="single" w:color="auto" w:sz="4" w:space="0"/>
                  </w:tcBorders>
                  <w:vAlign w:val="center"/>
                </w:tcPr>
                <w:p>
                  <w:pPr>
                    <w:jc w:val="center"/>
                    <w:rPr>
                      <w:rFonts w:hint="default" w:ascii="Times New Roman" w:hAnsi="Times New Roman" w:cs="Times New Roman"/>
                    </w:rPr>
                  </w:pPr>
                </w:p>
              </w:tc>
              <w:tc>
                <w:tcPr>
                  <w:tcW w:w="721"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Times New Roman"/>
                      <w:lang w:val="en-US" w:eastAsia="zh-CN"/>
                    </w:rPr>
                  </w:pPr>
                  <w:r>
                    <w:rPr>
                      <w:rFonts w:hint="eastAsia" w:cs="Times New Roman"/>
                      <w:lang w:val="en-US" w:eastAsia="zh-CN"/>
                    </w:rPr>
                    <w:t>动植物油</w:t>
                  </w:r>
                </w:p>
              </w:tc>
              <w:tc>
                <w:tcPr>
                  <w:tcW w:w="641"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cs="Times New Roman"/>
                      <w:kern w:val="0"/>
                      <w:lang w:val="en-US" w:eastAsia="zh-CN"/>
                    </w:rPr>
                  </w:pPr>
                  <w:r>
                    <w:rPr>
                      <w:rFonts w:hint="eastAsia" w:cs="Times New Roman"/>
                      <w:kern w:val="0"/>
                      <w:lang w:val="en-US" w:eastAsia="zh-CN"/>
                    </w:rPr>
                    <w:t>0</w:t>
                  </w:r>
                </w:p>
              </w:tc>
              <w:tc>
                <w:tcPr>
                  <w:tcW w:w="53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eastAsia"/>
                      <w:color w:val="auto"/>
                    </w:rPr>
                    <w:t>0.008</w:t>
                  </w:r>
                </w:p>
              </w:tc>
              <w:tc>
                <w:tcPr>
                  <w:tcW w:w="540"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lang w:val="en-US" w:eastAsia="zh-CN"/>
                    </w:rPr>
                  </w:pPr>
                  <w:r>
                    <w:rPr>
                      <w:rFonts w:hint="eastAsia" w:cs="Times New Roman"/>
                      <w:lang w:val="en-US" w:eastAsia="zh-CN"/>
                    </w:rPr>
                    <w:t>0.004</w:t>
                  </w:r>
                </w:p>
              </w:tc>
              <w:tc>
                <w:tcPr>
                  <w:tcW w:w="523"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0"/>
                      <w:lang w:val="en-US" w:eastAsia="zh-CN"/>
                    </w:rPr>
                  </w:pPr>
                  <w:r>
                    <w:rPr>
                      <w:rFonts w:hint="eastAsia" w:cs="Times New Roman"/>
                      <w:kern w:val="0"/>
                      <w:lang w:val="en-US" w:eastAsia="zh-CN"/>
                    </w:rPr>
                    <w:t>0.004</w:t>
                  </w:r>
                </w:p>
              </w:tc>
              <w:tc>
                <w:tcPr>
                  <w:tcW w:w="695" w:type="pct"/>
                  <w:tcBorders>
                    <w:top w:val="single" w:color="auto" w:sz="4" w:space="0"/>
                    <w:left w:val="single" w:color="auto" w:sz="4" w:space="0"/>
                    <w:bottom w:val="single" w:color="auto" w:sz="4" w:space="0"/>
                    <w:right w:val="single" w:color="auto" w:sz="4" w:space="0"/>
                  </w:tcBorders>
                  <w:vAlign w:val="center"/>
                </w:tcPr>
                <w:p>
                  <w:pPr>
                    <w:jc w:val="center"/>
                    <w:rPr>
                      <w:rFonts w:hint="default" w:cs="Times New Roman"/>
                      <w:lang w:val="en-US" w:eastAsia="zh-CN"/>
                    </w:rPr>
                  </w:pPr>
                  <w:r>
                    <w:rPr>
                      <w:rFonts w:hint="eastAsia" w:cs="Times New Roman"/>
                      <w:lang w:val="en-US" w:eastAsia="zh-CN"/>
                    </w:rPr>
                    <w:t>0</w:t>
                  </w:r>
                </w:p>
              </w:tc>
              <w:tc>
                <w:tcPr>
                  <w:tcW w:w="532"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kern w:val="0"/>
                      <w:sz w:val="21"/>
                      <w:szCs w:val="21"/>
                      <w:lang w:val="en-US" w:eastAsia="zh-CN" w:bidi="ar-SA"/>
                    </w:rPr>
                  </w:pPr>
                  <w:r>
                    <w:rPr>
                      <w:rFonts w:hint="eastAsia" w:cs="Times New Roman"/>
                      <w:kern w:val="0"/>
                      <w:lang w:val="en-US" w:eastAsia="zh-CN"/>
                    </w:rPr>
                    <w:t>0.004</w:t>
                  </w:r>
                </w:p>
              </w:tc>
              <w:tc>
                <w:tcPr>
                  <w:tcW w:w="576" w:type="pc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Times New Roman" w:hAnsi="Times New Roman" w:eastAsia="宋体" w:cs="Times New Roman"/>
                      <w:lang w:val="en-US" w:eastAsia="zh-CN"/>
                    </w:rPr>
                  </w:pPr>
                  <w:r>
                    <w:rPr>
                      <w:rFonts w:hint="eastAsia" w:cs="Times New Roman"/>
                      <w:lang w:val="en-US" w:eastAsia="zh-CN"/>
                    </w:rPr>
                    <w:t>+0.004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236" w:type="pct"/>
                  <w:vMerge w:val="restart"/>
                  <w:tcBorders>
                    <w:top w:val="single" w:color="auto" w:sz="4" w:space="0"/>
                    <w:left w:val="single" w:color="auto" w:sz="4" w:space="0"/>
                    <w:right w:val="single" w:color="auto" w:sz="4" w:space="0"/>
                  </w:tcBorders>
                  <w:vAlign w:val="center"/>
                </w:tcPr>
                <w:p>
                  <w:pPr>
                    <w:jc w:val="center"/>
                    <w:rPr>
                      <w:rFonts w:hint="default" w:ascii="Times New Roman" w:hAnsi="Times New Roman" w:cs="Times New Roman"/>
                    </w:rPr>
                  </w:pPr>
                  <w:r>
                    <w:rPr>
                      <w:rFonts w:hint="default" w:ascii="Times New Roman" w:hAnsi="Times New Roman" w:cs="Times New Roman"/>
                    </w:rPr>
                    <w:t>固废</w:t>
                  </w:r>
                </w:p>
              </w:tc>
              <w:tc>
                <w:tcPr>
                  <w:tcW w:w="721"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rPr>
                  </w:pPr>
                  <w:r>
                    <w:rPr>
                      <w:rFonts w:hint="default" w:ascii="Times New Roman" w:hAnsi="Times New Roman" w:cs="Times New Roman"/>
                    </w:rPr>
                    <w:t>生活垃圾</w:t>
                  </w:r>
                </w:p>
              </w:tc>
              <w:tc>
                <w:tcPr>
                  <w:tcW w:w="641"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532"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textAlignment w:val="baseline"/>
                    <w:rPr>
                      <w:rFonts w:hint="default" w:ascii="Times New Roman" w:hAnsi="Times New Roman" w:eastAsia="宋体" w:cs="Times New Roman"/>
                      <w:lang w:val="en-US" w:eastAsia="zh-CN"/>
                    </w:rPr>
                  </w:pPr>
                  <w:r>
                    <w:rPr>
                      <w:rFonts w:hint="eastAsia" w:cs="Times New Roman"/>
                      <w:lang w:val="en-US" w:eastAsia="zh-CN"/>
                    </w:rPr>
                    <w:t>6</w:t>
                  </w:r>
                </w:p>
              </w:tc>
              <w:tc>
                <w:tcPr>
                  <w:tcW w:w="540"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textAlignment w:val="baseline"/>
                    <w:rPr>
                      <w:rFonts w:hint="default" w:ascii="Times New Roman" w:hAnsi="Times New Roman" w:cs="Times New Roman"/>
                    </w:rPr>
                  </w:pPr>
                  <w:r>
                    <w:rPr>
                      <w:rFonts w:hint="eastAsia" w:cs="Times New Roman"/>
                      <w:lang w:val="en-US" w:eastAsia="zh-CN"/>
                    </w:rPr>
                    <w:t>6</w:t>
                  </w:r>
                </w:p>
              </w:tc>
              <w:tc>
                <w:tcPr>
                  <w:tcW w:w="523"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Times New Roman"/>
                      <w:lang w:val="en-US" w:eastAsia="zh-CN"/>
                    </w:rPr>
                  </w:pPr>
                  <w:r>
                    <w:rPr>
                      <w:rFonts w:hint="eastAsia" w:cs="Times New Roman"/>
                      <w:lang w:val="en-US" w:eastAsia="zh-CN"/>
                    </w:rPr>
                    <w:t>0</w:t>
                  </w:r>
                </w:p>
              </w:tc>
              <w:tc>
                <w:tcPr>
                  <w:tcW w:w="695"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Times New Roman"/>
                      <w:lang w:val="en-US" w:eastAsia="zh-CN"/>
                    </w:rPr>
                  </w:pPr>
                  <w:r>
                    <w:rPr>
                      <w:rFonts w:hint="eastAsia" w:cs="Times New Roman"/>
                      <w:lang w:val="en-US" w:eastAsia="zh-CN"/>
                    </w:rPr>
                    <w:t>0</w:t>
                  </w:r>
                </w:p>
              </w:tc>
              <w:tc>
                <w:tcPr>
                  <w:tcW w:w="532"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Times New Roman"/>
                      <w:lang w:val="en-US" w:eastAsia="zh-CN"/>
                    </w:rPr>
                  </w:pPr>
                  <w:r>
                    <w:rPr>
                      <w:rFonts w:hint="eastAsia" w:cs="Times New Roman"/>
                      <w:lang w:val="en-US" w:eastAsia="zh-CN"/>
                    </w:rPr>
                    <w:t>0</w:t>
                  </w:r>
                </w:p>
              </w:tc>
              <w:tc>
                <w:tcPr>
                  <w:tcW w:w="576"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Times New Roman"/>
                      <w:lang w:val="en-US" w:eastAsia="zh-CN"/>
                    </w:rPr>
                  </w:pPr>
                  <w:r>
                    <w:rPr>
                      <w:rFonts w:hint="eastAsia"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236" w:type="pct"/>
                  <w:vMerge w:val="continue"/>
                  <w:tcBorders>
                    <w:left w:val="single" w:color="auto" w:sz="4" w:space="0"/>
                    <w:right w:val="single" w:color="auto" w:sz="4" w:space="0"/>
                  </w:tcBorders>
                  <w:vAlign w:val="center"/>
                </w:tcPr>
                <w:p>
                  <w:pPr>
                    <w:jc w:val="center"/>
                    <w:rPr>
                      <w:rFonts w:hint="default" w:ascii="Times New Roman" w:hAnsi="Times New Roman" w:cs="Times New Roman"/>
                    </w:rPr>
                  </w:pPr>
                </w:p>
              </w:tc>
              <w:tc>
                <w:tcPr>
                  <w:tcW w:w="721"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lang w:val="en-US" w:eastAsia="zh-CN"/>
                    </w:rPr>
                  </w:pPr>
                  <w:r>
                    <w:rPr>
                      <w:rFonts w:hint="eastAsia" w:cs="Times New Roman"/>
                      <w:lang w:val="en-US" w:eastAsia="zh-CN"/>
                    </w:rPr>
                    <w:t>废包装材料</w:t>
                  </w:r>
                </w:p>
              </w:tc>
              <w:tc>
                <w:tcPr>
                  <w:tcW w:w="641"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532"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textAlignment w:val="baseline"/>
                    <w:rPr>
                      <w:rFonts w:hint="default" w:ascii="Times New Roman" w:hAnsi="Times New Roman" w:eastAsia="宋体" w:cs="Times New Roman"/>
                      <w:lang w:val="en-US" w:eastAsia="zh-CN"/>
                    </w:rPr>
                  </w:pPr>
                  <w:r>
                    <w:rPr>
                      <w:rFonts w:hint="eastAsia" w:cs="Times New Roman"/>
                      <w:lang w:val="en-US" w:eastAsia="zh-CN"/>
                    </w:rPr>
                    <w:t>15</w:t>
                  </w:r>
                </w:p>
              </w:tc>
              <w:tc>
                <w:tcPr>
                  <w:tcW w:w="540"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textAlignment w:val="baseline"/>
                    <w:rPr>
                      <w:rFonts w:hint="default" w:ascii="Times New Roman" w:hAnsi="Times New Roman" w:cs="Times New Roman"/>
                    </w:rPr>
                  </w:pPr>
                  <w:r>
                    <w:rPr>
                      <w:rFonts w:hint="eastAsia" w:cs="Times New Roman"/>
                      <w:lang w:val="en-US" w:eastAsia="zh-CN"/>
                    </w:rPr>
                    <w:t>15</w:t>
                  </w:r>
                </w:p>
              </w:tc>
              <w:tc>
                <w:tcPr>
                  <w:tcW w:w="523"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Times New Roman"/>
                      <w:lang w:val="en-US" w:eastAsia="zh-CN"/>
                    </w:rPr>
                  </w:pPr>
                  <w:r>
                    <w:rPr>
                      <w:rFonts w:hint="eastAsia" w:cs="Times New Roman"/>
                      <w:lang w:val="en-US" w:eastAsia="zh-CN"/>
                    </w:rPr>
                    <w:t>0</w:t>
                  </w:r>
                </w:p>
              </w:tc>
              <w:tc>
                <w:tcPr>
                  <w:tcW w:w="695"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Times New Roman"/>
                      <w:lang w:val="en-US" w:eastAsia="zh-CN"/>
                    </w:rPr>
                  </w:pPr>
                  <w:r>
                    <w:rPr>
                      <w:rFonts w:hint="eastAsia" w:cs="Times New Roman"/>
                      <w:lang w:val="en-US" w:eastAsia="zh-CN"/>
                    </w:rPr>
                    <w:t>0</w:t>
                  </w:r>
                </w:p>
              </w:tc>
              <w:tc>
                <w:tcPr>
                  <w:tcW w:w="532"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Times New Roman"/>
                      <w:lang w:val="en-US" w:eastAsia="zh-CN"/>
                    </w:rPr>
                  </w:pPr>
                  <w:r>
                    <w:rPr>
                      <w:rFonts w:hint="eastAsia" w:cs="Times New Roman"/>
                      <w:lang w:val="en-US" w:eastAsia="zh-CN"/>
                    </w:rPr>
                    <w:t>0</w:t>
                  </w:r>
                </w:p>
              </w:tc>
              <w:tc>
                <w:tcPr>
                  <w:tcW w:w="576"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Times New Roman"/>
                      <w:lang w:val="en-US" w:eastAsia="zh-CN"/>
                    </w:rPr>
                  </w:pPr>
                  <w:r>
                    <w:rPr>
                      <w:rFonts w:hint="eastAsia"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236" w:type="pct"/>
                  <w:vMerge w:val="continue"/>
                  <w:tcBorders>
                    <w:left w:val="single" w:color="auto" w:sz="4" w:space="0"/>
                    <w:right w:val="single" w:color="auto" w:sz="4" w:space="0"/>
                  </w:tcBorders>
                  <w:vAlign w:val="center"/>
                </w:tcPr>
                <w:p>
                  <w:pPr>
                    <w:jc w:val="center"/>
                    <w:rPr>
                      <w:rFonts w:hint="default" w:ascii="Times New Roman" w:hAnsi="Times New Roman" w:cs="Times New Roman"/>
                    </w:rPr>
                  </w:pPr>
                </w:p>
              </w:tc>
              <w:tc>
                <w:tcPr>
                  <w:tcW w:w="721"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lang w:val="en-US" w:eastAsia="zh-CN"/>
                    </w:rPr>
                  </w:pPr>
                  <w:r>
                    <w:rPr>
                      <w:rFonts w:hint="eastAsia" w:cs="Times New Roman"/>
                      <w:lang w:val="en-US" w:eastAsia="zh-CN"/>
                    </w:rPr>
                    <w:t>初清筛杂质</w:t>
                  </w:r>
                </w:p>
              </w:tc>
              <w:tc>
                <w:tcPr>
                  <w:tcW w:w="641"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532"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textAlignment w:val="baseline"/>
                    <w:rPr>
                      <w:rFonts w:hint="default" w:ascii="Times New Roman" w:hAnsi="Times New Roman" w:eastAsia="宋体" w:cs="Times New Roman"/>
                      <w:lang w:val="en-US" w:eastAsia="zh-CN"/>
                    </w:rPr>
                  </w:pPr>
                  <w:r>
                    <w:rPr>
                      <w:rFonts w:hint="eastAsia" w:cs="Times New Roman"/>
                      <w:lang w:val="en-US" w:eastAsia="zh-CN"/>
                    </w:rPr>
                    <w:t>17.64</w:t>
                  </w:r>
                </w:p>
              </w:tc>
              <w:tc>
                <w:tcPr>
                  <w:tcW w:w="540"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textAlignment w:val="baseline"/>
                    <w:rPr>
                      <w:rFonts w:hint="default" w:ascii="Times New Roman" w:hAnsi="Times New Roman" w:cs="Times New Roman"/>
                    </w:rPr>
                  </w:pPr>
                  <w:r>
                    <w:rPr>
                      <w:rFonts w:hint="eastAsia" w:cs="Times New Roman"/>
                      <w:lang w:val="en-US" w:eastAsia="zh-CN"/>
                    </w:rPr>
                    <w:t>17.64</w:t>
                  </w:r>
                </w:p>
              </w:tc>
              <w:tc>
                <w:tcPr>
                  <w:tcW w:w="523"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Times New Roman"/>
                      <w:lang w:val="en-US" w:eastAsia="zh-CN"/>
                    </w:rPr>
                  </w:pPr>
                  <w:r>
                    <w:rPr>
                      <w:rFonts w:hint="eastAsia" w:cs="Times New Roman"/>
                      <w:lang w:val="en-US" w:eastAsia="zh-CN"/>
                    </w:rPr>
                    <w:t>0</w:t>
                  </w:r>
                </w:p>
              </w:tc>
              <w:tc>
                <w:tcPr>
                  <w:tcW w:w="695"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Times New Roman"/>
                      <w:lang w:val="en-US" w:eastAsia="zh-CN"/>
                    </w:rPr>
                  </w:pPr>
                  <w:r>
                    <w:rPr>
                      <w:rFonts w:hint="eastAsia" w:cs="Times New Roman"/>
                      <w:lang w:val="en-US" w:eastAsia="zh-CN"/>
                    </w:rPr>
                    <w:t>0</w:t>
                  </w:r>
                </w:p>
              </w:tc>
              <w:tc>
                <w:tcPr>
                  <w:tcW w:w="532"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Times New Roman"/>
                      <w:lang w:val="en-US" w:eastAsia="zh-CN"/>
                    </w:rPr>
                  </w:pPr>
                  <w:r>
                    <w:rPr>
                      <w:rFonts w:hint="eastAsia" w:cs="Times New Roman"/>
                      <w:lang w:val="en-US" w:eastAsia="zh-CN"/>
                    </w:rPr>
                    <w:t>0</w:t>
                  </w:r>
                </w:p>
              </w:tc>
              <w:tc>
                <w:tcPr>
                  <w:tcW w:w="576"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Times New Roman"/>
                      <w:lang w:val="en-US" w:eastAsia="zh-CN"/>
                    </w:rPr>
                  </w:pPr>
                  <w:r>
                    <w:rPr>
                      <w:rFonts w:hint="eastAsia"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236" w:type="pct"/>
                  <w:vMerge w:val="continue"/>
                  <w:tcBorders>
                    <w:left w:val="single" w:color="auto" w:sz="4" w:space="0"/>
                    <w:right w:val="single" w:color="auto" w:sz="4" w:space="0"/>
                  </w:tcBorders>
                  <w:vAlign w:val="center"/>
                </w:tcPr>
                <w:p>
                  <w:pPr>
                    <w:jc w:val="center"/>
                    <w:rPr>
                      <w:rFonts w:hint="default" w:ascii="Times New Roman" w:hAnsi="Times New Roman" w:cs="Times New Roman"/>
                    </w:rPr>
                  </w:pPr>
                </w:p>
              </w:tc>
              <w:tc>
                <w:tcPr>
                  <w:tcW w:w="721"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Times New Roman"/>
                      <w:lang w:val="en-US" w:eastAsia="zh-CN"/>
                    </w:rPr>
                  </w:pPr>
                  <w:r>
                    <w:rPr>
                      <w:rFonts w:hint="eastAsia" w:cs="Times New Roman"/>
                      <w:lang w:val="en-US" w:eastAsia="zh-CN"/>
                    </w:rPr>
                    <w:t>磁选杂质</w:t>
                  </w:r>
                </w:p>
              </w:tc>
              <w:tc>
                <w:tcPr>
                  <w:tcW w:w="641"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rPr>
                  </w:pPr>
                  <w:r>
                    <w:rPr>
                      <w:rFonts w:hint="default" w:ascii="Times New Roman" w:hAnsi="Times New Roman" w:cs="Times New Roman"/>
                    </w:rPr>
                    <w:t>0</w:t>
                  </w:r>
                </w:p>
              </w:tc>
              <w:tc>
                <w:tcPr>
                  <w:tcW w:w="532"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textAlignment w:val="baseline"/>
                    <w:rPr>
                      <w:rFonts w:hint="default" w:ascii="Times New Roman" w:hAnsi="Times New Roman" w:eastAsia="宋体" w:cs="Times New Roman"/>
                      <w:lang w:val="en-US" w:eastAsia="zh-CN"/>
                    </w:rPr>
                  </w:pPr>
                  <w:r>
                    <w:rPr>
                      <w:rFonts w:hint="eastAsia" w:eastAsia="宋体" w:cs="Times New Roman"/>
                      <w:lang w:val="en-US" w:eastAsia="zh-CN"/>
                    </w:rPr>
                    <w:t>8.82</w:t>
                  </w:r>
                </w:p>
              </w:tc>
              <w:tc>
                <w:tcPr>
                  <w:tcW w:w="540"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textAlignment w:val="baseline"/>
                    <w:rPr>
                      <w:rFonts w:hint="default" w:ascii="Times New Roman" w:hAnsi="Times New Roman" w:eastAsia="宋体" w:cs="Times New Roman"/>
                      <w:lang w:eastAsia="zh-CN"/>
                    </w:rPr>
                  </w:pPr>
                  <w:r>
                    <w:rPr>
                      <w:rFonts w:hint="eastAsia" w:eastAsia="宋体" w:cs="Times New Roman"/>
                      <w:lang w:val="en-US" w:eastAsia="zh-CN"/>
                    </w:rPr>
                    <w:t>8.82</w:t>
                  </w:r>
                </w:p>
              </w:tc>
              <w:tc>
                <w:tcPr>
                  <w:tcW w:w="523"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Times New Roman"/>
                      <w:lang w:val="en-US" w:eastAsia="zh-CN"/>
                    </w:rPr>
                  </w:pPr>
                  <w:r>
                    <w:rPr>
                      <w:rFonts w:hint="eastAsia" w:cs="Times New Roman"/>
                      <w:lang w:val="en-US" w:eastAsia="zh-CN"/>
                    </w:rPr>
                    <w:t>0</w:t>
                  </w:r>
                </w:p>
              </w:tc>
              <w:tc>
                <w:tcPr>
                  <w:tcW w:w="695"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Times New Roman"/>
                      <w:lang w:val="en-US" w:eastAsia="zh-CN"/>
                    </w:rPr>
                  </w:pPr>
                  <w:r>
                    <w:rPr>
                      <w:rFonts w:hint="eastAsia" w:cs="Times New Roman"/>
                      <w:lang w:val="en-US" w:eastAsia="zh-CN"/>
                    </w:rPr>
                    <w:t>0</w:t>
                  </w:r>
                </w:p>
              </w:tc>
              <w:tc>
                <w:tcPr>
                  <w:tcW w:w="532"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Times New Roman"/>
                      <w:lang w:val="en-US" w:eastAsia="zh-CN"/>
                    </w:rPr>
                  </w:pPr>
                  <w:r>
                    <w:rPr>
                      <w:rFonts w:hint="eastAsia" w:cs="Times New Roman"/>
                      <w:lang w:val="en-US" w:eastAsia="zh-CN"/>
                    </w:rPr>
                    <w:t>0</w:t>
                  </w:r>
                </w:p>
              </w:tc>
              <w:tc>
                <w:tcPr>
                  <w:tcW w:w="576"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Times New Roman"/>
                      <w:lang w:val="en-US" w:eastAsia="zh-CN"/>
                    </w:rPr>
                  </w:pPr>
                  <w:r>
                    <w:rPr>
                      <w:rFonts w:hint="eastAsia"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236" w:type="pct"/>
                  <w:vMerge w:val="continue"/>
                  <w:tcBorders>
                    <w:left w:val="single" w:color="auto" w:sz="4" w:space="0"/>
                    <w:right w:val="single" w:color="auto" w:sz="4" w:space="0"/>
                  </w:tcBorders>
                  <w:vAlign w:val="center"/>
                </w:tcPr>
                <w:p>
                  <w:pPr>
                    <w:jc w:val="center"/>
                    <w:rPr>
                      <w:rFonts w:hint="default" w:ascii="Times New Roman" w:hAnsi="Times New Roman" w:cs="Times New Roman"/>
                    </w:rPr>
                  </w:pPr>
                </w:p>
              </w:tc>
              <w:tc>
                <w:tcPr>
                  <w:tcW w:w="721" w:type="pct"/>
                  <w:tcBorders>
                    <w:top w:val="single" w:color="auto" w:sz="4" w:space="0"/>
                    <w:left w:val="single" w:color="auto" w:sz="4" w:space="0"/>
                    <w:bottom w:val="single" w:color="auto" w:sz="4" w:space="0"/>
                    <w:right w:val="single" w:color="auto" w:sz="4" w:space="0"/>
                  </w:tcBorders>
                  <w:vAlign w:val="center"/>
                </w:tcPr>
                <w:p>
                  <w:pPr>
                    <w:jc w:val="center"/>
                    <w:rPr>
                      <w:rFonts w:hint="default" w:cs="Times New Roman"/>
                      <w:lang w:val="en-US" w:eastAsia="zh-CN"/>
                    </w:rPr>
                  </w:pPr>
                  <w:r>
                    <w:rPr>
                      <w:rFonts w:hint="eastAsia" w:cs="Times New Roman"/>
                      <w:lang w:val="en-US" w:eastAsia="zh-CN"/>
                    </w:rPr>
                    <w:t>除尘器收集的粉尘</w:t>
                  </w:r>
                </w:p>
              </w:tc>
              <w:tc>
                <w:tcPr>
                  <w:tcW w:w="641"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Times New Roman"/>
                      <w:lang w:val="en-US" w:eastAsia="zh-CN"/>
                    </w:rPr>
                  </w:pPr>
                  <w:r>
                    <w:rPr>
                      <w:rFonts w:hint="eastAsia" w:cs="Times New Roman"/>
                      <w:lang w:val="en-US" w:eastAsia="zh-CN"/>
                    </w:rPr>
                    <w:t>0</w:t>
                  </w:r>
                </w:p>
              </w:tc>
              <w:tc>
                <w:tcPr>
                  <w:tcW w:w="532"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textAlignment w:val="baseline"/>
                    <w:rPr>
                      <w:rFonts w:hint="default" w:ascii="Times New Roman" w:hAnsi="Times New Roman" w:cs="Times New Roman"/>
                      <w:lang w:val="en-US" w:eastAsia="zh-CN"/>
                    </w:rPr>
                  </w:pPr>
                  <w:r>
                    <w:rPr>
                      <w:rFonts w:hint="eastAsia" w:cs="Times New Roman"/>
                      <w:lang w:val="en-US" w:eastAsia="zh-CN"/>
                    </w:rPr>
                    <w:t>12.147</w:t>
                  </w:r>
                </w:p>
              </w:tc>
              <w:tc>
                <w:tcPr>
                  <w:tcW w:w="540"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textAlignment w:val="baseline"/>
                    <w:rPr>
                      <w:rFonts w:hint="default" w:ascii="Times New Roman" w:hAnsi="Times New Roman" w:cs="Times New Roman"/>
                      <w:snapToGrid w:val="0"/>
                      <w:kern w:val="21"/>
                      <w:lang w:eastAsia="zh-CN"/>
                    </w:rPr>
                  </w:pPr>
                  <w:r>
                    <w:rPr>
                      <w:rFonts w:hint="eastAsia" w:cs="Times New Roman"/>
                      <w:lang w:val="en-US" w:eastAsia="zh-CN"/>
                    </w:rPr>
                    <w:t>12.147</w:t>
                  </w:r>
                </w:p>
              </w:tc>
              <w:tc>
                <w:tcPr>
                  <w:tcW w:w="523"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Times New Roman"/>
                      <w:lang w:val="en-US" w:eastAsia="zh-CN"/>
                    </w:rPr>
                  </w:pPr>
                  <w:r>
                    <w:rPr>
                      <w:rFonts w:hint="eastAsia" w:cs="Times New Roman"/>
                      <w:lang w:val="en-US" w:eastAsia="zh-CN"/>
                    </w:rPr>
                    <w:t>0</w:t>
                  </w:r>
                </w:p>
              </w:tc>
              <w:tc>
                <w:tcPr>
                  <w:tcW w:w="695"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Times New Roman"/>
                      <w:lang w:val="en-US" w:eastAsia="zh-CN"/>
                    </w:rPr>
                  </w:pPr>
                  <w:r>
                    <w:rPr>
                      <w:rFonts w:hint="eastAsia" w:cs="Times New Roman"/>
                      <w:lang w:val="en-US" w:eastAsia="zh-CN"/>
                    </w:rPr>
                    <w:t>0</w:t>
                  </w:r>
                </w:p>
              </w:tc>
              <w:tc>
                <w:tcPr>
                  <w:tcW w:w="532"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Times New Roman"/>
                      <w:lang w:val="en-US" w:eastAsia="zh-CN"/>
                    </w:rPr>
                  </w:pPr>
                  <w:r>
                    <w:rPr>
                      <w:rFonts w:hint="eastAsia" w:cs="Times New Roman"/>
                      <w:lang w:val="en-US" w:eastAsia="zh-CN"/>
                    </w:rPr>
                    <w:t>0</w:t>
                  </w:r>
                </w:p>
              </w:tc>
              <w:tc>
                <w:tcPr>
                  <w:tcW w:w="576"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Times New Roman"/>
                      <w:lang w:val="en-US" w:eastAsia="zh-CN"/>
                    </w:rPr>
                  </w:pPr>
                  <w:r>
                    <w:rPr>
                      <w:rFonts w:hint="eastAsia"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236" w:type="pct"/>
                  <w:vMerge w:val="continue"/>
                  <w:tcBorders>
                    <w:left w:val="single" w:color="auto" w:sz="4" w:space="0"/>
                    <w:right w:val="single" w:color="auto" w:sz="4" w:space="0"/>
                  </w:tcBorders>
                  <w:vAlign w:val="center"/>
                </w:tcPr>
                <w:p>
                  <w:pPr>
                    <w:jc w:val="center"/>
                    <w:rPr>
                      <w:rFonts w:hint="default" w:ascii="Times New Roman" w:hAnsi="Times New Roman" w:cs="Times New Roman"/>
                    </w:rPr>
                  </w:pPr>
                </w:p>
              </w:tc>
              <w:tc>
                <w:tcPr>
                  <w:tcW w:w="721" w:type="pct"/>
                  <w:tcBorders>
                    <w:top w:val="single" w:color="auto" w:sz="4" w:space="0"/>
                    <w:left w:val="single" w:color="auto" w:sz="4" w:space="0"/>
                    <w:bottom w:val="single" w:color="auto" w:sz="4" w:space="0"/>
                    <w:right w:val="single" w:color="auto" w:sz="4" w:space="0"/>
                  </w:tcBorders>
                  <w:vAlign w:val="center"/>
                </w:tcPr>
                <w:p>
                  <w:pPr>
                    <w:jc w:val="center"/>
                    <w:rPr>
                      <w:rFonts w:hint="default" w:cs="Times New Roman"/>
                      <w:lang w:val="en-US" w:eastAsia="zh-CN"/>
                    </w:rPr>
                  </w:pPr>
                  <w:r>
                    <w:rPr>
                      <w:rFonts w:hint="eastAsia" w:cs="Times New Roman"/>
                      <w:lang w:val="en-US" w:eastAsia="zh-CN"/>
                    </w:rPr>
                    <w:t>纯水制备废离子交换树脂</w:t>
                  </w:r>
                </w:p>
              </w:tc>
              <w:tc>
                <w:tcPr>
                  <w:tcW w:w="641"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Times New Roman"/>
                      <w:lang w:val="en-US" w:eastAsia="zh-CN"/>
                    </w:rPr>
                  </w:pPr>
                  <w:r>
                    <w:rPr>
                      <w:rFonts w:hint="eastAsia" w:cs="Times New Roman"/>
                      <w:lang w:val="en-US" w:eastAsia="zh-CN"/>
                    </w:rPr>
                    <w:t>0</w:t>
                  </w:r>
                </w:p>
              </w:tc>
              <w:tc>
                <w:tcPr>
                  <w:tcW w:w="532"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textAlignment w:val="baseline"/>
                    <w:rPr>
                      <w:rFonts w:hint="default" w:ascii="Times New Roman" w:hAnsi="Times New Roman" w:cs="Times New Roman"/>
                      <w:lang w:val="en-US" w:eastAsia="zh-CN"/>
                    </w:rPr>
                  </w:pPr>
                  <w:r>
                    <w:rPr>
                      <w:rFonts w:hint="eastAsia" w:cs="Times New Roman"/>
                      <w:lang w:val="en-US" w:eastAsia="zh-CN"/>
                    </w:rPr>
                    <w:t>0.1</w:t>
                  </w:r>
                </w:p>
              </w:tc>
              <w:tc>
                <w:tcPr>
                  <w:tcW w:w="540"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textAlignment w:val="baseline"/>
                    <w:rPr>
                      <w:rFonts w:hint="default" w:ascii="Times New Roman" w:hAnsi="Times New Roman" w:cs="Times New Roman"/>
                      <w:snapToGrid w:val="0"/>
                      <w:kern w:val="21"/>
                      <w:lang w:eastAsia="zh-CN"/>
                    </w:rPr>
                  </w:pPr>
                  <w:r>
                    <w:rPr>
                      <w:rFonts w:hint="eastAsia" w:cs="Times New Roman"/>
                      <w:lang w:val="en-US" w:eastAsia="zh-CN"/>
                    </w:rPr>
                    <w:t>0.1</w:t>
                  </w:r>
                </w:p>
              </w:tc>
              <w:tc>
                <w:tcPr>
                  <w:tcW w:w="523"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Times New Roman"/>
                      <w:lang w:val="en-US" w:eastAsia="zh-CN"/>
                    </w:rPr>
                  </w:pPr>
                  <w:r>
                    <w:rPr>
                      <w:rFonts w:hint="eastAsia" w:cs="Times New Roman"/>
                      <w:lang w:val="en-US" w:eastAsia="zh-CN"/>
                    </w:rPr>
                    <w:t>0</w:t>
                  </w:r>
                </w:p>
              </w:tc>
              <w:tc>
                <w:tcPr>
                  <w:tcW w:w="695"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Times New Roman"/>
                      <w:lang w:val="en-US" w:eastAsia="zh-CN"/>
                    </w:rPr>
                  </w:pPr>
                  <w:r>
                    <w:rPr>
                      <w:rFonts w:hint="eastAsia" w:cs="Times New Roman"/>
                      <w:lang w:val="en-US" w:eastAsia="zh-CN"/>
                    </w:rPr>
                    <w:t>0</w:t>
                  </w:r>
                </w:p>
              </w:tc>
              <w:tc>
                <w:tcPr>
                  <w:tcW w:w="532"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Times New Roman"/>
                      <w:lang w:val="en-US" w:eastAsia="zh-CN"/>
                    </w:rPr>
                  </w:pPr>
                  <w:r>
                    <w:rPr>
                      <w:rFonts w:hint="eastAsia" w:cs="Times New Roman"/>
                      <w:lang w:val="en-US" w:eastAsia="zh-CN"/>
                    </w:rPr>
                    <w:t>0</w:t>
                  </w:r>
                </w:p>
              </w:tc>
              <w:tc>
                <w:tcPr>
                  <w:tcW w:w="576"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Times New Roman"/>
                      <w:lang w:val="en-US" w:eastAsia="zh-CN"/>
                    </w:rPr>
                  </w:pPr>
                  <w:r>
                    <w:rPr>
                      <w:rFonts w:hint="eastAsia"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236" w:type="pct"/>
                  <w:vMerge w:val="continue"/>
                  <w:tcBorders>
                    <w:left w:val="single" w:color="auto" w:sz="4" w:space="0"/>
                    <w:right w:val="single" w:color="auto" w:sz="4" w:space="0"/>
                  </w:tcBorders>
                  <w:vAlign w:val="center"/>
                </w:tcPr>
                <w:p>
                  <w:pPr>
                    <w:jc w:val="center"/>
                    <w:rPr>
                      <w:rFonts w:hint="default" w:ascii="Times New Roman" w:hAnsi="Times New Roman" w:cs="Times New Roman"/>
                    </w:rPr>
                  </w:pPr>
                </w:p>
              </w:tc>
              <w:tc>
                <w:tcPr>
                  <w:tcW w:w="721" w:type="pct"/>
                  <w:tcBorders>
                    <w:top w:val="single" w:color="auto" w:sz="4" w:space="0"/>
                    <w:left w:val="single" w:color="auto" w:sz="4" w:space="0"/>
                    <w:bottom w:val="single" w:color="auto" w:sz="4" w:space="0"/>
                    <w:right w:val="single" w:color="auto" w:sz="4" w:space="0"/>
                  </w:tcBorders>
                  <w:vAlign w:val="center"/>
                </w:tcPr>
                <w:p>
                  <w:pPr>
                    <w:jc w:val="center"/>
                    <w:rPr>
                      <w:rFonts w:hint="default" w:cs="Times New Roman"/>
                      <w:lang w:val="en-US" w:eastAsia="zh-CN"/>
                    </w:rPr>
                  </w:pPr>
                  <w:r>
                    <w:rPr>
                      <w:rFonts w:hint="eastAsia" w:cs="Times New Roman"/>
                      <w:lang w:val="en-US" w:eastAsia="zh-CN"/>
                    </w:rPr>
                    <w:t>废机油</w:t>
                  </w:r>
                </w:p>
              </w:tc>
              <w:tc>
                <w:tcPr>
                  <w:tcW w:w="641"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Times New Roman"/>
                      <w:lang w:val="en-US" w:eastAsia="zh-CN"/>
                    </w:rPr>
                  </w:pPr>
                  <w:r>
                    <w:rPr>
                      <w:rFonts w:hint="eastAsia" w:cs="Times New Roman"/>
                      <w:lang w:val="en-US" w:eastAsia="zh-CN"/>
                    </w:rPr>
                    <w:t>0</w:t>
                  </w:r>
                </w:p>
              </w:tc>
              <w:tc>
                <w:tcPr>
                  <w:tcW w:w="532"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textAlignment w:val="baseline"/>
                    <w:rPr>
                      <w:rFonts w:hint="default" w:ascii="Times New Roman" w:hAnsi="Times New Roman" w:cs="Times New Roman"/>
                      <w:lang w:val="en-US" w:eastAsia="zh-CN"/>
                    </w:rPr>
                  </w:pPr>
                  <w:r>
                    <w:rPr>
                      <w:rFonts w:hint="eastAsia" w:cs="Times New Roman"/>
                      <w:lang w:val="en-US" w:eastAsia="zh-CN"/>
                    </w:rPr>
                    <w:t>0.04</w:t>
                  </w:r>
                </w:p>
              </w:tc>
              <w:tc>
                <w:tcPr>
                  <w:tcW w:w="540"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textAlignment w:val="baseline"/>
                    <w:rPr>
                      <w:rFonts w:hint="default" w:ascii="Times New Roman" w:hAnsi="Times New Roman" w:cs="Times New Roman"/>
                      <w:snapToGrid w:val="0"/>
                      <w:kern w:val="21"/>
                      <w:lang w:eastAsia="zh-CN"/>
                    </w:rPr>
                  </w:pPr>
                  <w:r>
                    <w:rPr>
                      <w:rFonts w:hint="eastAsia" w:cs="Times New Roman"/>
                      <w:lang w:val="en-US" w:eastAsia="zh-CN"/>
                    </w:rPr>
                    <w:t>0.04</w:t>
                  </w:r>
                </w:p>
              </w:tc>
              <w:tc>
                <w:tcPr>
                  <w:tcW w:w="523"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Times New Roman"/>
                      <w:lang w:val="en-US" w:eastAsia="zh-CN"/>
                    </w:rPr>
                  </w:pPr>
                  <w:r>
                    <w:rPr>
                      <w:rFonts w:hint="eastAsia" w:cs="Times New Roman"/>
                      <w:lang w:val="en-US" w:eastAsia="zh-CN"/>
                    </w:rPr>
                    <w:t>0</w:t>
                  </w:r>
                </w:p>
              </w:tc>
              <w:tc>
                <w:tcPr>
                  <w:tcW w:w="695"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Times New Roman"/>
                      <w:lang w:val="en-US" w:eastAsia="zh-CN"/>
                    </w:rPr>
                  </w:pPr>
                  <w:r>
                    <w:rPr>
                      <w:rFonts w:hint="eastAsia" w:cs="Times New Roman"/>
                      <w:lang w:val="en-US" w:eastAsia="zh-CN"/>
                    </w:rPr>
                    <w:t>0</w:t>
                  </w:r>
                </w:p>
              </w:tc>
              <w:tc>
                <w:tcPr>
                  <w:tcW w:w="532"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Times New Roman"/>
                      <w:lang w:val="en-US" w:eastAsia="zh-CN"/>
                    </w:rPr>
                  </w:pPr>
                  <w:r>
                    <w:rPr>
                      <w:rFonts w:hint="eastAsia" w:cs="Times New Roman"/>
                      <w:lang w:val="en-US" w:eastAsia="zh-CN"/>
                    </w:rPr>
                    <w:t>0</w:t>
                  </w:r>
                </w:p>
              </w:tc>
              <w:tc>
                <w:tcPr>
                  <w:tcW w:w="576"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Times New Roman"/>
                      <w:lang w:val="en-US" w:eastAsia="zh-CN"/>
                    </w:rPr>
                  </w:pPr>
                  <w:r>
                    <w:rPr>
                      <w:rFonts w:hint="eastAsia"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236" w:type="pct"/>
                  <w:vMerge w:val="continue"/>
                  <w:tcBorders>
                    <w:left w:val="single" w:color="auto" w:sz="4" w:space="0"/>
                    <w:right w:val="single" w:color="auto" w:sz="4" w:space="0"/>
                  </w:tcBorders>
                  <w:vAlign w:val="center"/>
                </w:tcPr>
                <w:p>
                  <w:pPr>
                    <w:jc w:val="center"/>
                    <w:rPr>
                      <w:rFonts w:hint="default" w:ascii="Times New Roman" w:hAnsi="Times New Roman" w:cs="Times New Roman"/>
                    </w:rPr>
                  </w:pPr>
                </w:p>
              </w:tc>
              <w:tc>
                <w:tcPr>
                  <w:tcW w:w="721" w:type="pct"/>
                  <w:tcBorders>
                    <w:top w:val="single" w:color="auto" w:sz="4" w:space="0"/>
                    <w:left w:val="single" w:color="auto" w:sz="4" w:space="0"/>
                    <w:bottom w:val="single" w:color="auto" w:sz="4" w:space="0"/>
                    <w:right w:val="single" w:color="auto" w:sz="4" w:space="0"/>
                  </w:tcBorders>
                  <w:vAlign w:val="center"/>
                </w:tcPr>
                <w:p>
                  <w:pPr>
                    <w:jc w:val="center"/>
                    <w:rPr>
                      <w:rFonts w:hint="default" w:cs="Times New Roman"/>
                      <w:lang w:val="en-US" w:eastAsia="zh-CN"/>
                    </w:rPr>
                  </w:pPr>
                  <w:r>
                    <w:rPr>
                      <w:rFonts w:hint="eastAsia" w:cs="Times New Roman"/>
                      <w:lang w:val="en-US" w:eastAsia="zh-CN"/>
                    </w:rPr>
                    <w:t>废机油桶</w:t>
                  </w:r>
                </w:p>
              </w:tc>
              <w:tc>
                <w:tcPr>
                  <w:tcW w:w="641"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Times New Roman"/>
                      <w:lang w:val="en-US" w:eastAsia="zh-CN"/>
                    </w:rPr>
                  </w:pPr>
                  <w:r>
                    <w:rPr>
                      <w:rFonts w:hint="eastAsia" w:cs="Times New Roman"/>
                      <w:lang w:val="en-US" w:eastAsia="zh-CN"/>
                    </w:rPr>
                    <w:t>0</w:t>
                  </w:r>
                </w:p>
              </w:tc>
              <w:tc>
                <w:tcPr>
                  <w:tcW w:w="532"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textAlignment w:val="baseline"/>
                    <w:rPr>
                      <w:rFonts w:hint="default" w:ascii="Times New Roman" w:hAnsi="Times New Roman" w:cs="Times New Roman"/>
                      <w:lang w:val="en-US" w:eastAsia="zh-CN"/>
                    </w:rPr>
                  </w:pPr>
                  <w:r>
                    <w:rPr>
                      <w:rFonts w:hint="eastAsia" w:cs="Times New Roman"/>
                      <w:lang w:val="en-US" w:eastAsia="zh-CN"/>
                    </w:rPr>
                    <w:t>0.05</w:t>
                  </w:r>
                </w:p>
              </w:tc>
              <w:tc>
                <w:tcPr>
                  <w:tcW w:w="540"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textAlignment w:val="baseline"/>
                    <w:rPr>
                      <w:rFonts w:hint="default" w:ascii="Times New Roman" w:hAnsi="Times New Roman" w:cs="Times New Roman"/>
                      <w:snapToGrid w:val="0"/>
                      <w:kern w:val="21"/>
                      <w:lang w:eastAsia="zh-CN"/>
                    </w:rPr>
                  </w:pPr>
                  <w:r>
                    <w:rPr>
                      <w:rFonts w:hint="eastAsia" w:cs="Times New Roman"/>
                      <w:lang w:val="en-US" w:eastAsia="zh-CN"/>
                    </w:rPr>
                    <w:t>0.05</w:t>
                  </w:r>
                </w:p>
              </w:tc>
              <w:tc>
                <w:tcPr>
                  <w:tcW w:w="523"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Times New Roman"/>
                      <w:lang w:val="en-US" w:eastAsia="zh-CN"/>
                    </w:rPr>
                  </w:pPr>
                  <w:r>
                    <w:rPr>
                      <w:rFonts w:hint="eastAsia" w:cs="Times New Roman"/>
                      <w:lang w:val="en-US" w:eastAsia="zh-CN"/>
                    </w:rPr>
                    <w:t>0</w:t>
                  </w:r>
                </w:p>
              </w:tc>
              <w:tc>
                <w:tcPr>
                  <w:tcW w:w="695"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Times New Roman"/>
                      <w:lang w:val="en-US" w:eastAsia="zh-CN"/>
                    </w:rPr>
                  </w:pPr>
                  <w:r>
                    <w:rPr>
                      <w:rFonts w:hint="eastAsia" w:cs="Times New Roman"/>
                      <w:lang w:val="en-US" w:eastAsia="zh-CN"/>
                    </w:rPr>
                    <w:t>0</w:t>
                  </w:r>
                </w:p>
              </w:tc>
              <w:tc>
                <w:tcPr>
                  <w:tcW w:w="532"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Times New Roman"/>
                      <w:lang w:val="en-US" w:eastAsia="zh-CN"/>
                    </w:rPr>
                  </w:pPr>
                  <w:r>
                    <w:rPr>
                      <w:rFonts w:hint="eastAsia" w:cs="Times New Roman"/>
                      <w:lang w:val="en-US" w:eastAsia="zh-CN"/>
                    </w:rPr>
                    <w:t>0</w:t>
                  </w:r>
                </w:p>
              </w:tc>
              <w:tc>
                <w:tcPr>
                  <w:tcW w:w="576"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Times New Roman"/>
                      <w:lang w:val="en-US" w:eastAsia="zh-CN"/>
                    </w:rPr>
                  </w:pPr>
                  <w:r>
                    <w:rPr>
                      <w:rFonts w:hint="eastAsia"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236" w:type="pct"/>
                  <w:vMerge w:val="continue"/>
                  <w:tcBorders>
                    <w:left w:val="single" w:color="auto" w:sz="4" w:space="0"/>
                    <w:bottom w:val="single" w:color="auto" w:sz="4" w:space="0"/>
                    <w:right w:val="single" w:color="auto" w:sz="4" w:space="0"/>
                  </w:tcBorders>
                  <w:vAlign w:val="center"/>
                </w:tcPr>
                <w:p>
                  <w:pPr>
                    <w:jc w:val="center"/>
                    <w:rPr>
                      <w:rFonts w:hint="default" w:ascii="Times New Roman" w:hAnsi="Times New Roman" w:cs="Times New Roman"/>
                    </w:rPr>
                  </w:pPr>
                </w:p>
              </w:tc>
              <w:tc>
                <w:tcPr>
                  <w:tcW w:w="721" w:type="pct"/>
                  <w:tcBorders>
                    <w:top w:val="single" w:color="auto" w:sz="4" w:space="0"/>
                    <w:left w:val="single" w:color="auto" w:sz="4" w:space="0"/>
                    <w:bottom w:val="single" w:color="auto" w:sz="4" w:space="0"/>
                    <w:right w:val="single" w:color="auto" w:sz="4" w:space="0"/>
                  </w:tcBorders>
                  <w:vAlign w:val="center"/>
                </w:tcPr>
                <w:p>
                  <w:pPr>
                    <w:jc w:val="center"/>
                    <w:rPr>
                      <w:rFonts w:hint="default" w:cs="Times New Roman"/>
                      <w:lang w:val="en-US" w:eastAsia="zh-CN"/>
                    </w:rPr>
                  </w:pPr>
                  <w:r>
                    <w:rPr>
                      <w:rFonts w:hint="eastAsia" w:cs="Times New Roman"/>
                      <w:lang w:val="en-US" w:eastAsia="zh-CN"/>
                    </w:rPr>
                    <w:t>废弃的含油抹布、劳保用品</w:t>
                  </w:r>
                </w:p>
              </w:tc>
              <w:tc>
                <w:tcPr>
                  <w:tcW w:w="641"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Times New Roman"/>
                      <w:lang w:val="en-US" w:eastAsia="zh-CN"/>
                    </w:rPr>
                  </w:pPr>
                  <w:r>
                    <w:rPr>
                      <w:rFonts w:hint="eastAsia" w:cs="Times New Roman"/>
                      <w:lang w:val="en-US" w:eastAsia="zh-CN"/>
                    </w:rPr>
                    <w:t>0</w:t>
                  </w:r>
                </w:p>
              </w:tc>
              <w:tc>
                <w:tcPr>
                  <w:tcW w:w="532"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textAlignment w:val="baseline"/>
                    <w:rPr>
                      <w:rFonts w:hint="default" w:ascii="Times New Roman" w:hAnsi="Times New Roman" w:cs="Times New Roman"/>
                      <w:lang w:val="en-US" w:eastAsia="zh-CN"/>
                    </w:rPr>
                  </w:pPr>
                  <w:r>
                    <w:rPr>
                      <w:rFonts w:hint="eastAsia" w:cs="Times New Roman"/>
                      <w:lang w:val="en-US" w:eastAsia="zh-CN"/>
                    </w:rPr>
                    <w:t>0.1</w:t>
                  </w:r>
                </w:p>
              </w:tc>
              <w:tc>
                <w:tcPr>
                  <w:tcW w:w="540"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textAlignment w:val="baseline"/>
                    <w:rPr>
                      <w:rFonts w:hint="default" w:ascii="Times New Roman" w:hAnsi="Times New Roman" w:cs="Times New Roman"/>
                      <w:snapToGrid w:val="0"/>
                      <w:kern w:val="21"/>
                      <w:lang w:eastAsia="zh-CN"/>
                    </w:rPr>
                  </w:pPr>
                  <w:r>
                    <w:rPr>
                      <w:rFonts w:hint="eastAsia" w:cs="Times New Roman"/>
                      <w:lang w:val="en-US" w:eastAsia="zh-CN"/>
                    </w:rPr>
                    <w:t>0.1</w:t>
                  </w:r>
                </w:p>
              </w:tc>
              <w:tc>
                <w:tcPr>
                  <w:tcW w:w="523"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Times New Roman"/>
                      <w:lang w:val="en-US" w:eastAsia="zh-CN"/>
                    </w:rPr>
                  </w:pPr>
                  <w:r>
                    <w:rPr>
                      <w:rFonts w:hint="eastAsia" w:cs="Times New Roman"/>
                      <w:lang w:val="en-US" w:eastAsia="zh-CN"/>
                    </w:rPr>
                    <w:t>0</w:t>
                  </w:r>
                </w:p>
              </w:tc>
              <w:tc>
                <w:tcPr>
                  <w:tcW w:w="695"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Times New Roman"/>
                      <w:lang w:val="en-US" w:eastAsia="zh-CN"/>
                    </w:rPr>
                  </w:pPr>
                  <w:r>
                    <w:rPr>
                      <w:rFonts w:hint="eastAsia" w:cs="Times New Roman"/>
                      <w:lang w:val="en-US" w:eastAsia="zh-CN"/>
                    </w:rPr>
                    <w:t>0</w:t>
                  </w:r>
                </w:p>
              </w:tc>
              <w:tc>
                <w:tcPr>
                  <w:tcW w:w="532"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Times New Roman"/>
                      <w:lang w:val="en-US" w:eastAsia="zh-CN"/>
                    </w:rPr>
                  </w:pPr>
                  <w:r>
                    <w:rPr>
                      <w:rFonts w:hint="eastAsia" w:cs="Times New Roman"/>
                      <w:lang w:val="en-US" w:eastAsia="zh-CN"/>
                    </w:rPr>
                    <w:t>0</w:t>
                  </w:r>
                </w:p>
              </w:tc>
              <w:tc>
                <w:tcPr>
                  <w:tcW w:w="576"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Times New Roman"/>
                      <w:lang w:val="en-US" w:eastAsia="zh-CN"/>
                    </w:rPr>
                  </w:pPr>
                  <w:r>
                    <w:rPr>
                      <w:rFonts w:hint="eastAsia" w:cs="Times New Roman"/>
                      <w:lang w:val="en-US" w:eastAsia="zh-CN"/>
                    </w:rPr>
                    <w:t>0</w:t>
                  </w:r>
                </w:p>
              </w:tc>
            </w:tr>
          </w:tbl>
          <w:p>
            <w:pPr>
              <w:rPr>
                <w:color w:val="auto"/>
                <w:sz w:val="32"/>
                <w:szCs w:val="32"/>
              </w:rPr>
            </w:pPr>
          </w:p>
        </w:tc>
      </w:tr>
    </w:tbl>
    <w:p>
      <w:pPr>
        <w:adjustRightInd w:val="0"/>
        <w:snapToGrid w:val="0"/>
        <w:spacing w:line="360" w:lineRule="auto"/>
        <w:rPr>
          <w:b/>
          <w:bCs/>
          <w:kern w:val="0"/>
          <w:sz w:val="28"/>
          <w:szCs w:val="28"/>
        </w:rPr>
        <w:sectPr>
          <w:pgSz w:w="11907" w:h="16840"/>
          <w:pgMar w:top="1701" w:right="1531" w:bottom="2127" w:left="1531" w:header="851" w:footer="851" w:gutter="0"/>
          <w:cols w:space="720" w:num="1"/>
          <w:docGrid w:linePitch="312" w:charSpace="0"/>
        </w:sectPr>
      </w:pPr>
    </w:p>
    <w:p>
      <w:pPr>
        <w:pStyle w:val="20"/>
        <w:jc w:val="center"/>
        <w:outlineLvl w:val="0"/>
        <w:rPr>
          <w:rFonts w:ascii="Times New Roman" w:hAnsi="Times New Roman" w:eastAsia="黑体"/>
          <w:snapToGrid w:val="0"/>
          <w:sz w:val="30"/>
          <w:szCs w:val="30"/>
        </w:rPr>
      </w:pPr>
      <w:r>
        <w:rPr>
          <w:rFonts w:ascii="Times New Roman" w:hAnsi="Times New Roman" w:eastAsia="黑体"/>
          <w:snapToGrid w:val="0"/>
          <w:sz w:val="30"/>
          <w:szCs w:val="30"/>
        </w:rPr>
        <w:t>五、</w:t>
      </w:r>
      <w:bookmarkStart w:id="4" w:name="_Hlk54167917"/>
      <w:r>
        <w:rPr>
          <w:rFonts w:ascii="Times New Roman" w:hAnsi="Times New Roman" w:eastAsia="黑体"/>
          <w:snapToGrid w:val="0"/>
          <w:sz w:val="30"/>
          <w:szCs w:val="30"/>
        </w:rPr>
        <w:t>环境保护措施监督检查清单</w:t>
      </w:r>
      <w:bookmarkEnd w:id="4"/>
    </w:p>
    <w:tbl>
      <w:tblPr>
        <w:tblStyle w:val="23"/>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05"/>
        <w:gridCol w:w="1500"/>
        <w:gridCol w:w="1395"/>
        <w:gridCol w:w="2490"/>
        <w:gridCol w:w="191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505" w:type="dxa"/>
            <w:tcBorders>
              <w:top w:val="single" w:color="auto" w:sz="8" w:space="0"/>
              <w:tl2br w:val="single" w:color="auto" w:sz="4" w:space="0"/>
            </w:tcBorders>
            <w:vAlign w:val="center"/>
          </w:tcPr>
          <w:p>
            <w:pPr>
              <w:adjustRightInd w:val="0"/>
              <w:snapToGrid w:val="0"/>
              <w:ind w:firstLine="840"/>
            </w:pPr>
            <w:r>
              <w:t>内容</w:t>
            </w:r>
          </w:p>
          <w:p>
            <w:pPr>
              <w:adjustRightInd w:val="0"/>
              <w:snapToGrid w:val="0"/>
            </w:pPr>
            <w:r>
              <w:t>要素</w:t>
            </w:r>
          </w:p>
        </w:tc>
        <w:tc>
          <w:tcPr>
            <w:tcW w:w="1500" w:type="dxa"/>
            <w:tcBorders>
              <w:top w:val="single" w:color="auto" w:sz="8" w:space="0"/>
            </w:tcBorders>
            <w:vAlign w:val="center"/>
          </w:tcPr>
          <w:p>
            <w:pPr>
              <w:adjustRightInd w:val="0"/>
              <w:snapToGrid w:val="0"/>
              <w:jc w:val="center"/>
            </w:pPr>
            <w:r>
              <w:t>排放口(编号、</w:t>
            </w:r>
          </w:p>
          <w:p>
            <w:pPr>
              <w:adjustRightInd w:val="0"/>
              <w:snapToGrid w:val="0"/>
              <w:jc w:val="center"/>
            </w:pPr>
            <w:r>
              <w:t>名称)/污染源</w:t>
            </w:r>
          </w:p>
        </w:tc>
        <w:tc>
          <w:tcPr>
            <w:tcW w:w="1395" w:type="dxa"/>
            <w:tcBorders>
              <w:top w:val="single" w:color="auto" w:sz="8" w:space="0"/>
            </w:tcBorders>
            <w:vAlign w:val="center"/>
          </w:tcPr>
          <w:p>
            <w:pPr>
              <w:adjustRightInd w:val="0"/>
              <w:snapToGrid w:val="0"/>
              <w:jc w:val="center"/>
            </w:pPr>
            <w:r>
              <w:t>污染物项目</w:t>
            </w:r>
          </w:p>
        </w:tc>
        <w:tc>
          <w:tcPr>
            <w:tcW w:w="2490" w:type="dxa"/>
            <w:tcBorders>
              <w:top w:val="single" w:color="auto" w:sz="8" w:space="0"/>
            </w:tcBorders>
            <w:vAlign w:val="center"/>
          </w:tcPr>
          <w:p>
            <w:pPr>
              <w:adjustRightInd w:val="0"/>
              <w:snapToGrid w:val="0"/>
              <w:jc w:val="center"/>
            </w:pPr>
            <w:r>
              <w:t>环境保护措施</w:t>
            </w:r>
          </w:p>
        </w:tc>
        <w:tc>
          <w:tcPr>
            <w:tcW w:w="1910" w:type="dxa"/>
            <w:tcBorders>
              <w:top w:val="single" w:color="auto" w:sz="8" w:space="0"/>
            </w:tcBorders>
            <w:vAlign w:val="center"/>
          </w:tcPr>
          <w:p>
            <w:pPr>
              <w:adjustRightInd w:val="0"/>
              <w:snapToGrid w:val="0"/>
              <w:jc w:val="center"/>
            </w:pPr>
            <w:r>
              <w:t>执行标准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804" w:hRule="atLeast"/>
          <w:jc w:val="center"/>
        </w:trPr>
        <w:tc>
          <w:tcPr>
            <w:tcW w:w="1505" w:type="dxa"/>
            <w:vMerge w:val="restart"/>
            <w:vAlign w:val="center"/>
          </w:tcPr>
          <w:p>
            <w:pPr>
              <w:adjustRightInd w:val="0"/>
              <w:snapToGrid w:val="0"/>
              <w:jc w:val="center"/>
            </w:pPr>
            <w:r>
              <w:t>大气环境</w:t>
            </w:r>
          </w:p>
        </w:tc>
        <w:tc>
          <w:tcPr>
            <w:tcW w:w="1500" w:type="dxa"/>
            <w:vMerge w:val="restart"/>
            <w:vAlign w:val="center"/>
          </w:tcPr>
          <w:p>
            <w:pPr>
              <w:jc w:val="center"/>
            </w:pPr>
            <w:r>
              <w:rPr>
                <w:rFonts w:hint="eastAsia"/>
              </w:rPr>
              <w:t>DA001</w:t>
            </w:r>
          </w:p>
          <w:p>
            <w:pPr>
              <w:jc w:val="center"/>
            </w:pPr>
            <w:r>
              <w:rPr>
                <w:rFonts w:hint="eastAsia"/>
                <w:lang w:eastAsia="zh-CN"/>
              </w:rPr>
              <w:t>猪饲料</w:t>
            </w:r>
            <w:r>
              <w:rPr>
                <w:rFonts w:hint="eastAsia"/>
              </w:rPr>
              <w:t>生产废气</w:t>
            </w:r>
          </w:p>
        </w:tc>
        <w:tc>
          <w:tcPr>
            <w:tcW w:w="1395" w:type="dxa"/>
            <w:vMerge w:val="restart"/>
            <w:vAlign w:val="center"/>
          </w:tcPr>
          <w:p>
            <w:pPr>
              <w:adjustRightInd w:val="0"/>
              <w:snapToGrid w:val="0"/>
              <w:jc w:val="center"/>
            </w:pPr>
            <w:r>
              <w:rPr>
                <w:rFonts w:hint="eastAsia"/>
              </w:rPr>
              <w:t>颗粒物</w:t>
            </w:r>
          </w:p>
        </w:tc>
        <w:tc>
          <w:tcPr>
            <w:tcW w:w="2490" w:type="dxa"/>
            <w:vAlign w:val="center"/>
          </w:tcPr>
          <w:p>
            <w:pPr>
              <w:widowControl/>
              <w:jc w:val="center"/>
            </w:pPr>
            <w:r>
              <w:rPr>
                <w:rFonts w:ascii="宋体" w:hAnsi="宋体" w:cs="宋体"/>
              </w:rPr>
              <w:t>投料、初清筛、粉碎、配料和打包工段</w:t>
            </w:r>
            <w:r>
              <w:rPr>
                <w:rFonts w:hint="eastAsia"/>
                <w:kern w:val="0"/>
              </w:rPr>
              <w:t>产生的粉尘经各工段配置的除尘器进行处理后，通过同一根35m高的DA001排气筒高空排放</w:t>
            </w:r>
          </w:p>
        </w:tc>
        <w:tc>
          <w:tcPr>
            <w:tcW w:w="1910" w:type="dxa"/>
            <w:vMerge w:val="restart"/>
            <w:vAlign w:val="center"/>
          </w:tcPr>
          <w:p>
            <w:pPr>
              <w:autoSpaceDN w:val="0"/>
              <w:adjustRightInd w:val="0"/>
              <w:snapToGrid w:val="0"/>
              <w:jc w:val="center"/>
            </w:pPr>
            <w:r>
              <w:rPr>
                <w:color w:val="auto"/>
              </w:rPr>
              <w:t>上海市地方标准《大气污染物综合排放标准》（DB 31/933-2015）中</w:t>
            </w:r>
            <w:r>
              <w:rPr>
                <w:rFonts w:hint="eastAsia"/>
                <w:color w:val="auto"/>
              </w:rPr>
              <w:t>相关</w:t>
            </w:r>
            <w:r>
              <w:rPr>
                <w:color w:val="auto"/>
              </w:rPr>
              <w:t>排放限</w:t>
            </w:r>
            <w:r>
              <w:t>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804" w:hRule="atLeast"/>
          <w:jc w:val="center"/>
        </w:trPr>
        <w:tc>
          <w:tcPr>
            <w:tcW w:w="1505" w:type="dxa"/>
            <w:vMerge w:val="continue"/>
            <w:vAlign w:val="center"/>
          </w:tcPr>
          <w:p>
            <w:pPr>
              <w:adjustRightInd w:val="0"/>
              <w:snapToGrid w:val="0"/>
              <w:jc w:val="center"/>
            </w:pPr>
          </w:p>
        </w:tc>
        <w:tc>
          <w:tcPr>
            <w:tcW w:w="1500" w:type="dxa"/>
            <w:vAlign w:val="center"/>
          </w:tcPr>
          <w:p>
            <w:pPr>
              <w:jc w:val="center"/>
            </w:pPr>
            <w:r>
              <w:rPr>
                <w:rFonts w:hint="eastAsia"/>
              </w:rPr>
              <w:t>DA002</w:t>
            </w:r>
          </w:p>
          <w:p>
            <w:pPr>
              <w:jc w:val="center"/>
            </w:pPr>
            <w:r>
              <w:rPr>
                <w:rFonts w:hint="eastAsia"/>
                <w:lang w:eastAsia="zh-CN"/>
              </w:rPr>
              <w:t>反刍饲料</w:t>
            </w:r>
            <w:r>
              <w:rPr>
                <w:rFonts w:hint="eastAsia"/>
              </w:rPr>
              <w:t>生产废气</w:t>
            </w:r>
          </w:p>
        </w:tc>
        <w:tc>
          <w:tcPr>
            <w:tcW w:w="1395" w:type="dxa"/>
            <w:vAlign w:val="center"/>
          </w:tcPr>
          <w:p>
            <w:pPr>
              <w:adjustRightInd w:val="0"/>
              <w:snapToGrid w:val="0"/>
              <w:jc w:val="center"/>
            </w:pPr>
            <w:r>
              <w:rPr>
                <w:rFonts w:hint="eastAsia"/>
              </w:rPr>
              <w:t>颗粒物</w:t>
            </w:r>
          </w:p>
        </w:tc>
        <w:tc>
          <w:tcPr>
            <w:tcW w:w="2490" w:type="dxa"/>
            <w:vAlign w:val="center"/>
          </w:tcPr>
          <w:p>
            <w:pPr>
              <w:adjustRightInd w:val="0"/>
              <w:snapToGrid w:val="0"/>
              <w:jc w:val="center"/>
            </w:pPr>
            <w:r>
              <w:rPr>
                <w:rFonts w:ascii="宋体" w:hAnsi="宋体" w:cs="宋体"/>
              </w:rPr>
              <w:t>投料、初清筛、粉碎、配料和打包工段</w:t>
            </w:r>
            <w:r>
              <w:rPr>
                <w:rFonts w:hint="eastAsia"/>
                <w:kern w:val="0"/>
              </w:rPr>
              <w:t>产生的粉尘经各工段配置的除尘器进行处理后，通过同一根35m高的DA002排气筒高空排放</w:t>
            </w:r>
          </w:p>
        </w:tc>
        <w:tc>
          <w:tcPr>
            <w:tcW w:w="1910" w:type="dxa"/>
            <w:vMerge w:val="continue"/>
            <w:vAlign w:val="center"/>
          </w:tcPr>
          <w:p>
            <w:pPr>
              <w:jc w:val="cente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23" w:hRule="atLeast"/>
          <w:jc w:val="center"/>
        </w:trPr>
        <w:tc>
          <w:tcPr>
            <w:tcW w:w="1505" w:type="dxa"/>
            <w:vMerge w:val="continue"/>
            <w:vAlign w:val="center"/>
          </w:tcPr>
          <w:p>
            <w:pPr>
              <w:adjustRightInd w:val="0"/>
              <w:snapToGrid w:val="0"/>
              <w:jc w:val="center"/>
            </w:pPr>
          </w:p>
        </w:tc>
        <w:tc>
          <w:tcPr>
            <w:tcW w:w="1500" w:type="dxa"/>
            <w:vAlign w:val="center"/>
          </w:tcPr>
          <w:p>
            <w:pPr>
              <w:jc w:val="center"/>
            </w:pPr>
            <w:r>
              <w:rPr>
                <w:rFonts w:hint="eastAsia"/>
              </w:rPr>
              <w:t>DA003</w:t>
            </w:r>
          </w:p>
          <w:p>
            <w:pPr>
              <w:jc w:val="center"/>
            </w:pPr>
            <w:r>
              <w:rPr>
                <w:rFonts w:hint="eastAsia"/>
              </w:rPr>
              <w:t>锅炉烟气</w:t>
            </w:r>
          </w:p>
        </w:tc>
        <w:tc>
          <w:tcPr>
            <w:tcW w:w="1395" w:type="dxa"/>
            <w:vAlign w:val="center"/>
          </w:tcPr>
          <w:p>
            <w:pPr>
              <w:adjustRightInd w:val="0"/>
              <w:snapToGrid w:val="0"/>
              <w:jc w:val="center"/>
            </w:pPr>
            <w:r>
              <w:rPr>
                <w:rFonts w:hint="eastAsia"/>
              </w:rPr>
              <w:t>颗粒物、SO</w:t>
            </w:r>
            <w:r>
              <w:rPr>
                <w:rFonts w:hint="eastAsia"/>
                <w:vertAlign w:val="subscript"/>
              </w:rPr>
              <w:t>2</w:t>
            </w:r>
            <w:r>
              <w:rPr>
                <w:rFonts w:hint="eastAsia"/>
              </w:rPr>
              <w:t>、NO</w:t>
            </w:r>
            <w:r>
              <w:rPr>
                <w:rFonts w:hint="eastAsia"/>
                <w:vertAlign w:val="subscript"/>
              </w:rPr>
              <w:t>X</w:t>
            </w:r>
          </w:p>
        </w:tc>
        <w:tc>
          <w:tcPr>
            <w:tcW w:w="2490" w:type="dxa"/>
            <w:vAlign w:val="center"/>
          </w:tcPr>
          <w:p>
            <w:pPr>
              <w:adjustRightInd w:val="0"/>
              <w:snapToGrid w:val="0"/>
              <w:jc w:val="center"/>
            </w:pPr>
            <w:r>
              <w:rPr>
                <w:rFonts w:hint="eastAsia"/>
              </w:rPr>
              <w:t>低氮燃烧器+8m排气筒</w:t>
            </w:r>
          </w:p>
        </w:tc>
        <w:tc>
          <w:tcPr>
            <w:tcW w:w="1910" w:type="dxa"/>
            <w:vAlign w:val="center"/>
          </w:tcPr>
          <w:p>
            <w:pPr>
              <w:jc w:val="center"/>
            </w:pPr>
            <w:r>
              <w:t>《锅炉大气污染物排放</w:t>
            </w:r>
            <w:r>
              <w:rPr>
                <w:rFonts w:hint="eastAsia"/>
              </w:rPr>
              <w:t>标准</w:t>
            </w:r>
            <w:r>
              <w:t>》（GB13271-2014）中燃气锅炉特别排放限值标准和皖大气办〔2020〕2号《安徽省大气办关于印发〈安徽省2020年大气污染防治重点工作任务〉的通知》中相关要求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1505" w:type="dxa"/>
            <w:vMerge w:val="restart"/>
            <w:vAlign w:val="center"/>
          </w:tcPr>
          <w:p>
            <w:pPr>
              <w:adjustRightInd w:val="0"/>
              <w:snapToGrid w:val="0"/>
              <w:jc w:val="center"/>
            </w:pPr>
            <w:r>
              <w:t>地表水环境</w:t>
            </w:r>
          </w:p>
        </w:tc>
        <w:tc>
          <w:tcPr>
            <w:tcW w:w="1500" w:type="dxa"/>
            <w:vAlign w:val="center"/>
          </w:tcPr>
          <w:p>
            <w:pPr>
              <w:adjustRightInd w:val="0"/>
              <w:jc w:val="center"/>
              <w:rPr>
                <w:color w:val="000000"/>
              </w:rPr>
            </w:pPr>
            <w:r>
              <w:t>生活污水</w:t>
            </w:r>
          </w:p>
        </w:tc>
        <w:tc>
          <w:tcPr>
            <w:tcW w:w="1395" w:type="dxa"/>
            <w:vAlign w:val="center"/>
          </w:tcPr>
          <w:p>
            <w:pPr>
              <w:adjustRightInd w:val="0"/>
              <w:jc w:val="center"/>
            </w:pPr>
            <w:r>
              <w:t>COD、BOD</w:t>
            </w:r>
            <w:r>
              <w:rPr>
                <w:vertAlign w:val="subscript"/>
              </w:rPr>
              <w:t>5</w:t>
            </w:r>
            <w:r>
              <w:t>、NH</w:t>
            </w:r>
            <w:r>
              <w:rPr>
                <w:vertAlign w:val="subscript"/>
              </w:rPr>
              <w:t>3</w:t>
            </w:r>
            <w:r>
              <w:t>-N、SS</w:t>
            </w:r>
          </w:p>
        </w:tc>
        <w:tc>
          <w:tcPr>
            <w:tcW w:w="2490" w:type="dxa"/>
            <w:vMerge w:val="restart"/>
            <w:vAlign w:val="center"/>
          </w:tcPr>
          <w:p>
            <w:pPr>
              <w:adjustRightInd w:val="0"/>
              <w:jc w:val="center"/>
            </w:pPr>
            <w:r>
              <w:rPr>
                <w:rFonts w:ascii="宋体" w:hAnsi="宋体" w:cs="宋体"/>
              </w:rPr>
              <w:t>雨污分流，雨水进入区域雨水管网；食堂废水经隔油池处理后，与生活污水一同经化粪池处理后纳管，</w:t>
            </w:r>
            <w:r>
              <w:rPr>
                <w:rFonts w:hint="eastAsia" w:ascii="宋体" w:hAnsi="宋体" w:cs="宋体"/>
                <w:lang w:eastAsia="zh-CN"/>
              </w:rPr>
              <w:t>纯水制备废水</w:t>
            </w:r>
            <w:r>
              <w:rPr>
                <w:rFonts w:ascii="宋体" w:hAnsi="宋体" w:cs="宋体"/>
              </w:rPr>
              <w:t>浓度满足宿州市经济技术开发区污水处理厂接管标准，可直接纳管排入区域管网</w:t>
            </w:r>
          </w:p>
        </w:tc>
        <w:tc>
          <w:tcPr>
            <w:tcW w:w="1910" w:type="dxa"/>
            <w:vMerge w:val="restart"/>
            <w:vAlign w:val="center"/>
          </w:tcPr>
          <w:p>
            <w:pPr>
              <w:adjustRightInd w:val="0"/>
              <w:jc w:val="center"/>
            </w:pPr>
            <w:r>
              <w:rPr>
                <w:rFonts w:hint="eastAsia"/>
              </w:rPr>
              <w:t>宿州市经济技术开发区污水处理厂</w:t>
            </w:r>
            <w:r>
              <w:t>接管标准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7" w:hRule="atLeast"/>
          <w:jc w:val="center"/>
        </w:trPr>
        <w:tc>
          <w:tcPr>
            <w:tcW w:w="1505" w:type="dxa"/>
            <w:vMerge w:val="continue"/>
            <w:vAlign w:val="center"/>
          </w:tcPr>
          <w:p>
            <w:pPr>
              <w:adjustRightInd w:val="0"/>
              <w:snapToGrid w:val="0"/>
              <w:jc w:val="center"/>
            </w:pPr>
          </w:p>
        </w:tc>
        <w:tc>
          <w:tcPr>
            <w:tcW w:w="1500" w:type="dxa"/>
            <w:vAlign w:val="center"/>
          </w:tcPr>
          <w:p>
            <w:pPr>
              <w:adjustRightInd w:val="0"/>
              <w:jc w:val="center"/>
            </w:pPr>
            <w:r>
              <w:rPr>
                <w:rFonts w:hint="eastAsia"/>
              </w:rPr>
              <w:t>食堂废水</w:t>
            </w:r>
          </w:p>
        </w:tc>
        <w:tc>
          <w:tcPr>
            <w:tcW w:w="1395" w:type="dxa"/>
            <w:vAlign w:val="center"/>
          </w:tcPr>
          <w:p>
            <w:pPr>
              <w:adjustRightInd w:val="0"/>
              <w:jc w:val="center"/>
            </w:pPr>
            <w:r>
              <w:t>COD、BOD</w:t>
            </w:r>
            <w:r>
              <w:rPr>
                <w:vertAlign w:val="subscript"/>
              </w:rPr>
              <w:t>5</w:t>
            </w:r>
            <w:r>
              <w:t>、NH</w:t>
            </w:r>
            <w:r>
              <w:rPr>
                <w:vertAlign w:val="subscript"/>
              </w:rPr>
              <w:t>3</w:t>
            </w:r>
            <w:r>
              <w:t>-N、SS</w:t>
            </w:r>
            <w:r>
              <w:rPr>
                <w:rFonts w:hint="eastAsia"/>
              </w:rPr>
              <w:t>、动植物油</w:t>
            </w:r>
          </w:p>
        </w:tc>
        <w:tc>
          <w:tcPr>
            <w:tcW w:w="2490" w:type="dxa"/>
            <w:vMerge w:val="continue"/>
            <w:vAlign w:val="center"/>
          </w:tcPr>
          <w:p>
            <w:pPr>
              <w:adjustRightInd w:val="0"/>
              <w:jc w:val="center"/>
            </w:pPr>
          </w:p>
        </w:tc>
        <w:tc>
          <w:tcPr>
            <w:tcW w:w="1910" w:type="dxa"/>
            <w:vMerge w:val="continue"/>
            <w:vAlign w:val="center"/>
          </w:tcPr>
          <w:p>
            <w:pPr>
              <w:adjustRightInd w:val="0"/>
              <w:jc w:val="cente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1505" w:type="dxa"/>
            <w:vMerge w:val="continue"/>
            <w:vAlign w:val="center"/>
          </w:tcPr>
          <w:p>
            <w:pPr>
              <w:adjustRightInd w:val="0"/>
              <w:snapToGrid w:val="0"/>
              <w:jc w:val="center"/>
            </w:pPr>
          </w:p>
        </w:tc>
        <w:tc>
          <w:tcPr>
            <w:tcW w:w="1500" w:type="dxa"/>
            <w:vAlign w:val="center"/>
          </w:tcPr>
          <w:p>
            <w:pPr>
              <w:adjustRightInd w:val="0"/>
              <w:jc w:val="center"/>
              <w:rPr>
                <w:rFonts w:hint="eastAsia" w:eastAsia="宋体"/>
                <w:lang w:eastAsia="zh-CN"/>
              </w:rPr>
            </w:pPr>
            <w:r>
              <w:rPr>
                <w:rFonts w:hint="eastAsia"/>
                <w:lang w:eastAsia="zh-CN"/>
              </w:rPr>
              <w:t>纯水制备废水</w:t>
            </w:r>
          </w:p>
        </w:tc>
        <w:tc>
          <w:tcPr>
            <w:tcW w:w="1395" w:type="dxa"/>
            <w:vAlign w:val="center"/>
          </w:tcPr>
          <w:p>
            <w:pPr>
              <w:adjustRightInd w:val="0"/>
              <w:jc w:val="center"/>
            </w:pPr>
            <w:r>
              <w:t>COD</w:t>
            </w:r>
            <w:r>
              <w:rPr>
                <w:rFonts w:hint="eastAsia"/>
              </w:rPr>
              <w:t>、</w:t>
            </w:r>
            <w:r>
              <w:t>SS</w:t>
            </w:r>
          </w:p>
        </w:tc>
        <w:tc>
          <w:tcPr>
            <w:tcW w:w="2490" w:type="dxa"/>
            <w:vMerge w:val="continue"/>
            <w:vAlign w:val="center"/>
          </w:tcPr>
          <w:p>
            <w:pPr>
              <w:adjustRightInd w:val="0"/>
              <w:jc w:val="center"/>
            </w:pPr>
          </w:p>
        </w:tc>
        <w:tc>
          <w:tcPr>
            <w:tcW w:w="1910" w:type="dxa"/>
            <w:vMerge w:val="continue"/>
            <w:vAlign w:val="center"/>
          </w:tcPr>
          <w:p>
            <w:pPr>
              <w:adjustRightInd w:val="0"/>
              <w:jc w:val="cente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71" w:hRule="atLeast"/>
          <w:jc w:val="center"/>
        </w:trPr>
        <w:tc>
          <w:tcPr>
            <w:tcW w:w="1505" w:type="dxa"/>
            <w:vMerge w:val="restart"/>
            <w:vAlign w:val="center"/>
          </w:tcPr>
          <w:p>
            <w:pPr>
              <w:adjustRightInd w:val="0"/>
              <w:snapToGrid w:val="0"/>
              <w:jc w:val="center"/>
            </w:pPr>
            <w:r>
              <w:t>声环境</w:t>
            </w:r>
          </w:p>
        </w:tc>
        <w:tc>
          <w:tcPr>
            <w:tcW w:w="1500" w:type="dxa"/>
            <w:vAlign w:val="center"/>
          </w:tcPr>
          <w:p>
            <w:pPr>
              <w:adjustRightInd w:val="0"/>
              <w:snapToGrid w:val="0"/>
              <w:jc w:val="center"/>
            </w:pPr>
            <w:r>
              <w:t>设备运行噪声</w:t>
            </w:r>
          </w:p>
        </w:tc>
        <w:tc>
          <w:tcPr>
            <w:tcW w:w="1395" w:type="dxa"/>
            <w:vAlign w:val="center"/>
          </w:tcPr>
          <w:p>
            <w:pPr>
              <w:adjustRightInd w:val="0"/>
              <w:snapToGrid w:val="0"/>
              <w:jc w:val="center"/>
            </w:pPr>
            <w:r>
              <w:t>噪声</w:t>
            </w:r>
          </w:p>
        </w:tc>
        <w:tc>
          <w:tcPr>
            <w:tcW w:w="2490" w:type="dxa"/>
            <w:vAlign w:val="center"/>
          </w:tcPr>
          <w:p>
            <w:pPr>
              <w:adjustRightInd w:val="0"/>
              <w:snapToGrid w:val="0"/>
              <w:jc w:val="center"/>
            </w:pPr>
            <w:r>
              <w:t>合理布局，设备选型，减振、消声、墙体隔声，距离衰减，加强生产设备维护保养，采用柔性接头等措施</w:t>
            </w:r>
          </w:p>
        </w:tc>
        <w:tc>
          <w:tcPr>
            <w:tcW w:w="1910" w:type="dxa"/>
            <w:vAlign w:val="center"/>
          </w:tcPr>
          <w:p>
            <w:pPr>
              <w:adjustRightInd w:val="0"/>
              <w:snapToGrid w:val="0"/>
              <w:jc w:val="center"/>
            </w:pPr>
            <w:r>
              <w:t>《工业企业厂界环境噪声排放标准》（GB12348-2008）中的3类标准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92" w:hRule="atLeast"/>
          <w:jc w:val="center"/>
        </w:trPr>
        <w:tc>
          <w:tcPr>
            <w:tcW w:w="1505" w:type="dxa"/>
            <w:vMerge w:val="restart"/>
            <w:vAlign w:val="center"/>
          </w:tcPr>
          <w:p>
            <w:pPr>
              <w:adjustRightInd w:val="0"/>
              <w:snapToGrid w:val="0"/>
              <w:jc w:val="center"/>
            </w:pPr>
            <w:r>
              <w:t>电磁辐射</w:t>
            </w:r>
          </w:p>
        </w:tc>
        <w:tc>
          <w:tcPr>
            <w:tcW w:w="1500" w:type="dxa"/>
            <w:vAlign w:val="center"/>
          </w:tcPr>
          <w:p>
            <w:pPr>
              <w:adjustRightInd w:val="0"/>
              <w:snapToGrid w:val="0"/>
              <w:jc w:val="center"/>
            </w:pPr>
            <w:r>
              <w:t>/</w:t>
            </w:r>
          </w:p>
        </w:tc>
        <w:tc>
          <w:tcPr>
            <w:tcW w:w="1395" w:type="dxa"/>
            <w:vAlign w:val="center"/>
          </w:tcPr>
          <w:p>
            <w:pPr>
              <w:adjustRightInd w:val="0"/>
              <w:snapToGrid w:val="0"/>
              <w:jc w:val="center"/>
            </w:pPr>
            <w:r>
              <w:t>/</w:t>
            </w:r>
          </w:p>
        </w:tc>
        <w:tc>
          <w:tcPr>
            <w:tcW w:w="2490" w:type="dxa"/>
            <w:vAlign w:val="center"/>
          </w:tcPr>
          <w:p>
            <w:pPr>
              <w:adjustRightInd w:val="0"/>
              <w:snapToGrid w:val="0"/>
              <w:jc w:val="center"/>
            </w:pPr>
            <w:r>
              <w:t>/</w:t>
            </w:r>
          </w:p>
        </w:tc>
        <w:tc>
          <w:tcPr>
            <w:tcW w:w="1910" w:type="dxa"/>
            <w:vAlign w:val="center"/>
          </w:tcPr>
          <w:p>
            <w:pPr>
              <w:adjustRightInd w:val="0"/>
              <w:snapToGrid w:val="0"/>
              <w:jc w:val="center"/>
            </w:pPr>
            <w: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05" w:type="dxa"/>
            <w:vMerge w:val="continue"/>
            <w:vAlign w:val="center"/>
          </w:tcPr>
          <w:p>
            <w:pPr>
              <w:adjustRightInd w:val="0"/>
              <w:snapToGrid w:val="0"/>
              <w:jc w:val="center"/>
            </w:pPr>
          </w:p>
        </w:tc>
        <w:tc>
          <w:tcPr>
            <w:tcW w:w="1500" w:type="dxa"/>
            <w:vAlign w:val="center"/>
          </w:tcPr>
          <w:p>
            <w:pPr>
              <w:adjustRightInd w:val="0"/>
              <w:snapToGrid w:val="0"/>
              <w:jc w:val="center"/>
            </w:pPr>
            <w:r>
              <w:rPr>
                <w:rFonts w:hint="eastAsia"/>
              </w:rPr>
              <w:t>/</w:t>
            </w:r>
          </w:p>
        </w:tc>
        <w:tc>
          <w:tcPr>
            <w:tcW w:w="1395" w:type="dxa"/>
            <w:vAlign w:val="center"/>
          </w:tcPr>
          <w:p>
            <w:pPr>
              <w:adjustRightInd w:val="0"/>
              <w:snapToGrid w:val="0"/>
              <w:jc w:val="center"/>
            </w:pPr>
            <w:r>
              <w:rPr>
                <w:rFonts w:hint="eastAsia"/>
              </w:rPr>
              <w:t>/</w:t>
            </w:r>
          </w:p>
        </w:tc>
        <w:tc>
          <w:tcPr>
            <w:tcW w:w="2490" w:type="dxa"/>
            <w:vAlign w:val="center"/>
          </w:tcPr>
          <w:p>
            <w:pPr>
              <w:adjustRightInd w:val="0"/>
              <w:snapToGrid w:val="0"/>
              <w:jc w:val="center"/>
            </w:pPr>
            <w:r>
              <w:rPr>
                <w:rFonts w:hint="eastAsia"/>
              </w:rPr>
              <w:t>/</w:t>
            </w:r>
          </w:p>
        </w:tc>
        <w:tc>
          <w:tcPr>
            <w:tcW w:w="1910" w:type="dxa"/>
            <w:vAlign w:val="center"/>
          </w:tcPr>
          <w:p>
            <w:pPr>
              <w:adjustRightInd w:val="0"/>
              <w:snapToGrid w:val="0"/>
              <w:jc w:val="center"/>
            </w:pPr>
            <w:r>
              <w:rPr>
                <w:rFonts w:hint="eastAsia"/>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05" w:type="dxa"/>
            <w:vMerge w:val="continue"/>
            <w:vAlign w:val="center"/>
          </w:tcPr>
          <w:p>
            <w:pPr>
              <w:adjustRightInd w:val="0"/>
              <w:snapToGrid w:val="0"/>
              <w:jc w:val="center"/>
            </w:pPr>
          </w:p>
        </w:tc>
        <w:tc>
          <w:tcPr>
            <w:tcW w:w="1500" w:type="dxa"/>
            <w:vAlign w:val="center"/>
          </w:tcPr>
          <w:p>
            <w:pPr>
              <w:adjustRightInd w:val="0"/>
              <w:snapToGrid w:val="0"/>
              <w:jc w:val="center"/>
            </w:pPr>
            <w:r>
              <w:rPr>
                <w:rFonts w:hint="eastAsia"/>
              </w:rPr>
              <w:t>/</w:t>
            </w:r>
          </w:p>
        </w:tc>
        <w:tc>
          <w:tcPr>
            <w:tcW w:w="1395" w:type="dxa"/>
            <w:vAlign w:val="center"/>
          </w:tcPr>
          <w:p>
            <w:pPr>
              <w:adjustRightInd w:val="0"/>
              <w:snapToGrid w:val="0"/>
              <w:jc w:val="center"/>
            </w:pPr>
            <w:r>
              <w:rPr>
                <w:rFonts w:hint="eastAsia"/>
              </w:rPr>
              <w:t>/</w:t>
            </w:r>
          </w:p>
        </w:tc>
        <w:tc>
          <w:tcPr>
            <w:tcW w:w="2490" w:type="dxa"/>
            <w:vAlign w:val="center"/>
          </w:tcPr>
          <w:p>
            <w:pPr>
              <w:adjustRightInd w:val="0"/>
              <w:snapToGrid w:val="0"/>
              <w:jc w:val="center"/>
            </w:pPr>
            <w:r>
              <w:rPr>
                <w:rFonts w:hint="eastAsia"/>
              </w:rPr>
              <w:t>/</w:t>
            </w:r>
          </w:p>
        </w:tc>
        <w:tc>
          <w:tcPr>
            <w:tcW w:w="1910" w:type="dxa"/>
            <w:vAlign w:val="center"/>
          </w:tcPr>
          <w:p>
            <w:pPr>
              <w:adjustRightInd w:val="0"/>
              <w:snapToGrid w:val="0"/>
              <w:jc w:val="center"/>
            </w:pPr>
            <w:r>
              <w:rPr>
                <w:rFonts w:hint="eastAsia"/>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126" w:hRule="atLeast"/>
          <w:jc w:val="center"/>
        </w:trPr>
        <w:tc>
          <w:tcPr>
            <w:tcW w:w="1505" w:type="dxa"/>
            <w:vAlign w:val="center"/>
          </w:tcPr>
          <w:p>
            <w:pPr>
              <w:adjustRightInd w:val="0"/>
              <w:snapToGrid w:val="0"/>
              <w:jc w:val="center"/>
            </w:pPr>
            <w:r>
              <w:t>固体废物</w:t>
            </w:r>
          </w:p>
        </w:tc>
        <w:tc>
          <w:tcPr>
            <w:tcW w:w="7295" w:type="dxa"/>
            <w:gridSpan w:val="4"/>
            <w:vAlign w:val="center"/>
          </w:tcPr>
          <w:p>
            <w:pPr>
              <w:adjustRightInd w:val="0"/>
              <w:snapToGrid w:val="0"/>
              <w:jc w:val="center"/>
            </w:pPr>
            <w:r>
              <w:rPr>
                <w:rFonts w:ascii="宋体" w:hAnsi="宋体" w:cs="宋体"/>
              </w:rPr>
              <w:t>生活垃圾经袋装或桶装分类收集后，委托环卫部门统一处理；初清筛杂质经收集后，委托环卫部门统一处理；废包装袋、磁选杂质经分类收集后外售综合利用；除尘器收集的粉尘回用于生产；</w:t>
            </w:r>
            <w:r>
              <w:rPr>
                <w:rFonts w:hint="eastAsia" w:ascii="宋体" w:hAnsi="宋体" w:cs="宋体"/>
                <w:lang w:eastAsia="zh-CN"/>
              </w:rPr>
              <w:t>纯</w:t>
            </w:r>
            <w:r>
              <w:rPr>
                <w:rFonts w:ascii="宋体" w:hAnsi="宋体" w:cs="宋体"/>
              </w:rPr>
              <w:t>水制备废离子交换树脂由厂家回收处置</w:t>
            </w:r>
            <w:r>
              <w:rPr>
                <w:rFonts w:hint="eastAsia" w:ascii="宋体" w:hAnsi="宋体" w:cs="宋体"/>
              </w:rPr>
              <w:t>；</w:t>
            </w:r>
            <w:r>
              <w:t>危险废物</w:t>
            </w:r>
            <w:r>
              <w:rPr>
                <w:rFonts w:hint="eastAsia"/>
              </w:rPr>
              <w:t>废机油、废机油桶和</w:t>
            </w:r>
            <w:r>
              <w:rPr>
                <w:rFonts w:ascii="宋体" w:hAnsi="宋体" w:cs="宋体"/>
              </w:rPr>
              <w:t>废弃的含油抹布、劳保用品</w:t>
            </w:r>
            <w:r>
              <w:rPr>
                <w:rFonts w:hint="eastAsia" w:ascii="宋体" w:hAnsi="宋体" w:cs="宋体"/>
              </w:rPr>
              <w:t>经</w:t>
            </w:r>
            <w:r>
              <w:rPr>
                <w:rFonts w:ascii="宋体" w:hAnsi="宋体" w:cs="宋体"/>
              </w:rPr>
              <w:t>分类收集后暂存于危废暂存间内，委托有危废处理资质的单位妥善处理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64" w:hRule="atLeast"/>
          <w:jc w:val="center"/>
        </w:trPr>
        <w:tc>
          <w:tcPr>
            <w:tcW w:w="1505" w:type="dxa"/>
            <w:vAlign w:val="center"/>
          </w:tcPr>
          <w:p>
            <w:pPr>
              <w:adjustRightInd w:val="0"/>
              <w:snapToGrid w:val="0"/>
              <w:jc w:val="center"/>
            </w:pPr>
            <w:r>
              <w:t>土壤及地下水</w:t>
            </w:r>
          </w:p>
          <w:p>
            <w:pPr>
              <w:adjustRightInd w:val="0"/>
              <w:snapToGrid w:val="0"/>
              <w:jc w:val="center"/>
            </w:pPr>
            <w:r>
              <w:t>污染防治措施</w:t>
            </w:r>
          </w:p>
        </w:tc>
        <w:tc>
          <w:tcPr>
            <w:tcW w:w="7295" w:type="dxa"/>
            <w:gridSpan w:val="4"/>
            <w:vAlign w:val="center"/>
          </w:tcPr>
          <w:p>
            <w:pPr>
              <w:adjustRightInd w:val="0"/>
              <w:snapToGrid w:val="0"/>
              <w:jc w:val="center"/>
            </w:pPr>
            <w:r>
              <w:t>一般固废暂存间</w:t>
            </w:r>
            <w:r>
              <w:rPr>
                <w:rFonts w:hint="eastAsia"/>
              </w:rPr>
              <w:t>、原料库、成品库等</w:t>
            </w:r>
            <w:r>
              <w:t>进行一般防渗处理；危废暂存间</w:t>
            </w:r>
            <w:r>
              <w:rPr>
                <w:rFonts w:hint="eastAsia"/>
              </w:rPr>
              <w:t>等</w:t>
            </w:r>
            <w:r>
              <w:t>进行重点防渗处理</w:t>
            </w:r>
            <w:r>
              <w:rPr>
                <w:rFonts w:hint="eastAsia"/>
              </w:rPr>
              <w:t>；厂区道路等进行简单防渗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32" w:hRule="atLeast"/>
          <w:jc w:val="center"/>
        </w:trPr>
        <w:tc>
          <w:tcPr>
            <w:tcW w:w="1505" w:type="dxa"/>
            <w:vAlign w:val="center"/>
          </w:tcPr>
          <w:p>
            <w:pPr>
              <w:adjustRightInd w:val="0"/>
              <w:snapToGrid w:val="0"/>
              <w:jc w:val="center"/>
            </w:pPr>
            <w:r>
              <w:t>生态保护措施</w:t>
            </w:r>
          </w:p>
        </w:tc>
        <w:tc>
          <w:tcPr>
            <w:tcW w:w="7295" w:type="dxa"/>
            <w:gridSpan w:val="4"/>
            <w:vAlign w:val="center"/>
          </w:tcPr>
          <w:p>
            <w:pPr>
              <w:adjustRightInd w:val="0"/>
              <w:snapToGrid w:val="0"/>
              <w:jc w:val="center"/>
            </w:pPr>
            <w:r>
              <w:t>不涉及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180" w:hRule="atLeast"/>
          <w:jc w:val="center"/>
        </w:trPr>
        <w:tc>
          <w:tcPr>
            <w:tcW w:w="1505" w:type="dxa"/>
            <w:vAlign w:val="center"/>
          </w:tcPr>
          <w:p>
            <w:pPr>
              <w:adjustRightInd w:val="0"/>
              <w:snapToGrid w:val="0"/>
              <w:jc w:val="center"/>
              <w:rPr>
                <w:spacing w:val="-8"/>
              </w:rPr>
            </w:pPr>
            <w:r>
              <w:rPr>
                <w:spacing w:val="-8"/>
              </w:rPr>
              <w:t>环境风险</w:t>
            </w:r>
          </w:p>
          <w:p>
            <w:pPr>
              <w:adjustRightInd w:val="0"/>
              <w:snapToGrid w:val="0"/>
              <w:jc w:val="center"/>
              <w:rPr>
                <w:spacing w:val="-8"/>
              </w:rPr>
            </w:pPr>
            <w:r>
              <w:rPr>
                <w:spacing w:val="-8"/>
              </w:rPr>
              <w:t>防范措施</w:t>
            </w:r>
          </w:p>
        </w:tc>
        <w:tc>
          <w:tcPr>
            <w:tcW w:w="7295" w:type="dxa"/>
            <w:gridSpan w:val="4"/>
            <w:vAlign w:val="center"/>
          </w:tcPr>
          <w:p>
            <w:pPr>
              <w:adjustRightInd w:val="0"/>
              <w:snapToGrid w:val="0"/>
              <w:jc w:val="center"/>
            </w:pPr>
            <w:r>
              <w:t>①原料贮存过程风险防范；②消防、火灾报警系统；③火灾和爆炸等防范措施；④固体废物事故风险防范措施；⑤总图布置防范措施；⑥废气事故应急措施；⑦应急预案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73" w:hRule="atLeast"/>
          <w:jc w:val="center"/>
        </w:trPr>
        <w:tc>
          <w:tcPr>
            <w:tcW w:w="1505" w:type="dxa"/>
            <w:tcBorders>
              <w:bottom w:val="single" w:color="auto" w:sz="8" w:space="0"/>
            </w:tcBorders>
            <w:vAlign w:val="center"/>
          </w:tcPr>
          <w:p>
            <w:pPr>
              <w:adjustRightInd w:val="0"/>
              <w:snapToGrid w:val="0"/>
              <w:jc w:val="center"/>
              <w:rPr>
                <w:spacing w:val="-8"/>
              </w:rPr>
            </w:pPr>
            <w:r>
              <w:rPr>
                <w:spacing w:val="-8"/>
              </w:rPr>
              <w:t>其他环境</w:t>
            </w:r>
          </w:p>
          <w:p>
            <w:pPr>
              <w:adjustRightInd w:val="0"/>
              <w:snapToGrid w:val="0"/>
              <w:jc w:val="center"/>
              <w:rPr>
                <w:spacing w:val="-8"/>
              </w:rPr>
            </w:pPr>
            <w:r>
              <w:rPr>
                <w:spacing w:val="-8"/>
              </w:rPr>
              <w:t>管理要求</w:t>
            </w:r>
          </w:p>
        </w:tc>
        <w:tc>
          <w:tcPr>
            <w:tcW w:w="7295" w:type="dxa"/>
            <w:gridSpan w:val="4"/>
            <w:tcBorders>
              <w:bottom w:val="single" w:color="auto" w:sz="8" w:space="0"/>
            </w:tcBorders>
            <w:vAlign w:val="center"/>
          </w:tcPr>
          <w:p>
            <w:pPr>
              <w:adjustRightInd w:val="0"/>
              <w:snapToGrid w:val="0"/>
              <w:spacing w:after="240"/>
              <w:jc w:val="center"/>
            </w:pPr>
            <w:r>
              <w:t>a.</w:t>
            </w:r>
            <w:r>
              <w:rPr>
                <w:rFonts w:hint="eastAsia" w:ascii="宋体" w:hAnsi="宋体" w:cs="宋体"/>
              </w:rPr>
              <w:t>“三同时”</w:t>
            </w:r>
            <w:r>
              <w:t>制度；b.排污许可证制度；c.环保台账制度；d.污染治理设施管理制度；e.固体废物环境保护制度；f.报告制度；g.环保奖惩制度；h.信息公开制度</w:t>
            </w:r>
          </w:p>
        </w:tc>
      </w:tr>
    </w:tbl>
    <w:p>
      <w:pPr>
        <w:pStyle w:val="20"/>
        <w:jc w:val="center"/>
        <w:outlineLvl w:val="0"/>
        <w:rPr>
          <w:rFonts w:ascii="Times New Roman" w:hAnsi="Times New Roman" w:eastAsia="黑体"/>
          <w:snapToGrid w:val="0"/>
          <w:sz w:val="30"/>
          <w:szCs w:val="30"/>
        </w:rPr>
      </w:pPr>
      <w:r>
        <w:rPr>
          <w:rFonts w:ascii="Times New Roman" w:hAnsi="Times New Roman"/>
          <w:snapToGrid w:val="0"/>
        </w:rPr>
        <w:br w:type="page"/>
      </w:r>
      <w:r>
        <w:rPr>
          <w:rFonts w:ascii="Times New Roman" w:hAnsi="Times New Roman" w:eastAsia="黑体"/>
          <w:snapToGrid w:val="0"/>
          <w:sz w:val="30"/>
          <w:szCs w:val="30"/>
        </w:rPr>
        <w:t>六、结论</w:t>
      </w:r>
    </w:p>
    <w:tbl>
      <w:tblPr>
        <w:tblStyle w:val="23"/>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86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12381" w:hRule="atLeast"/>
          <w:jc w:val="center"/>
        </w:trPr>
        <w:tc>
          <w:tcPr>
            <w:tcW w:w="8865" w:type="dxa"/>
            <w:tcBorders>
              <w:top w:val="single" w:color="auto" w:sz="8" w:space="0"/>
              <w:bottom w:val="single" w:color="auto" w:sz="8" w:space="0"/>
            </w:tcBorders>
          </w:tcPr>
          <w:p>
            <w:pPr>
              <w:spacing w:line="360" w:lineRule="auto"/>
              <w:ind w:firstLine="480" w:firstLineChars="200"/>
              <w:rPr>
                <w:sz w:val="24"/>
                <w:szCs w:val="24"/>
              </w:rPr>
            </w:pPr>
            <w:r>
              <w:rPr>
                <w:sz w:val="24"/>
                <w:szCs w:val="24"/>
              </w:rPr>
              <w:t>综上所述，</w:t>
            </w:r>
            <w:r>
              <w:rPr>
                <w:rFonts w:hint="eastAsia"/>
                <w:sz w:val="24"/>
                <w:szCs w:val="24"/>
              </w:rPr>
              <w:t>宿州万千饲料有限公司年产18万吨饲料项目</w:t>
            </w:r>
            <w:r>
              <w:rPr>
                <w:sz w:val="24"/>
                <w:szCs w:val="24"/>
              </w:rPr>
              <w:t>的建设符合国家产业政策及地方产业政策，</w:t>
            </w:r>
            <w:r>
              <w:rPr>
                <w:bCs/>
                <w:sz w:val="24"/>
              </w:rPr>
              <w:t>项目选址合理，符合当地发展规划</w:t>
            </w:r>
            <w:r>
              <w:rPr>
                <w:rFonts w:hint="eastAsia"/>
                <w:bCs/>
                <w:sz w:val="24"/>
              </w:rPr>
              <w:t>。</w:t>
            </w:r>
            <w:r>
              <w:rPr>
                <w:spacing w:val="2"/>
                <w:sz w:val="24"/>
              </w:rPr>
              <w:t>本项目</w:t>
            </w:r>
            <w:r>
              <w:rPr>
                <w:rFonts w:hint="eastAsia"/>
                <w:spacing w:val="2"/>
                <w:sz w:val="24"/>
              </w:rPr>
              <w:t>建成后落实本环评</w:t>
            </w:r>
            <w:r>
              <w:rPr>
                <w:kern w:val="0"/>
                <w:sz w:val="24"/>
              </w:rPr>
              <w:t>所提出的各项污染防治措施，</w:t>
            </w:r>
            <w:r>
              <w:rPr>
                <w:rFonts w:hint="eastAsia"/>
                <w:kern w:val="0"/>
                <w:sz w:val="24"/>
              </w:rPr>
              <w:t>在</w:t>
            </w:r>
            <w:r>
              <w:rPr>
                <w:kern w:val="0"/>
                <w:sz w:val="24"/>
              </w:rPr>
              <w:t>各项污染防治措施</w:t>
            </w:r>
            <w:r>
              <w:rPr>
                <w:rFonts w:hint="eastAsia"/>
                <w:kern w:val="0"/>
                <w:sz w:val="24"/>
              </w:rPr>
              <w:t>正常运行后，</w:t>
            </w:r>
            <w:r>
              <w:rPr>
                <w:kern w:val="0"/>
                <w:sz w:val="24"/>
              </w:rPr>
              <w:t>各项污染物均</w:t>
            </w:r>
            <w:r>
              <w:rPr>
                <w:rFonts w:hint="eastAsia"/>
                <w:kern w:val="0"/>
                <w:sz w:val="24"/>
              </w:rPr>
              <w:t>可</w:t>
            </w:r>
            <w:r>
              <w:rPr>
                <w:kern w:val="0"/>
                <w:sz w:val="24"/>
              </w:rPr>
              <w:t>达标排放，</w:t>
            </w:r>
            <w:r>
              <w:rPr>
                <w:rFonts w:hint="eastAsia"/>
                <w:kern w:val="0"/>
                <w:sz w:val="24"/>
              </w:rPr>
              <w:t>对周围环境影响较小，</w:t>
            </w:r>
            <w:r>
              <w:rPr>
                <w:kern w:val="0"/>
                <w:sz w:val="24"/>
              </w:rPr>
              <w:t>从环境影响角度</w:t>
            </w:r>
            <w:r>
              <w:rPr>
                <w:rFonts w:hint="eastAsia"/>
                <w:kern w:val="0"/>
                <w:sz w:val="24"/>
              </w:rPr>
              <w:t>分析</w:t>
            </w:r>
            <w:r>
              <w:rPr>
                <w:kern w:val="0"/>
                <w:sz w:val="24"/>
              </w:rPr>
              <w:t>，项目建设可行</w:t>
            </w:r>
            <w:r>
              <w:rPr>
                <w:rFonts w:hint="eastAsia"/>
                <w:kern w:val="0"/>
                <w:sz w:val="24"/>
              </w:rPr>
              <w:t>。</w:t>
            </w:r>
          </w:p>
        </w:tc>
      </w:tr>
    </w:tbl>
    <w:p>
      <w:pPr>
        <w:sectPr>
          <w:pgSz w:w="11906" w:h="16838"/>
          <w:pgMar w:top="1701" w:right="1531" w:bottom="1701" w:left="1531" w:header="851" w:footer="851" w:gutter="0"/>
          <w:cols w:space="720" w:num="1"/>
          <w:docGrid w:linePitch="312" w:charSpace="0"/>
        </w:sectPr>
      </w:pPr>
    </w:p>
    <w:p>
      <w:pPr>
        <w:pStyle w:val="20"/>
        <w:adjustRightInd w:val="0"/>
        <w:snapToGrid w:val="0"/>
        <w:spacing w:before="0" w:beforeAutospacing="0" w:after="0" w:afterAutospacing="0" w:line="360" w:lineRule="auto"/>
        <w:outlineLvl w:val="0"/>
        <w:rPr>
          <w:rFonts w:ascii="Times New Roman" w:hAnsi="Times New Roman" w:eastAsia="黑体"/>
          <w:snapToGrid w:val="0"/>
          <w:sz w:val="32"/>
          <w:szCs w:val="32"/>
        </w:rPr>
      </w:pPr>
      <w:r>
        <w:rPr>
          <w:rFonts w:ascii="Times New Roman" w:hAnsi="Times New Roman" w:eastAsia="黑体"/>
          <w:snapToGrid w:val="0"/>
          <w:sz w:val="32"/>
          <w:szCs w:val="32"/>
        </w:rPr>
        <w:t>附表</w:t>
      </w:r>
    </w:p>
    <w:p>
      <w:pPr>
        <w:pStyle w:val="20"/>
        <w:adjustRightInd w:val="0"/>
        <w:snapToGrid w:val="0"/>
        <w:spacing w:before="0" w:beforeAutospacing="0" w:after="0" w:afterAutospacing="0" w:line="360" w:lineRule="auto"/>
        <w:jc w:val="center"/>
        <w:outlineLvl w:val="0"/>
        <w:rPr>
          <w:rFonts w:ascii="Times New Roman" w:hAnsi="Times New Roman" w:eastAsia="方正小标宋_GBK"/>
          <w:snapToGrid w:val="0"/>
          <w:sz w:val="38"/>
          <w:szCs w:val="38"/>
        </w:rPr>
      </w:pPr>
      <w:r>
        <w:rPr>
          <w:rFonts w:ascii="Times New Roman" w:hAnsi="Times New Roman" w:eastAsia="方正小标宋_GBK"/>
          <w:snapToGrid w:val="0"/>
          <w:sz w:val="38"/>
          <w:szCs w:val="38"/>
        </w:rPr>
        <w:t>建设项目污染物排放量汇总表</w:t>
      </w:r>
    </w:p>
    <w:tbl>
      <w:tblPr>
        <w:tblStyle w:val="23"/>
        <w:tblW w:w="0" w:type="auto"/>
        <w:tblInd w:w="2"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06"/>
        <w:gridCol w:w="1935"/>
        <w:gridCol w:w="1605"/>
        <w:gridCol w:w="1275"/>
        <w:gridCol w:w="1562"/>
        <w:gridCol w:w="1559"/>
        <w:gridCol w:w="1621"/>
        <w:gridCol w:w="1695"/>
        <w:gridCol w:w="123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1306" w:type="dxa"/>
            <w:tcBorders>
              <w:top w:val="single" w:color="auto" w:sz="8" w:space="0"/>
              <w:tl2br w:val="single" w:color="auto" w:sz="4" w:space="0"/>
            </w:tcBorders>
            <w:tcMar>
              <w:left w:w="28" w:type="dxa"/>
              <w:right w:w="28" w:type="dxa"/>
            </w:tcMar>
            <w:vAlign w:val="center"/>
          </w:tcPr>
          <w:p>
            <w:pPr>
              <w:pStyle w:val="53"/>
              <w:spacing w:beforeLines="0" w:afterLines="0" w:line="240" w:lineRule="auto"/>
              <w:jc w:val="right"/>
              <w:rPr>
                <w:rFonts w:ascii="Times New Roman" w:eastAsia="黑体"/>
                <w:snapToGrid w:val="0"/>
                <w:color w:val="000000"/>
                <w:spacing w:val="-6"/>
                <w:kern w:val="21"/>
              </w:rPr>
            </w:pPr>
            <w:r>
              <w:rPr>
                <w:rFonts w:ascii="Times New Roman" w:eastAsia="黑体"/>
                <w:snapToGrid w:val="0"/>
                <w:color w:val="000000"/>
                <w:spacing w:val="-6"/>
                <w:kern w:val="21"/>
              </w:rPr>
              <w:t>项目</w:t>
            </w:r>
          </w:p>
          <w:p>
            <w:pPr>
              <w:pStyle w:val="53"/>
              <w:spacing w:beforeLines="0" w:afterLines="0" w:line="240" w:lineRule="auto"/>
              <w:jc w:val="left"/>
              <w:rPr>
                <w:rFonts w:ascii="Times New Roman" w:eastAsia="黑体"/>
                <w:snapToGrid w:val="0"/>
                <w:color w:val="000000"/>
                <w:spacing w:val="-6"/>
                <w:kern w:val="21"/>
              </w:rPr>
            </w:pPr>
            <w:r>
              <w:rPr>
                <w:rFonts w:ascii="Times New Roman" w:eastAsia="黑体"/>
                <w:snapToGrid w:val="0"/>
                <w:color w:val="000000"/>
                <w:spacing w:val="-6"/>
                <w:kern w:val="21"/>
              </w:rPr>
              <w:t>分类</w:t>
            </w:r>
          </w:p>
        </w:tc>
        <w:tc>
          <w:tcPr>
            <w:tcW w:w="1935" w:type="dxa"/>
            <w:tcBorders>
              <w:top w:val="single" w:color="auto" w:sz="8" w:space="0"/>
            </w:tcBorders>
            <w:tcMar>
              <w:left w:w="28" w:type="dxa"/>
              <w:right w:w="28" w:type="dxa"/>
            </w:tcMar>
            <w:vAlign w:val="center"/>
          </w:tcPr>
          <w:p>
            <w:pPr>
              <w:pStyle w:val="53"/>
              <w:spacing w:beforeLines="0" w:afterLines="0" w:line="240" w:lineRule="auto"/>
              <w:rPr>
                <w:rFonts w:ascii="Times New Roman" w:eastAsia="黑体"/>
                <w:snapToGrid w:val="0"/>
                <w:color w:val="000000"/>
                <w:spacing w:val="-6"/>
                <w:kern w:val="21"/>
              </w:rPr>
            </w:pPr>
            <w:r>
              <w:rPr>
                <w:rFonts w:ascii="Times New Roman" w:eastAsia="黑体"/>
                <w:snapToGrid w:val="0"/>
                <w:color w:val="000000"/>
                <w:spacing w:val="-6"/>
                <w:kern w:val="21"/>
              </w:rPr>
              <w:t>污染物名称</w:t>
            </w:r>
          </w:p>
        </w:tc>
        <w:tc>
          <w:tcPr>
            <w:tcW w:w="1605" w:type="dxa"/>
            <w:tcBorders>
              <w:top w:val="single" w:color="auto" w:sz="8" w:space="0"/>
            </w:tcBorders>
            <w:tcMar>
              <w:left w:w="28" w:type="dxa"/>
              <w:right w:w="28" w:type="dxa"/>
            </w:tcMar>
            <w:vAlign w:val="center"/>
          </w:tcPr>
          <w:p>
            <w:pPr>
              <w:pStyle w:val="53"/>
              <w:spacing w:beforeLines="0" w:afterLines="0" w:line="240" w:lineRule="auto"/>
              <w:rPr>
                <w:rFonts w:ascii="Times New Roman" w:eastAsia="黑体"/>
                <w:snapToGrid w:val="0"/>
                <w:color w:val="000000"/>
                <w:spacing w:val="-6"/>
                <w:kern w:val="21"/>
              </w:rPr>
            </w:pPr>
            <w:r>
              <w:rPr>
                <w:rFonts w:ascii="Times New Roman" w:eastAsia="黑体"/>
                <w:snapToGrid w:val="0"/>
                <w:color w:val="000000"/>
                <w:spacing w:val="-6"/>
                <w:kern w:val="21"/>
              </w:rPr>
              <w:t>现有工程</w:t>
            </w:r>
          </w:p>
          <w:p>
            <w:pPr>
              <w:pStyle w:val="53"/>
              <w:spacing w:beforeLines="0" w:afterLines="0" w:line="240" w:lineRule="auto"/>
              <w:rPr>
                <w:rFonts w:ascii="Times New Roman" w:eastAsia="黑体"/>
                <w:snapToGrid w:val="0"/>
                <w:color w:val="000000"/>
                <w:spacing w:val="-6"/>
                <w:kern w:val="21"/>
              </w:rPr>
            </w:pPr>
            <w:r>
              <w:rPr>
                <w:rFonts w:ascii="Times New Roman" w:eastAsia="黑体"/>
                <w:snapToGrid w:val="0"/>
                <w:color w:val="000000"/>
                <w:spacing w:val="-6"/>
                <w:kern w:val="21"/>
              </w:rPr>
              <w:t>排放量（固体废物产生量）</w:t>
            </w:r>
            <w:r>
              <w:rPr>
                <w:rFonts w:ascii="Times New Roman" w:eastAsia="黑体"/>
                <w:snapToGrid w:val="0"/>
                <w:color w:val="000000"/>
                <w:spacing w:val="-6"/>
                <w:kern w:val="21"/>
              </w:rPr>
              <w:fldChar w:fldCharType="begin"/>
            </w:r>
            <w:r>
              <w:rPr>
                <w:rFonts w:ascii="Times New Roman" w:eastAsia="黑体"/>
                <w:snapToGrid w:val="0"/>
                <w:color w:val="000000"/>
                <w:spacing w:val="-6"/>
                <w:kern w:val="21"/>
              </w:rPr>
              <w:instrText xml:space="preserve"> = 1 \* GB3 \* MERGEFORMAT </w:instrText>
            </w:r>
            <w:r>
              <w:rPr>
                <w:rFonts w:ascii="Times New Roman" w:eastAsia="黑体"/>
                <w:snapToGrid w:val="0"/>
                <w:color w:val="000000"/>
                <w:spacing w:val="-6"/>
                <w:kern w:val="21"/>
              </w:rPr>
              <w:fldChar w:fldCharType="separate"/>
            </w:r>
            <w:r>
              <w:rPr>
                <w:rFonts w:ascii="Times New Roman" w:eastAsia="黑体"/>
                <w:kern w:val="2"/>
              </w:rPr>
              <w:t>①</w:t>
            </w:r>
            <w:r>
              <w:rPr>
                <w:rFonts w:ascii="Times New Roman" w:eastAsia="黑体"/>
                <w:snapToGrid w:val="0"/>
                <w:color w:val="000000"/>
                <w:spacing w:val="-6"/>
                <w:kern w:val="21"/>
              </w:rPr>
              <w:fldChar w:fldCharType="end"/>
            </w:r>
          </w:p>
        </w:tc>
        <w:tc>
          <w:tcPr>
            <w:tcW w:w="1275" w:type="dxa"/>
            <w:tcBorders>
              <w:top w:val="single" w:color="auto" w:sz="8" w:space="0"/>
            </w:tcBorders>
            <w:tcMar>
              <w:left w:w="28" w:type="dxa"/>
              <w:right w:w="28" w:type="dxa"/>
            </w:tcMar>
            <w:vAlign w:val="center"/>
          </w:tcPr>
          <w:p>
            <w:pPr>
              <w:pStyle w:val="53"/>
              <w:spacing w:beforeLines="0" w:afterLines="0" w:line="240" w:lineRule="auto"/>
              <w:rPr>
                <w:rFonts w:ascii="Times New Roman" w:eastAsia="黑体"/>
                <w:snapToGrid w:val="0"/>
                <w:color w:val="000000"/>
                <w:spacing w:val="-6"/>
                <w:kern w:val="21"/>
              </w:rPr>
            </w:pPr>
            <w:r>
              <w:rPr>
                <w:rFonts w:ascii="Times New Roman" w:eastAsia="黑体"/>
                <w:snapToGrid w:val="0"/>
                <w:color w:val="000000"/>
                <w:spacing w:val="-6"/>
                <w:kern w:val="21"/>
              </w:rPr>
              <w:t>现有工程</w:t>
            </w:r>
          </w:p>
          <w:p>
            <w:pPr>
              <w:pStyle w:val="53"/>
              <w:spacing w:beforeLines="0" w:afterLines="0" w:line="240" w:lineRule="auto"/>
              <w:rPr>
                <w:rFonts w:ascii="Times New Roman" w:eastAsia="黑体"/>
                <w:snapToGrid w:val="0"/>
                <w:color w:val="000000"/>
                <w:spacing w:val="-6"/>
                <w:kern w:val="21"/>
              </w:rPr>
            </w:pPr>
            <w:r>
              <w:rPr>
                <w:rFonts w:ascii="Times New Roman" w:eastAsia="黑体"/>
                <w:snapToGrid w:val="0"/>
                <w:color w:val="000000"/>
                <w:spacing w:val="-6"/>
                <w:kern w:val="21"/>
              </w:rPr>
              <w:t>许可排放量</w:t>
            </w:r>
          </w:p>
          <w:p>
            <w:pPr>
              <w:pStyle w:val="53"/>
              <w:spacing w:beforeLines="0" w:afterLines="0"/>
              <w:rPr>
                <w:rFonts w:ascii="Times New Roman" w:eastAsia="黑体"/>
                <w:snapToGrid w:val="0"/>
                <w:color w:val="000000"/>
                <w:spacing w:val="-6"/>
                <w:kern w:val="21"/>
              </w:rPr>
            </w:pPr>
            <w:r>
              <w:rPr>
                <w:rFonts w:ascii="Times New Roman" w:eastAsia="黑体"/>
                <w:snapToGrid w:val="0"/>
                <w:color w:val="000000"/>
                <w:spacing w:val="-6"/>
                <w:kern w:val="21"/>
              </w:rPr>
              <w:fldChar w:fldCharType="begin"/>
            </w:r>
            <w:r>
              <w:rPr>
                <w:rFonts w:ascii="Times New Roman" w:eastAsia="黑体"/>
                <w:snapToGrid w:val="0"/>
                <w:color w:val="000000"/>
                <w:spacing w:val="-6"/>
                <w:kern w:val="21"/>
              </w:rPr>
              <w:instrText xml:space="preserve"> = 2 \* GB3 \* MERGEFORMAT </w:instrText>
            </w:r>
            <w:r>
              <w:rPr>
                <w:rFonts w:ascii="Times New Roman" w:eastAsia="黑体"/>
                <w:snapToGrid w:val="0"/>
                <w:color w:val="000000"/>
                <w:spacing w:val="-6"/>
                <w:kern w:val="21"/>
              </w:rPr>
              <w:fldChar w:fldCharType="separate"/>
            </w:r>
            <w:r>
              <w:rPr>
                <w:rFonts w:ascii="Times New Roman" w:eastAsia="黑体"/>
                <w:snapToGrid w:val="0"/>
                <w:color w:val="000000"/>
                <w:spacing w:val="-6"/>
                <w:kern w:val="21"/>
              </w:rPr>
              <w:t>②</w:t>
            </w:r>
            <w:r>
              <w:rPr>
                <w:rFonts w:ascii="Times New Roman" w:eastAsia="黑体"/>
                <w:snapToGrid w:val="0"/>
                <w:color w:val="000000"/>
                <w:spacing w:val="-6"/>
                <w:kern w:val="21"/>
              </w:rPr>
              <w:fldChar w:fldCharType="end"/>
            </w:r>
          </w:p>
        </w:tc>
        <w:tc>
          <w:tcPr>
            <w:tcW w:w="1562" w:type="dxa"/>
            <w:tcBorders>
              <w:top w:val="single" w:color="auto" w:sz="8" w:space="0"/>
            </w:tcBorders>
            <w:tcMar>
              <w:left w:w="28" w:type="dxa"/>
              <w:right w:w="28" w:type="dxa"/>
            </w:tcMar>
            <w:vAlign w:val="center"/>
          </w:tcPr>
          <w:p>
            <w:pPr>
              <w:pStyle w:val="53"/>
              <w:spacing w:beforeLines="0" w:afterLines="0" w:line="240" w:lineRule="auto"/>
              <w:rPr>
                <w:rFonts w:ascii="Times New Roman" w:eastAsia="黑体"/>
                <w:snapToGrid w:val="0"/>
                <w:color w:val="000000"/>
                <w:spacing w:val="-6"/>
                <w:kern w:val="21"/>
              </w:rPr>
            </w:pPr>
            <w:r>
              <w:rPr>
                <w:rFonts w:ascii="Times New Roman" w:eastAsia="黑体"/>
                <w:snapToGrid w:val="0"/>
                <w:color w:val="000000"/>
                <w:spacing w:val="-6"/>
                <w:kern w:val="21"/>
              </w:rPr>
              <w:t>在建工程</w:t>
            </w:r>
          </w:p>
          <w:p>
            <w:pPr>
              <w:pStyle w:val="53"/>
              <w:spacing w:beforeLines="0" w:afterLines="0" w:line="240" w:lineRule="auto"/>
              <w:rPr>
                <w:rFonts w:ascii="Times New Roman" w:eastAsia="黑体"/>
                <w:snapToGrid w:val="0"/>
                <w:color w:val="000000"/>
                <w:spacing w:val="-6"/>
                <w:kern w:val="21"/>
              </w:rPr>
            </w:pPr>
            <w:r>
              <w:rPr>
                <w:rFonts w:ascii="Times New Roman" w:eastAsia="黑体"/>
                <w:snapToGrid w:val="0"/>
                <w:color w:val="000000"/>
                <w:spacing w:val="-6"/>
                <w:kern w:val="21"/>
              </w:rPr>
              <w:t>排放量（固体废物产生量）</w:t>
            </w:r>
            <w:r>
              <w:rPr>
                <w:rFonts w:ascii="Times New Roman" w:eastAsia="黑体"/>
                <w:snapToGrid w:val="0"/>
                <w:color w:val="000000"/>
                <w:spacing w:val="-6"/>
                <w:kern w:val="21"/>
              </w:rPr>
              <w:fldChar w:fldCharType="begin"/>
            </w:r>
            <w:r>
              <w:rPr>
                <w:rFonts w:ascii="Times New Roman" w:eastAsia="黑体"/>
                <w:snapToGrid w:val="0"/>
                <w:color w:val="000000"/>
                <w:spacing w:val="-6"/>
                <w:kern w:val="21"/>
              </w:rPr>
              <w:instrText xml:space="preserve"> = 3 \* GB3 \* MERGEFORMAT </w:instrText>
            </w:r>
            <w:r>
              <w:rPr>
                <w:rFonts w:ascii="Times New Roman" w:eastAsia="黑体"/>
                <w:snapToGrid w:val="0"/>
                <w:color w:val="000000"/>
                <w:spacing w:val="-6"/>
                <w:kern w:val="21"/>
              </w:rPr>
              <w:fldChar w:fldCharType="separate"/>
            </w:r>
            <w:r>
              <w:rPr>
                <w:rFonts w:ascii="Times New Roman" w:eastAsia="黑体"/>
                <w:kern w:val="2"/>
              </w:rPr>
              <w:t>③</w:t>
            </w:r>
            <w:r>
              <w:rPr>
                <w:rFonts w:ascii="Times New Roman" w:eastAsia="黑体"/>
                <w:snapToGrid w:val="0"/>
                <w:color w:val="000000"/>
                <w:spacing w:val="-6"/>
                <w:kern w:val="21"/>
              </w:rPr>
              <w:fldChar w:fldCharType="end"/>
            </w:r>
          </w:p>
        </w:tc>
        <w:tc>
          <w:tcPr>
            <w:tcW w:w="1559" w:type="dxa"/>
            <w:tcBorders>
              <w:top w:val="single" w:color="auto" w:sz="8" w:space="0"/>
            </w:tcBorders>
            <w:tcMar>
              <w:left w:w="28" w:type="dxa"/>
              <w:right w:w="28" w:type="dxa"/>
            </w:tcMar>
            <w:vAlign w:val="center"/>
          </w:tcPr>
          <w:p>
            <w:pPr>
              <w:pStyle w:val="53"/>
              <w:spacing w:beforeLines="0" w:afterLines="0" w:line="240" w:lineRule="auto"/>
              <w:rPr>
                <w:rFonts w:ascii="Times New Roman" w:eastAsia="黑体"/>
                <w:snapToGrid w:val="0"/>
                <w:color w:val="000000"/>
                <w:spacing w:val="-6"/>
                <w:kern w:val="21"/>
              </w:rPr>
            </w:pPr>
            <w:r>
              <w:rPr>
                <w:rFonts w:ascii="Times New Roman" w:eastAsia="黑体"/>
                <w:snapToGrid w:val="0"/>
                <w:color w:val="000000"/>
                <w:spacing w:val="-6"/>
                <w:kern w:val="21"/>
              </w:rPr>
              <w:t>本项目</w:t>
            </w:r>
          </w:p>
          <w:p>
            <w:pPr>
              <w:pStyle w:val="53"/>
              <w:spacing w:beforeLines="0" w:afterLines="0" w:line="240" w:lineRule="auto"/>
              <w:rPr>
                <w:rFonts w:ascii="Times New Roman" w:eastAsia="黑体"/>
                <w:snapToGrid w:val="0"/>
                <w:color w:val="000000"/>
                <w:spacing w:val="-6"/>
                <w:kern w:val="21"/>
              </w:rPr>
            </w:pPr>
            <w:r>
              <w:rPr>
                <w:rFonts w:ascii="Times New Roman" w:eastAsia="黑体"/>
                <w:snapToGrid w:val="0"/>
                <w:color w:val="000000"/>
                <w:spacing w:val="-6"/>
                <w:kern w:val="21"/>
              </w:rPr>
              <w:t>排放量（固体废物产生量）</w:t>
            </w:r>
            <w:r>
              <w:rPr>
                <w:rFonts w:ascii="Times New Roman" w:eastAsia="黑体"/>
                <w:snapToGrid w:val="0"/>
                <w:color w:val="000000"/>
                <w:spacing w:val="-6"/>
                <w:kern w:val="21"/>
              </w:rPr>
              <w:fldChar w:fldCharType="begin"/>
            </w:r>
            <w:r>
              <w:rPr>
                <w:rFonts w:ascii="Times New Roman" w:eastAsia="黑体"/>
                <w:snapToGrid w:val="0"/>
                <w:color w:val="000000"/>
                <w:spacing w:val="-6"/>
                <w:kern w:val="21"/>
              </w:rPr>
              <w:instrText xml:space="preserve"> = 4 \* GB3 \* MERGEFORMAT </w:instrText>
            </w:r>
            <w:r>
              <w:rPr>
                <w:rFonts w:ascii="Times New Roman" w:eastAsia="黑体"/>
                <w:snapToGrid w:val="0"/>
                <w:color w:val="000000"/>
                <w:spacing w:val="-6"/>
                <w:kern w:val="21"/>
              </w:rPr>
              <w:fldChar w:fldCharType="separate"/>
            </w:r>
            <w:r>
              <w:rPr>
                <w:rFonts w:ascii="Times New Roman" w:eastAsia="黑体"/>
                <w:kern w:val="2"/>
              </w:rPr>
              <w:t>④</w:t>
            </w:r>
            <w:r>
              <w:rPr>
                <w:rFonts w:ascii="Times New Roman" w:eastAsia="黑体"/>
                <w:snapToGrid w:val="0"/>
                <w:color w:val="000000"/>
                <w:spacing w:val="-6"/>
                <w:kern w:val="21"/>
              </w:rPr>
              <w:fldChar w:fldCharType="end"/>
            </w:r>
          </w:p>
        </w:tc>
        <w:tc>
          <w:tcPr>
            <w:tcW w:w="1621" w:type="dxa"/>
            <w:tcBorders>
              <w:top w:val="single" w:color="auto" w:sz="8" w:space="0"/>
            </w:tcBorders>
            <w:tcMar>
              <w:left w:w="28" w:type="dxa"/>
              <w:right w:w="28" w:type="dxa"/>
            </w:tcMar>
            <w:vAlign w:val="center"/>
          </w:tcPr>
          <w:p>
            <w:pPr>
              <w:pStyle w:val="53"/>
              <w:spacing w:beforeLines="0" w:afterLines="0" w:line="240" w:lineRule="auto"/>
              <w:rPr>
                <w:rFonts w:ascii="Times New Roman" w:eastAsia="黑体"/>
                <w:snapToGrid w:val="0"/>
                <w:color w:val="000000"/>
                <w:spacing w:val="-16"/>
                <w:kern w:val="21"/>
              </w:rPr>
            </w:pPr>
            <w:r>
              <w:rPr>
                <w:rFonts w:ascii="Times New Roman" w:eastAsia="黑体"/>
                <w:snapToGrid w:val="0"/>
                <w:color w:val="000000"/>
                <w:spacing w:val="-16"/>
                <w:kern w:val="21"/>
              </w:rPr>
              <w:t>以新带老削减量</w:t>
            </w:r>
          </w:p>
          <w:p>
            <w:pPr>
              <w:pStyle w:val="53"/>
              <w:spacing w:beforeLines="0" w:afterLines="0" w:line="240" w:lineRule="auto"/>
              <w:rPr>
                <w:rFonts w:ascii="Times New Roman" w:eastAsia="黑体"/>
                <w:snapToGrid w:val="0"/>
                <w:color w:val="000000"/>
                <w:spacing w:val="-16"/>
                <w:kern w:val="21"/>
              </w:rPr>
            </w:pPr>
            <w:r>
              <w:rPr>
                <w:rFonts w:ascii="Times New Roman" w:eastAsia="黑体"/>
                <w:snapToGrid w:val="0"/>
                <w:color w:val="000000"/>
                <w:spacing w:val="-16"/>
                <w:kern w:val="21"/>
              </w:rPr>
              <w:t>（新建项目不填）</w:t>
            </w:r>
            <w:r>
              <w:rPr>
                <w:rFonts w:ascii="Times New Roman" w:eastAsia="黑体"/>
                <w:snapToGrid w:val="0"/>
                <w:color w:val="000000"/>
                <w:spacing w:val="-16"/>
                <w:kern w:val="21"/>
              </w:rPr>
              <w:fldChar w:fldCharType="begin"/>
            </w:r>
            <w:r>
              <w:rPr>
                <w:rFonts w:ascii="Times New Roman" w:eastAsia="黑体"/>
                <w:snapToGrid w:val="0"/>
                <w:color w:val="000000"/>
                <w:spacing w:val="-16"/>
                <w:kern w:val="21"/>
              </w:rPr>
              <w:instrText xml:space="preserve"> = 5 \* GB3 \* MERGEFORMAT </w:instrText>
            </w:r>
            <w:r>
              <w:rPr>
                <w:rFonts w:ascii="Times New Roman" w:eastAsia="黑体"/>
                <w:snapToGrid w:val="0"/>
                <w:color w:val="000000"/>
                <w:spacing w:val="-16"/>
                <w:kern w:val="21"/>
              </w:rPr>
              <w:fldChar w:fldCharType="separate"/>
            </w:r>
            <w:r>
              <w:rPr>
                <w:rFonts w:ascii="Times New Roman" w:eastAsia="黑体"/>
                <w:kern w:val="2"/>
              </w:rPr>
              <w:t>⑤</w:t>
            </w:r>
            <w:r>
              <w:rPr>
                <w:rFonts w:ascii="Times New Roman" w:eastAsia="黑体"/>
                <w:snapToGrid w:val="0"/>
                <w:color w:val="000000"/>
                <w:spacing w:val="-16"/>
                <w:kern w:val="21"/>
              </w:rPr>
              <w:fldChar w:fldCharType="end"/>
            </w:r>
          </w:p>
        </w:tc>
        <w:tc>
          <w:tcPr>
            <w:tcW w:w="1695" w:type="dxa"/>
            <w:tcBorders>
              <w:top w:val="single" w:color="auto" w:sz="8" w:space="0"/>
            </w:tcBorders>
            <w:tcMar>
              <w:left w:w="28" w:type="dxa"/>
              <w:right w:w="28" w:type="dxa"/>
            </w:tcMar>
            <w:vAlign w:val="center"/>
          </w:tcPr>
          <w:p>
            <w:pPr>
              <w:pStyle w:val="53"/>
              <w:spacing w:beforeLines="0" w:afterLines="0" w:line="240" w:lineRule="auto"/>
              <w:rPr>
                <w:rFonts w:ascii="Times New Roman" w:eastAsia="黑体"/>
                <w:snapToGrid w:val="0"/>
                <w:color w:val="000000"/>
                <w:spacing w:val="-16"/>
                <w:kern w:val="21"/>
              </w:rPr>
            </w:pPr>
            <w:r>
              <w:rPr>
                <w:rFonts w:ascii="Times New Roman" w:eastAsia="黑体"/>
                <w:snapToGrid w:val="0"/>
                <w:color w:val="000000"/>
                <w:spacing w:val="-16"/>
                <w:kern w:val="21"/>
              </w:rPr>
              <w:t>本项目建成后</w:t>
            </w:r>
          </w:p>
          <w:p>
            <w:pPr>
              <w:pStyle w:val="53"/>
              <w:spacing w:beforeLines="0" w:afterLines="0" w:line="240" w:lineRule="auto"/>
              <w:rPr>
                <w:rFonts w:ascii="Times New Roman" w:eastAsia="黑体"/>
                <w:snapToGrid w:val="0"/>
                <w:color w:val="000000"/>
                <w:spacing w:val="-16"/>
                <w:kern w:val="21"/>
              </w:rPr>
            </w:pPr>
            <w:r>
              <w:rPr>
                <w:rFonts w:ascii="Times New Roman" w:eastAsia="黑体"/>
                <w:snapToGrid w:val="0"/>
                <w:color w:val="000000"/>
                <w:spacing w:val="-16"/>
                <w:kern w:val="21"/>
              </w:rPr>
              <w:t>全厂排放量（固体废物产生量）</w:t>
            </w:r>
            <w:r>
              <w:rPr>
                <w:rFonts w:ascii="Times New Roman" w:eastAsia="黑体"/>
                <w:snapToGrid w:val="0"/>
                <w:color w:val="000000"/>
                <w:spacing w:val="-16"/>
                <w:kern w:val="21"/>
              </w:rPr>
              <w:fldChar w:fldCharType="begin"/>
            </w:r>
            <w:r>
              <w:rPr>
                <w:rFonts w:ascii="Times New Roman" w:eastAsia="黑体"/>
                <w:snapToGrid w:val="0"/>
                <w:color w:val="000000"/>
                <w:spacing w:val="-16"/>
                <w:kern w:val="21"/>
              </w:rPr>
              <w:instrText xml:space="preserve"> = 6 \* GB3 \* MERGEFORMAT </w:instrText>
            </w:r>
            <w:r>
              <w:rPr>
                <w:rFonts w:ascii="Times New Roman" w:eastAsia="黑体"/>
                <w:snapToGrid w:val="0"/>
                <w:color w:val="000000"/>
                <w:spacing w:val="-16"/>
                <w:kern w:val="21"/>
              </w:rPr>
              <w:fldChar w:fldCharType="separate"/>
            </w:r>
            <w:r>
              <w:rPr>
                <w:rFonts w:ascii="Times New Roman" w:eastAsia="黑体"/>
                <w:kern w:val="2"/>
              </w:rPr>
              <w:t>⑥</w:t>
            </w:r>
            <w:r>
              <w:rPr>
                <w:rFonts w:ascii="Times New Roman" w:eastAsia="黑体"/>
                <w:snapToGrid w:val="0"/>
                <w:color w:val="000000"/>
                <w:spacing w:val="-16"/>
                <w:kern w:val="21"/>
              </w:rPr>
              <w:fldChar w:fldCharType="end"/>
            </w:r>
          </w:p>
        </w:tc>
        <w:tc>
          <w:tcPr>
            <w:tcW w:w="1230" w:type="dxa"/>
            <w:tcBorders>
              <w:top w:val="single" w:color="auto" w:sz="8" w:space="0"/>
            </w:tcBorders>
            <w:tcMar>
              <w:left w:w="28" w:type="dxa"/>
              <w:right w:w="28" w:type="dxa"/>
            </w:tcMar>
            <w:vAlign w:val="center"/>
          </w:tcPr>
          <w:p>
            <w:pPr>
              <w:pStyle w:val="53"/>
              <w:spacing w:beforeLines="0" w:afterLines="0" w:line="240" w:lineRule="auto"/>
              <w:rPr>
                <w:rFonts w:ascii="Times New Roman" w:eastAsia="黑体"/>
                <w:snapToGrid w:val="0"/>
                <w:color w:val="000000"/>
                <w:spacing w:val="-6"/>
                <w:kern w:val="21"/>
              </w:rPr>
            </w:pPr>
            <w:r>
              <w:rPr>
                <w:rFonts w:ascii="Times New Roman" w:eastAsia="黑体"/>
                <w:snapToGrid w:val="0"/>
                <w:color w:val="000000"/>
                <w:spacing w:val="-6"/>
                <w:kern w:val="21"/>
              </w:rPr>
              <w:t>变化量</w:t>
            </w:r>
          </w:p>
          <w:p>
            <w:pPr>
              <w:pStyle w:val="53"/>
              <w:spacing w:beforeLines="0" w:afterLines="0" w:line="240" w:lineRule="auto"/>
              <w:rPr>
                <w:rFonts w:ascii="Times New Roman" w:eastAsia="黑体"/>
                <w:snapToGrid w:val="0"/>
                <w:color w:val="000000"/>
                <w:spacing w:val="-6"/>
                <w:kern w:val="21"/>
              </w:rPr>
            </w:pPr>
            <w:r>
              <w:rPr>
                <w:rFonts w:ascii="Times New Roman" w:eastAsia="黑体"/>
                <w:snapToGrid w:val="0"/>
                <w:color w:val="000000"/>
                <w:spacing w:val="-6"/>
                <w:kern w:val="21"/>
              </w:rPr>
              <w:fldChar w:fldCharType="begin"/>
            </w:r>
            <w:r>
              <w:rPr>
                <w:rFonts w:ascii="Times New Roman" w:eastAsia="黑体"/>
                <w:snapToGrid w:val="0"/>
                <w:color w:val="000000"/>
                <w:spacing w:val="-6"/>
                <w:kern w:val="21"/>
              </w:rPr>
              <w:instrText xml:space="preserve"> = 7 \* GB3 \* MERGEFORMAT </w:instrText>
            </w:r>
            <w:r>
              <w:rPr>
                <w:rFonts w:ascii="Times New Roman" w:eastAsia="黑体"/>
                <w:snapToGrid w:val="0"/>
                <w:color w:val="000000"/>
                <w:spacing w:val="-6"/>
                <w:kern w:val="21"/>
              </w:rPr>
              <w:fldChar w:fldCharType="separate"/>
            </w:r>
            <w:r>
              <w:rPr>
                <w:rFonts w:ascii="Times New Roman" w:eastAsia="黑体"/>
                <w:kern w:val="2"/>
              </w:rPr>
              <w:t>⑦</w:t>
            </w:r>
            <w:r>
              <w:rPr>
                <w:rFonts w:ascii="Times New Roman" w:eastAsia="黑体"/>
                <w:snapToGrid w:val="0"/>
                <w:color w:val="000000"/>
                <w:spacing w:val="-6"/>
                <w:kern w:val="21"/>
              </w:rPr>
              <w:fldChar w:fldCharType="end"/>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06" w:type="dxa"/>
            <w:vMerge w:val="restart"/>
            <w:vAlign w:val="center"/>
          </w:tcPr>
          <w:p>
            <w:pPr>
              <w:pStyle w:val="53"/>
              <w:spacing w:beforeLines="0" w:afterLines="0" w:line="240" w:lineRule="auto"/>
              <w:rPr>
                <w:rFonts w:ascii="Times New Roman"/>
                <w:snapToGrid w:val="0"/>
                <w:color w:val="000000"/>
                <w:kern w:val="21"/>
              </w:rPr>
            </w:pPr>
            <w:r>
              <w:rPr>
                <w:rFonts w:ascii="Times New Roman"/>
                <w:snapToGrid w:val="0"/>
                <w:color w:val="000000"/>
                <w:kern w:val="21"/>
              </w:rPr>
              <w:t>废气</w:t>
            </w:r>
          </w:p>
        </w:tc>
        <w:tc>
          <w:tcPr>
            <w:tcW w:w="1935" w:type="dxa"/>
            <w:vAlign w:val="center"/>
          </w:tcPr>
          <w:p>
            <w:pPr>
              <w:jc w:val="center"/>
            </w:pPr>
            <w:r>
              <w:t>颗粒物</w:t>
            </w:r>
          </w:p>
        </w:tc>
        <w:tc>
          <w:tcPr>
            <w:tcW w:w="1605" w:type="dxa"/>
            <w:vAlign w:val="center"/>
          </w:tcPr>
          <w:p>
            <w:pPr>
              <w:pStyle w:val="53"/>
              <w:spacing w:beforeLines="0" w:afterLines="0" w:line="240" w:lineRule="auto"/>
              <w:rPr>
                <w:rFonts w:hint="default" w:ascii="Times New Roman" w:eastAsia="宋体"/>
                <w:snapToGrid w:val="0"/>
                <w:kern w:val="21"/>
                <w:lang w:val="en-US" w:eastAsia="zh-CN"/>
              </w:rPr>
            </w:pPr>
            <w:r>
              <w:rPr>
                <w:rFonts w:hint="eastAsia" w:ascii="Times New Roman"/>
                <w:snapToGrid w:val="0"/>
                <w:kern w:val="21"/>
                <w:lang w:val="en-US" w:eastAsia="zh-CN"/>
              </w:rPr>
              <w:t>0.0671t/a</w:t>
            </w:r>
          </w:p>
        </w:tc>
        <w:tc>
          <w:tcPr>
            <w:tcW w:w="1275" w:type="dxa"/>
            <w:vAlign w:val="center"/>
          </w:tcPr>
          <w:p>
            <w:pPr>
              <w:pStyle w:val="53"/>
              <w:spacing w:beforeLines="0" w:afterLines="0" w:line="240" w:lineRule="auto"/>
              <w:rPr>
                <w:rFonts w:ascii="Times New Roman"/>
                <w:snapToGrid w:val="0"/>
                <w:kern w:val="21"/>
              </w:rPr>
            </w:pPr>
            <w:r>
              <w:rPr>
                <w:rFonts w:hint="eastAsia" w:ascii="Times New Roman"/>
                <w:snapToGrid w:val="0"/>
                <w:kern w:val="21"/>
              </w:rPr>
              <w:t>/</w:t>
            </w:r>
          </w:p>
        </w:tc>
        <w:tc>
          <w:tcPr>
            <w:tcW w:w="1562" w:type="dxa"/>
            <w:vAlign w:val="center"/>
          </w:tcPr>
          <w:p>
            <w:pPr>
              <w:pStyle w:val="53"/>
              <w:spacing w:beforeLines="0" w:afterLines="0" w:line="240" w:lineRule="auto"/>
              <w:rPr>
                <w:rFonts w:ascii="Times New Roman"/>
                <w:snapToGrid w:val="0"/>
                <w:kern w:val="21"/>
              </w:rPr>
            </w:pPr>
            <w:r>
              <w:rPr>
                <w:rFonts w:hint="eastAsia" w:ascii="Times New Roman"/>
                <w:snapToGrid w:val="0"/>
                <w:kern w:val="21"/>
              </w:rPr>
              <w:t>/</w:t>
            </w:r>
          </w:p>
        </w:tc>
        <w:tc>
          <w:tcPr>
            <w:tcW w:w="1559" w:type="dxa"/>
            <w:vAlign w:val="center"/>
          </w:tcPr>
          <w:p>
            <w:pPr>
              <w:autoSpaceDN w:val="0"/>
              <w:jc w:val="center"/>
              <w:rPr>
                <w:color w:val="auto"/>
              </w:rPr>
            </w:pPr>
            <w:r>
              <w:rPr>
                <w:rFonts w:hint="eastAsia"/>
                <w:color w:val="auto"/>
                <w:lang w:eastAsia="zh-CN"/>
              </w:rPr>
              <w:t>0.</w:t>
            </w:r>
            <w:r>
              <w:rPr>
                <w:rFonts w:hint="eastAsia"/>
                <w:color w:val="auto"/>
                <w:lang w:val="en-US" w:eastAsia="zh-CN"/>
              </w:rPr>
              <w:t>700</w:t>
            </w:r>
            <w:r>
              <w:rPr>
                <w:color w:val="auto"/>
              </w:rPr>
              <w:t>t/a</w:t>
            </w:r>
          </w:p>
        </w:tc>
        <w:tc>
          <w:tcPr>
            <w:tcW w:w="1621" w:type="dxa"/>
            <w:vAlign w:val="center"/>
          </w:tcPr>
          <w:p>
            <w:pPr>
              <w:pStyle w:val="53"/>
              <w:spacing w:beforeLines="0" w:afterLines="0" w:line="240" w:lineRule="auto"/>
              <w:rPr>
                <w:rFonts w:ascii="Times New Roman"/>
                <w:snapToGrid w:val="0"/>
                <w:kern w:val="21"/>
              </w:rPr>
            </w:pPr>
            <w:r>
              <w:rPr>
                <w:rFonts w:hint="eastAsia" w:ascii="Times New Roman"/>
                <w:snapToGrid w:val="0"/>
                <w:kern w:val="21"/>
                <w:lang w:val="en-US" w:eastAsia="zh-CN"/>
              </w:rPr>
              <w:t>0.0671t/a</w:t>
            </w:r>
          </w:p>
        </w:tc>
        <w:tc>
          <w:tcPr>
            <w:tcW w:w="1695" w:type="dxa"/>
            <w:vAlign w:val="center"/>
          </w:tcPr>
          <w:p>
            <w:pPr>
              <w:autoSpaceDN w:val="0"/>
              <w:jc w:val="center"/>
              <w:rPr>
                <w:color w:val="auto"/>
              </w:rPr>
            </w:pPr>
            <w:r>
              <w:rPr>
                <w:rFonts w:hint="eastAsia"/>
                <w:color w:val="auto"/>
                <w:lang w:eastAsia="zh-CN"/>
              </w:rPr>
              <w:t>0.</w:t>
            </w:r>
            <w:r>
              <w:rPr>
                <w:rFonts w:hint="eastAsia"/>
                <w:color w:val="auto"/>
                <w:lang w:val="en-US" w:eastAsia="zh-CN"/>
              </w:rPr>
              <w:t>700</w:t>
            </w:r>
            <w:r>
              <w:rPr>
                <w:color w:val="auto"/>
              </w:rPr>
              <w:t>t/a</w:t>
            </w:r>
          </w:p>
        </w:tc>
        <w:tc>
          <w:tcPr>
            <w:tcW w:w="1230" w:type="dxa"/>
            <w:vAlign w:val="center"/>
          </w:tcPr>
          <w:p>
            <w:pPr>
              <w:autoSpaceDN w:val="0"/>
              <w:jc w:val="center"/>
              <w:rPr>
                <w:color w:val="auto"/>
              </w:rPr>
            </w:pPr>
            <w:r>
              <w:rPr>
                <w:rFonts w:hint="eastAsia"/>
                <w:color w:val="auto"/>
                <w:lang w:val="en-US" w:eastAsia="zh-CN"/>
              </w:rPr>
              <w:t>+</w:t>
            </w:r>
            <w:r>
              <w:rPr>
                <w:rFonts w:hint="eastAsia"/>
                <w:color w:val="auto"/>
                <w:lang w:eastAsia="zh-CN"/>
              </w:rPr>
              <w:t>0.</w:t>
            </w:r>
            <w:r>
              <w:rPr>
                <w:rFonts w:hint="eastAsia"/>
                <w:color w:val="auto"/>
                <w:lang w:val="en-US" w:eastAsia="zh-CN"/>
              </w:rPr>
              <w:t>700</w:t>
            </w:r>
            <w:r>
              <w:rPr>
                <w:color w:val="auto"/>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06" w:type="dxa"/>
            <w:vMerge w:val="continue"/>
            <w:vAlign w:val="center"/>
          </w:tcPr>
          <w:p>
            <w:pPr>
              <w:pStyle w:val="53"/>
              <w:spacing w:beforeLines="0" w:afterLines="0" w:line="240" w:lineRule="auto"/>
              <w:rPr>
                <w:rFonts w:ascii="Times New Roman"/>
                <w:snapToGrid w:val="0"/>
                <w:color w:val="000000"/>
                <w:kern w:val="21"/>
              </w:rPr>
            </w:pPr>
          </w:p>
        </w:tc>
        <w:tc>
          <w:tcPr>
            <w:tcW w:w="1935" w:type="dxa"/>
            <w:vAlign w:val="center"/>
          </w:tcPr>
          <w:p>
            <w:pPr>
              <w:jc w:val="center"/>
            </w:pPr>
            <w:r>
              <w:rPr>
                <w:rFonts w:hint="eastAsia"/>
              </w:rPr>
              <w:t>SO</w:t>
            </w:r>
            <w:r>
              <w:rPr>
                <w:rFonts w:hint="eastAsia"/>
                <w:vertAlign w:val="subscript"/>
              </w:rPr>
              <w:t>2</w:t>
            </w:r>
          </w:p>
        </w:tc>
        <w:tc>
          <w:tcPr>
            <w:tcW w:w="1605" w:type="dxa"/>
            <w:vAlign w:val="center"/>
          </w:tcPr>
          <w:p>
            <w:pPr>
              <w:pStyle w:val="53"/>
              <w:spacing w:beforeLines="0" w:afterLines="0" w:line="240" w:lineRule="auto"/>
              <w:rPr>
                <w:rFonts w:hint="default" w:ascii="Times New Roman" w:eastAsia="宋体"/>
                <w:snapToGrid w:val="0"/>
                <w:kern w:val="21"/>
                <w:lang w:val="en-US" w:eastAsia="zh-CN"/>
              </w:rPr>
            </w:pPr>
            <w:r>
              <w:rPr>
                <w:rFonts w:hint="eastAsia" w:ascii="Times New Roman"/>
                <w:snapToGrid w:val="0"/>
                <w:kern w:val="21"/>
                <w:lang w:val="en-US" w:eastAsia="zh-CN"/>
              </w:rPr>
              <w:t>0.0224t/a</w:t>
            </w:r>
          </w:p>
        </w:tc>
        <w:tc>
          <w:tcPr>
            <w:tcW w:w="1275" w:type="dxa"/>
            <w:vAlign w:val="center"/>
          </w:tcPr>
          <w:p>
            <w:pPr>
              <w:pStyle w:val="53"/>
              <w:spacing w:beforeLines="0" w:afterLines="0" w:line="240" w:lineRule="auto"/>
              <w:rPr>
                <w:rFonts w:ascii="Times New Roman"/>
                <w:snapToGrid w:val="0"/>
                <w:kern w:val="21"/>
              </w:rPr>
            </w:pPr>
            <w:r>
              <w:rPr>
                <w:rFonts w:hint="eastAsia" w:ascii="Times New Roman"/>
                <w:snapToGrid w:val="0"/>
                <w:kern w:val="21"/>
              </w:rPr>
              <w:t>/</w:t>
            </w:r>
          </w:p>
        </w:tc>
        <w:tc>
          <w:tcPr>
            <w:tcW w:w="1562" w:type="dxa"/>
            <w:vAlign w:val="center"/>
          </w:tcPr>
          <w:p>
            <w:pPr>
              <w:pStyle w:val="53"/>
              <w:spacing w:beforeLines="0" w:afterLines="0" w:line="240" w:lineRule="auto"/>
              <w:rPr>
                <w:rFonts w:ascii="Times New Roman"/>
                <w:snapToGrid w:val="0"/>
                <w:kern w:val="21"/>
              </w:rPr>
            </w:pPr>
            <w:r>
              <w:rPr>
                <w:rFonts w:hint="eastAsia" w:ascii="Times New Roman"/>
                <w:snapToGrid w:val="0"/>
                <w:kern w:val="21"/>
              </w:rPr>
              <w:t>/</w:t>
            </w:r>
          </w:p>
        </w:tc>
        <w:tc>
          <w:tcPr>
            <w:tcW w:w="1559" w:type="dxa"/>
            <w:vAlign w:val="center"/>
          </w:tcPr>
          <w:p>
            <w:pPr>
              <w:autoSpaceDN w:val="0"/>
              <w:jc w:val="center"/>
              <w:rPr>
                <w:color w:val="auto"/>
              </w:rPr>
            </w:pPr>
            <w:r>
              <w:rPr>
                <w:rFonts w:hint="eastAsia"/>
                <w:color w:val="auto"/>
              </w:rPr>
              <w:t>0.0</w:t>
            </w:r>
            <w:r>
              <w:rPr>
                <w:rFonts w:hint="eastAsia"/>
                <w:color w:val="auto"/>
                <w:lang w:val="en-US" w:eastAsia="zh-CN"/>
              </w:rPr>
              <w:t>403</w:t>
            </w:r>
            <w:r>
              <w:rPr>
                <w:color w:val="auto"/>
              </w:rPr>
              <w:t>t/a</w:t>
            </w:r>
          </w:p>
        </w:tc>
        <w:tc>
          <w:tcPr>
            <w:tcW w:w="1621" w:type="dxa"/>
            <w:vAlign w:val="center"/>
          </w:tcPr>
          <w:p>
            <w:pPr>
              <w:pStyle w:val="53"/>
              <w:spacing w:beforeLines="0" w:afterLines="0" w:line="240" w:lineRule="auto"/>
              <w:rPr>
                <w:rFonts w:ascii="Times New Roman"/>
                <w:snapToGrid w:val="0"/>
                <w:kern w:val="21"/>
              </w:rPr>
            </w:pPr>
            <w:r>
              <w:rPr>
                <w:rFonts w:hint="eastAsia" w:ascii="Times New Roman"/>
                <w:snapToGrid w:val="0"/>
                <w:kern w:val="21"/>
                <w:lang w:val="en-US" w:eastAsia="zh-CN"/>
              </w:rPr>
              <w:t>0.0224t/a</w:t>
            </w:r>
          </w:p>
        </w:tc>
        <w:tc>
          <w:tcPr>
            <w:tcW w:w="1695" w:type="dxa"/>
            <w:vAlign w:val="center"/>
          </w:tcPr>
          <w:p>
            <w:pPr>
              <w:autoSpaceDN w:val="0"/>
              <w:jc w:val="center"/>
              <w:rPr>
                <w:color w:val="auto"/>
              </w:rPr>
            </w:pPr>
            <w:r>
              <w:rPr>
                <w:rFonts w:hint="eastAsia"/>
                <w:color w:val="auto"/>
              </w:rPr>
              <w:t>0.0</w:t>
            </w:r>
            <w:r>
              <w:rPr>
                <w:rFonts w:hint="eastAsia"/>
                <w:color w:val="auto"/>
                <w:lang w:val="en-US" w:eastAsia="zh-CN"/>
              </w:rPr>
              <w:t>403</w:t>
            </w:r>
            <w:r>
              <w:rPr>
                <w:color w:val="auto"/>
              </w:rPr>
              <w:t>t/a</w:t>
            </w:r>
          </w:p>
        </w:tc>
        <w:tc>
          <w:tcPr>
            <w:tcW w:w="1230" w:type="dxa"/>
            <w:vAlign w:val="center"/>
          </w:tcPr>
          <w:p>
            <w:pPr>
              <w:autoSpaceDN w:val="0"/>
              <w:jc w:val="center"/>
              <w:rPr>
                <w:color w:val="auto"/>
              </w:rPr>
            </w:pPr>
            <w:r>
              <w:rPr>
                <w:rFonts w:hint="eastAsia"/>
                <w:color w:val="auto"/>
                <w:lang w:val="en-US" w:eastAsia="zh-CN"/>
              </w:rPr>
              <w:t>+</w:t>
            </w:r>
            <w:r>
              <w:rPr>
                <w:rFonts w:hint="eastAsia"/>
                <w:color w:val="auto"/>
              </w:rPr>
              <w:t>0.0</w:t>
            </w:r>
            <w:r>
              <w:rPr>
                <w:rFonts w:hint="eastAsia"/>
                <w:color w:val="auto"/>
                <w:lang w:val="en-US" w:eastAsia="zh-CN"/>
              </w:rPr>
              <w:t>403</w:t>
            </w:r>
            <w:r>
              <w:rPr>
                <w:color w:val="auto"/>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06" w:type="dxa"/>
            <w:vMerge w:val="continue"/>
            <w:vAlign w:val="center"/>
          </w:tcPr>
          <w:p>
            <w:pPr>
              <w:pStyle w:val="53"/>
              <w:spacing w:beforeLines="0" w:afterLines="0" w:line="240" w:lineRule="auto"/>
              <w:rPr>
                <w:rFonts w:ascii="Times New Roman"/>
                <w:snapToGrid w:val="0"/>
                <w:color w:val="000000"/>
                <w:kern w:val="21"/>
              </w:rPr>
            </w:pPr>
          </w:p>
        </w:tc>
        <w:tc>
          <w:tcPr>
            <w:tcW w:w="1935" w:type="dxa"/>
            <w:vAlign w:val="center"/>
          </w:tcPr>
          <w:p>
            <w:pPr>
              <w:jc w:val="center"/>
            </w:pPr>
            <w:r>
              <w:rPr>
                <w:rFonts w:hint="eastAsia"/>
              </w:rPr>
              <w:t>NO</w:t>
            </w:r>
            <w:r>
              <w:rPr>
                <w:rFonts w:hint="eastAsia"/>
                <w:vertAlign w:val="subscript"/>
              </w:rPr>
              <w:t>X</w:t>
            </w:r>
          </w:p>
        </w:tc>
        <w:tc>
          <w:tcPr>
            <w:tcW w:w="1605" w:type="dxa"/>
            <w:vAlign w:val="center"/>
          </w:tcPr>
          <w:p>
            <w:pPr>
              <w:pStyle w:val="53"/>
              <w:spacing w:beforeLines="0" w:afterLines="0" w:line="240" w:lineRule="auto"/>
              <w:rPr>
                <w:rFonts w:hint="default" w:ascii="Times New Roman" w:eastAsia="宋体"/>
                <w:lang w:val="en-US" w:eastAsia="zh-CN"/>
              </w:rPr>
            </w:pPr>
            <w:r>
              <w:rPr>
                <w:rFonts w:hint="eastAsia" w:ascii="Times New Roman"/>
                <w:lang w:val="en-US" w:eastAsia="zh-CN"/>
              </w:rPr>
              <w:t>0.3493</w:t>
            </w:r>
            <w:r>
              <w:rPr>
                <w:rFonts w:hint="eastAsia" w:ascii="Times New Roman"/>
                <w:snapToGrid w:val="0"/>
                <w:kern w:val="21"/>
                <w:lang w:val="en-US" w:eastAsia="zh-CN"/>
              </w:rPr>
              <w:t>t/a</w:t>
            </w:r>
          </w:p>
        </w:tc>
        <w:tc>
          <w:tcPr>
            <w:tcW w:w="1275" w:type="dxa"/>
            <w:vAlign w:val="center"/>
          </w:tcPr>
          <w:p>
            <w:pPr>
              <w:pStyle w:val="53"/>
              <w:spacing w:beforeLines="0" w:afterLines="0" w:line="240" w:lineRule="auto"/>
              <w:rPr>
                <w:rFonts w:ascii="Times New Roman"/>
                <w:snapToGrid w:val="0"/>
                <w:kern w:val="21"/>
              </w:rPr>
            </w:pPr>
            <w:r>
              <w:rPr>
                <w:rFonts w:hint="eastAsia" w:ascii="Times New Roman"/>
                <w:snapToGrid w:val="0"/>
                <w:kern w:val="21"/>
              </w:rPr>
              <w:t>/</w:t>
            </w:r>
          </w:p>
        </w:tc>
        <w:tc>
          <w:tcPr>
            <w:tcW w:w="1562" w:type="dxa"/>
            <w:vAlign w:val="center"/>
          </w:tcPr>
          <w:p>
            <w:pPr>
              <w:pStyle w:val="53"/>
              <w:spacing w:beforeLines="0" w:afterLines="0" w:line="240" w:lineRule="auto"/>
              <w:rPr>
                <w:rFonts w:ascii="Times New Roman"/>
                <w:snapToGrid w:val="0"/>
                <w:kern w:val="21"/>
              </w:rPr>
            </w:pPr>
            <w:r>
              <w:rPr>
                <w:rFonts w:hint="eastAsia" w:ascii="Times New Roman"/>
                <w:snapToGrid w:val="0"/>
                <w:kern w:val="21"/>
              </w:rPr>
              <w:t>/</w:t>
            </w:r>
          </w:p>
        </w:tc>
        <w:tc>
          <w:tcPr>
            <w:tcW w:w="1559" w:type="dxa"/>
            <w:vAlign w:val="center"/>
          </w:tcPr>
          <w:p>
            <w:pPr>
              <w:autoSpaceDN w:val="0"/>
              <w:jc w:val="center"/>
              <w:rPr>
                <w:color w:val="auto"/>
              </w:rPr>
            </w:pPr>
            <w:r>
              <w:rPr>
                <w:rFonts w:hint="eastAsia"/>
                <w:color w:val="auto"/>
              </w:rPr>
              <w:t>0.1018</w:t>
            </w:r>
            <w:r>
              <w:rPr>
                <w:color w:val="auto"/>
              </w:rPr>
              <w:t>t/a</w:t>
            </w:r>
          </w:p>
        </w:tc>
        <w:tc>
          <w:tcPr>
            <w:tcW w:w="1621" w:type="dxa"/>
            <w:vAlign w:val="center"/>
          </w:tcPr>
          <w:p>
            <w:pPr>
              <w:pStyle w:val="53"/>
              <w:spacing w:beforeLines="0" w:afterLines="0" w:line="240" w:lineRule="auto"/>
              <w:rPr>
                <w:rFonts w:ascii="Times New Roman"/>
                <w:snapToGrid w:val="0"/>
                <w:kern w:val="21"/>
              </w:rPr>
            </w:pPr>
            <w:r>
              <w:rPr>
                <w:rFonts w:hint="eastAsia" w:ascii="Times New Roman"/>
                <w:lang w:val="en-US" w:eastAsia="zh-CN"/>
              </w:rPr>
              <w:t>0.3493</w:t>
            </w:r>
            <w:r>
              <w:rPr>
                <w:rFonts w:hint="eastAsia" w:ascii="Times New Roman"/>
                <w:snapToGrid w:val="0"/>
                <w:kern w:val="21"/>
                <w:lang w:val="en-US" w:eastAsia="zh-CN"/>
              </w:rPr>
              <w:t>t/a</w:t>
            </w:r>
          </w:p>
        </w:tc>
        <w:tc>
          <w:tcPr>
            <w:tcW w:w="1695" w:type="dxa"/>
            <w:vAlign w:val="center"/>
          </w:tcPr>
          <w:p>
            <w:pPr>
              <w:autoSpaceDN w:val="0"/>
              <w:jc w:val="center"/>
              <w:rPr>
                <w:color w:val="auto"/>
              </w:rPr>
            </w:pPr>
            <w:r>
              <w:rPr>
                <w:rFonts w:hint="eastAsia"/>
                <w:color w:val="auto"/>
              </w:rPr>
              <w:t>0.1018</w:t>
            </w:r>
            <w:r>
              <w:rPr>
                <w:color w:val="auto"/>
              </w:rPr>
              <w:t>t/a</w:t>
            </w:r>
          </w:p>
        </w:tc>
        <w:tc>
          <w:tcPr>
            <w:tcW w:w="1230" w:type="dxa"/>
            <w:vAlign w:val="center"/>
          </w:tcPr>
          <w:p>
            <w:pPr>
              <w:autoSpaceDN w:val="0"/>
              <w:jc w:val="center"/>
              <w:rPr>
                <w:color w:val="auto"/>
              </w:rPr>
            </w:pPr>
            <w:r>
              <w:rPr>
                <w:rFonts w:hint="eastAsia"/>
                <w:color w:val="auto"/>
                <w:lang w:val="en-US" w:eastAsia="zh-CN"/>
              </w:rPr>
              <w:t>+</w:t>
            </w:r>
            <w:r>
              <w:rPr>
                <w:rFonts w:hint="eastAsia"/>
                <w:color w:val="auto"/>
              </w:rPr>
              <w:t>0.1018</w:t>
            </w:r>
            <w:r>
              <w:rPr>
                <w:color w:val="auto"/>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06" w:type="dxa"/>
            <w:vMerge w:val="restart"/>
            <w:vAlign w:val="center"/>
          </w:tcPr>
          <w:p>
            <w:pPr>
              <w:pStyle w:val="53"/>
              <w:spacing w:beforeLines="0" w:afterLines="0" w:line="240" w:lineRule="auto"/>
              <w:rPr>
                <w:rFonts w:ascii="Times New Roman"/>
                <w:snapToGrid w:val="0"/>
                <w:color w:val="000000"/>
                <w:kern w:val="21"/>
              </w:rPr>
            </w:pPr>
            <w:r>
              <w:rPr>
                <w:rFonts w:ascii="Times New Roman"/>
                <w:snapToGrid w:val="0"/>
                <w:color w:val="000000"/>
                <w:kern w:val="21"/>
              </w:rPr>
              <w:t>废水</w:t>
            </w:r>
          </w:p>
        </w:tc>
        <w:tc>
          <w:tcPr>
            <w:tcW w:w="1935" w:type="dxa"/>
            <w:vAlign w:val="center"/>
          </w:tcPr>
          <w:p>
            <w:pPr>
              <w:pStyle w:val="53"/>
              <w:spacing w:beforeLines="0" w:afterLines="0" w:line="240" w:lineRule="auto"/>
              <w:rPr>
                <w:rFonts w:ascii="Times New Roman"/>
                <w:snapToGrid w:val="0"/>
                <w:kern w:val="21"/>
              </w:rPr>
            </w:pPr>
            <w:r>
              <w:rPr>
                <w:rFonts w:ascii="Times New Roman"/>
                <w:snapToGrid w:val="0"/>
                <w:kern w:val="21"/>
              </w:rPr>
              <w:t>废水量</w:t>
            </w:r>
          </w:p>
        </w:tc>
        <w:tc>
          <w:tcPr>
            <w:tcW w:w="1605" w:type="dxa"/>
            <w:vAlign w:val="center"/>
          </w:tcPr>
          <w:p>
            <w:pPr>
              <w:pStyle w:val="53"/>
              <w:spacing w:beforeLines="0" w:afterLines="0" w:line="240" w:lineRule="auto"/>
              <w:rPr>
                <w:rFonts w:hint="default" w:ascii="Times New Roman" w:eastAsia="宋体"/>
                <w:snapToGrid w:val="0"/>
                <w:kern w:val="21"/>
                <w:lang w:val="en-US" w:eastAsia="zh-CN"/>
              </w:rPr>
            </w:pPr>
            <w:r>
              <w:rPr>
                <w:rFonts w:hint="eastAsia" w:ascii="Times New Roman"/>
                <w:snapToGrid w:val="0"/>
                <w:kern w:val="21"/>
                <w:lang w:val="en-US" w:eastAsia="zh-CN"/>
              </w:rPr>
              <w:t>1752t/a</w:t>
            </w:r>
          </w:p>
        </w:tc>
        <w:tc>
          <w:tcPr>
            <w:tcW w:w="1275" w:type="dxa"/>
            <w:vAlign w:val="center"/>
          </w:tcPr>
          <w:p>
            <w:pPr>
              <w:pStyle w:val="53"/>
              <w:spacing w:beforeLines="0" w:afterLines="0" w:line="240" w:lineRule="auto"/>
              <w:rPr>
                <w:rFonts w:ascii="Times New Roman"/>
                <w:snapToGrid w:val="0"/>
                <w:kern w:val="21"/>
              </w:rPr>
            </w:pPr>
            <w:r>
              <w:rPr>
                <w:rFonts w:hint="eastAsia" w:ascii="Times New Roman"/>
                <w:snapToGrid w:val="0"/>
                <w:kern w:val="21"/>
                <w:lang w:val="en-US" w:eastAsia="zh-CN"/>
              </w:rPr>
              <w:t>/</w:t>
            </w:r>
          </w:p>
        </w:tc>
        <w:tc>
          <w:tcPr>
            <w:tcW w:w="1562" w:type="dxa"/>
            <w:vAlign w:val="center"/>
          </w:tcPr>
          <w:p>
            <w:pPr>
              <w:pStyle w:val="53"/>
              <w:spacing w:beforeLines="0" w:afterLines="0" w:line="240" w:lineRule="auto"/>
              <w:rPr>
                <w:rFonts w:ascii="Times New Roman"/>
                <w:snapToGrid w:val="0"/>
                <w:kern w:val="21"/>
              </w:rPr>
            </w:pPr>
            <w:r>
              <w:rPr>
                <w:rFonts w:hint="eastAsia" w:ascii="Times New Roman"/>
                <w:snapToGrid w:val="0"/>
                <w:kern w:val="21"/>
                <w:lang w:val="en-US" w:eastAsia="zh-CN"/>
              </w:rPr>
              <w:t>/</w:t>
            </w:r>
          </w:p>
        </w:tc>
        <w:tc>
          <w:tcPr>
            <w:tcW w:w="1559" w:type="dxa"/>
            <w:vAlign w:val="center"/>
          </w:tcPr>
          <w:p>
            <w:pPr>
              <w:pStyle w:val="53"/>
              <w:spacing w:beforeLines="0" w:afterLines="0" w:line="240" w:lineRule="auto"/>
              <w:rPr>
                <w:rFonts w:ascii="Times New Roman"/>
                <w:snapToGrid w:val="0"/>
                <w:color w:val="auto"/>
                <w:kern w:val="21"/>
              </w:rPr>
            </w:pPr>
            <w:r>
              <w:rPr>
                <w:rFonts w:hint="eastAsia" w:ascii="Times New Roman"/>
                <w:color w:val="auto"/>
                <w:lang w:val="en-US" w:eastAsia="zh-CN"/>
              </w:rPr>
              <w:t>3942</w:t>
            </w:r>
            <w:r>
              <w:rPr>
                <w:rFonts w:ascii="Times New Roman"/>
                <w:color w:val="auto"/>
                <w:lang w:val="en-US" w:eastAsia="zh-CN"/>
              </w:rPr>
              <w:t>t/a</w:t>
            </w:r>
          </w:p>
        </w:tc>
        <w:tc>
          <w:tcPr>
            <w:tcW w:w="1621" w:type="dxa"/>
            <w:vAlign w:val="center"/>
          </w:tcPr>
          <w:p>
            <w:pPr>
              <w:pStyle w:val="53"/>
              <w:spacing w:beforeLines="0" w:afterLines="0" w:line="240" w:lineRule="auto"/>
              <w:rPr>
                <w:rFonts w:ascii="Times New Roman"/>
                <w:snapToGrid w:val="0"/>
                <w:kern w:val="21"/>
              </w:rPr>
            </w:pPr>
            <w:r>
              <w:rPr>
                <w:rFonts w:hint="eastAsia" w:ascii="Times New Roman"/>
                <w:snapToGrid w:val="0"/>
                <w:kern w:val="21"/>
                <w:lang w:val="en-US" w:eastAsia="zh-CN"/>
              </w:rPr>
              <w:t>1752t/a</w:t>
            </w:r>
          </w:p>
        </w:tc>
        <w:tc>
          <w:tcPr>
            <w:tcW w:w="1695" w:type="dxa"/>
            <w:vAlign w:val="center"/>
          </w:tcPr>
          <w:p>
            <w:pPr>
              <w:pStyle w:val="53"/>
              <w:spacing w:beforeLines="0" w:afterLines="0" w:line="240" w:lineRule="auto"/>
              <w:rPr>
                <w:rFonts w:ascii="Times New Roman"/>
                <w:snapToGrid w:val="0"/>
                <w:color w:val="auto"/>
                <w:kern w:val="21"/>
              </w:rPr>
            </w:pPr>
            <w:r>
              <w:rPr>
                <w:rFonts w:hint="eastAsia" w:ascii="Times New Roman"/>
                <w:color w:val="auto"/>
                <w:lang w:val="en-US" w:eastAsia="zh-CN"/>
              </w:rPr>
              <w:t>3942</w:t>
            </w:r>
            <w:r>
              <w:rPr>
                <w:rFonts w:ascii="Times New Roman"/>
                <w:color w:val="auto"/>
                <w:lang w:val="en-US" w:eastAsia="zh-CN"/>
              </w:rPr>
              <w:t>t/a</w:t>
            </w:r>
          </w:p>
        </w:tc>
        <w:tc>
          <w:tcPr>
            <w:tcW w:w="1230" w:type="dxa"/>
            <w:vAlign w:val="center"/>
          </w:tcPr>
          <w:p>
            <w:pPr>
              <w:pStyle w:val="53"/>
              <w:spacing w:beforeLines="0" w:afterLines="0" w:line="240" w:lineRule="auto"/>
              <w:rPr>
                <w:rFonts w:ascii="Times New Roman"/>
                <w:snapToGrid w:val="0"/>
                <w:color w:val="auto"/>
                <w:kern w:val="21"/>
              </w:rPr>
            </w:pPr>
            <w:r>
              <w:rPr>
                <w:rFonts w:hint="eastAsia" w:ascii="Times New Roman"/>
                <w:color w:val="auto"/>
                <w:lang w:val="en-US" w:eastAsia="zh-CN"/>
              </w:rPr>
              <w:t>+3942</w:t>
            </w:r>
            <w:r>
              <w:rPr>
                <w:rFonts w:ascii="Times New Roman"/>
                <w:color w:val="auto"/>
                <w:lang w:val="en-US" w:eastAsia="zh-CN"/>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06" w:type="dxa"/>
            <w:vMerge w:val="continue"/>
            <w:vAlign w:val="center"/>
          </w:tcPr>
          <w:p>
            <w:pPr>
              <w:pStyle w:val="53"/>
              <w:spacing w:beforeLines="0" w:afterLines="0" w:line="240" w:lineRule="auto"/>
              <w:rPr>
                <w:rFonts w:ascii="Times New Roman"/>
                <w:snapToGrid w:val="0"/>
                <w:color w:val="000000"/>
                <w:kern w:val="21"/>
              </w:rPr>
            </w:pPr>
          </w:p>
        </w:tc>
        <w:tc>
          <w:tcPr>
            <w:tcW w:w="1935" w:type="dxa"/>
            <w:vAlign w:val="center"/>
          </w:tcPr>
          <w:p>
            <w:pPr>
              <w:pStyle w:val="53"/>
              <w:spacing w:beforeLines="0" w:afterLines="0" w:line="240" w:lineRule="auto"/>
              <w:rPr>
                <w:rFonts w:ascii="Times New Roman"/>
                <w:snapToGrid w:val="0"/>
                <w:kern w:val="21"/>
              </w:rPr>
            </w:pPr>
            <w:r>
              <w:rPr>
                <w:rFonts w:ascii="Times New Roman"/>
                <w:snapToGrid w:val="0"/>
                <w:kern w:val="21"/>
              </w:rPr>
              <w:t>COD</w:t>
            </w:r>
          </w:p>
        </w:tc>
        <w:tc>
          <w:tcPr>
            <w:tcW w:w="1605" w:type="dxa"/>
            <w:vAlign w:val="center"/>
          </w:tcPr>
          <w:p>
            <w:pPr>
              <w:pStyle w:val="53"/>
              <w:spacing w:beforeLines="0" w:afterLines="0" w:line="240" w:lineRule="auto"/>
              <w:rPr>
                <w:rFonts w:hint="default" w:ascii="Times New Roman" w:eastAsia="宋体"/>
                <w:snapToGrid w:val="0"/>
                <w:kern w:val="21"/>
                <w:lang w:val="en-US" w:eastAsia="zh-CN"/>
              </w:rPr>
            </w:pPr>
            <w:r>
              <w:rPr>
                <w:rFonts w:hint="eastAsia" w:ascii="Times New Roman"/>
                <w:snapToGrid w:val="0"/>
                <w:kern w:val="21"/>
                <w:lang w:val="en-US" w:eastAsia="zh-CN"/>
              </w:rPr>
              <w:t>0.088t/a</w:t>
            </w:r>
          </w:p>
        </w:tc>
        <w:tc>
          <w:tcPr>
            <w:tcW w:w="1275" w:type="dxa"/>
            <w:vAlign w:val="center"/>
          </w:tcPr>
          <w:p>
            <w:pPr>
              <w:pStyle w:val="53"/>
              <w:spacing w:beforeLines="0" w:afterLines="0" w:line="240" w:lineRule="auto"/>
              <w:rPr>
                <w:rFonts w:ascii="Times New Roman"/>
                <w:snapToGrid w:val="0"/>
                <w:kern w:val="21"/>
              </w:rPr>
            </w:pPr>
            <w:r>
              <w:rPr>
                <w:rFonts w:hint="eastAsia" w:ascii="Times New Roman"/>
                <w:snapToGrid w:val="0"/>
                <w:kern w:val="21"/>
              </w:rPr>
              <w:t>/</w:t>
            </w:r>
          </w:p>
        </w:tc>
        <w:tc>
          <w:tcPr>
            <w:tcW w:w="1562" w:type="dxa"/>
            <w:vAlign w:val="center"/>
          </w:tcPr>
          <w:p>
            <w:pPr>
              <w:pStyle w:val="53"/>
              <w:spacing w:beforeLines="0" w:afterLines="0" w:line="240" w:lineRule="auto"/>
              <w:rPr>
                <w:rFonts w:ascii="Times New Roman"/>
                <w:snapToGrid w:val="0"/>
                <w:kern w:val="21"/>
              </w:rPr>
            </w:pPr>
            <w:r>
              <w:rPr>
                <w:rFonts w:hint="eastAsia" w:ascii="Times New Roman"/>
                <w:snapToGrid w:val="0"/>
                <w:kern w:val="21"/>
              </w:rPr>
              <w:t>/</w:t>
            </w:r>
          </w:p>
        </w:tc>
        <w:tc>
          <w:tcPr>
            <w:tcW w:w="1559" w:type="dxa"/>
            <w:vAlign w:val="center"/>
          </w:tcPr>
          <w:p>
            <w:pPr>
              <w:adjustRightInd w:val="0"/>
              <w:snapToGrid w:val="0"/>
              <w:jc w:val="center"/>
              <w:rPr>
                <w:color w:val="auto"/>
              </w:rPr>
            </w:pPr>
            <w:r>
              <w:rPr>
                <w:rFonts w:hint="eastAsia"/>
                <w:color w:val="auto"/>
              </w:rPr>
              <w:t>0.456</w:t>
            </w:r>
            <w:r>
              <w:rPr>
                <w:color w:val="auto"/>
              </w:rPr>
              <w:t>t/a</w:t>
            </w:r>
          </w:p>
        </w:tc>
        <w:tc>
          <w:tcPr>
            <w:tcW w:w="1621" w:type="dxa"/>
            <w:vAlign w:val="center"/>
          </w:tcPr>
          <w:p>
            <w:pPr>
              <w:pStyle w:val="53"/>
              <w:spacing w:beforeLines="0" w:afterLines="0" w:line="240" w:lineRule="auto"/>
              <w:rPr>
                <w:rFonts w:ascii="Times New Roman"/>
                <w:snapToGrid w:val="0"/>
                <w:kern w:val="21"/>
              </w:rPr>
            </w:pPr>
            <w:r>
              <w:rPr>
                <w:rFonts w:hint="eastAsia" w:ascii="Times New Roman"/>
                <w:snapToGrid w:val="0"/>
                <w:kern w:val="21"/>
                <w:lang w:val="en-US" w:eastAsia="zh-CN"/>
              </w:rPr>
              <w:t>0.088t/a</w:t>
            </w:r>
          </w:p>
        </w:tc>
        <w:tc>
          <w:tcPr>
            <w:tcW w:w="1695" w:type="dxa"/>
            <w:vAlign w:val="center"/>
          </w:tcPr>
          <w:p>
            <w:pPr>
              <w:adjustRightInd w:val="0"/>
              <w:snapToGrid w:val="0"/>
              <w:jc w:val="center"/>
              <w:rPr>
                <w:color w:val="auto"/>
              </w:rPr>
            </w:pPr>
            <w:r>
              <w:rPr>
                <w:rFonts w:hint="eastAsia"/>
                <w:color w:val="auto"/>
              </w:rPr>
              <w:t>0.456</w:t>
            </w:r>
            <w:r>
              <w:rPr>
                <w:color w:val="auto"/>
              </w:rPr>
              <w:t>t/a</w:t>
            </w:r>
          </w:p>
        </w:tc>
        <w:tc>
          <w:tcPr>
            <w:tcW w:w="1230" w:type="dxa"/>
            <w:vAlign w:val="center"/>
          </w:tcPr>
          <w:p>
            <w:pPr>
              <w:adjustRightInd w:val="0"/>
              <w:snapToGrid w:val="0"/>
              <w:jc w:val="center"/>
              <w:rPr>
                <w:color w:val="auto"/>
              </w:rPr>
            </w:pPr>
            <w:r>
              <w:rPr>
                <w:rFonts w:hint="eastAsia"/>
                <w:color w:val="auto"/>
                <w:lang w:val="en-US" w:eastAsia="zh-CN"/>
              </w:rPr>
              <w:t>+</w:t>
            </w:r>
            <w:r>
              <w:rPr>
                <w:rFonts w:hint="eastAsia"/>
                <w:color w:val="auto"/>
              </w:rPr>
              <w:t>0.456</w:t>
            </w:r>
            <w:r>
              <w:rPr>
                <w:color w:val="auto"/>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06" w:type="dxa"/>
            <w:vMerge w:val="continue"/>
            <w:vAlign w:val="center"/>
          </w:tcPr>
          <w:p>
            <w:pPr>
              <w:pStyle w:val="53"/>
              <w:spacing w:beforeLines="0" w:afterLines="0" w:line="240" w:lineRule="auto"/>
              <w:rPr>
                <w:rFonts w:ascii="Times New Roman"/>
                <w:snapToGrid w:val="0"/>
                <w:color w:val="000000"/>
                <w:kern w:val="21"/>
              </w:rPr>
            </w:pPr>
          </w:p>
        </w:tc>
        <w:tc>
          <w:tcPr>
            <w:tcW w:w="1935" w:type="dxa"/>
            <w:vAlign w:val="center"/>
          </w:tcPr>
          <w:p>
            <w:pPr>
              <w:pStyle w:val="53"/>
              <w:spacing w:beforeLines="0" w:afterLines="0" w:line="240" w:lineRule="auto"/>
              <w:rPr>
                <w:rFonts w:ascii="Times New Roman"/>
                <w:snapToGrid w:val="0"/>
                <w:kern w:val="21"/>
              </w:rPr>
            </w:pPr>
            <w:r>
              <w:rPr>
                <w:rFonts w:ascii="Times New Roman"/>
                <w:snapToGrid w:val="0"/>
                <w:kern w:val="21"/>
              </w:rPr>
              <w:t>BOD</w:t>
            </w:r>
            <w:r>
              <w:rPr>
                <w:rFonts w:ascii="Times New Roman"/>
                <w:snapToGrid w:val="0"/>
                <w:kern w:val="21"/>
                <w:vertAlign w:val="subscript"/>
              </w:rPr>
              <w:t>5</w:t>
            </w:r>
          </w:p>
        </w:tc>
        <w:tc>
          <w:tcPr>
            <w:tcW w:w="1605" w:type="dxa"/>
            <w:vAlign w:val="center"/>
          </w:tcPr>
          <w:p>
            <w:pPr>
              <w:pStyle w:val="53"/>
              <w:spacing w:beforeLines="0" w:afterLines="0" w:line="240" w:lineRule="auto"/>
              <w:rPr>
                <w:rFonts w:hint="default" w:ascii="Times New Roman" w:eastAsia="宋体"/>
                <w:snapToGrid w:val="0"/>
                <w:kern w:val="21"/>
                <w:lang w:val="en-US" w:eastAsia="zh-CN"/>
              </w:rPr>
            </w:pPr>
            <w:r>
              <w:rPr>
                <w:rFonts w:hint="eastAsia" w:ascii="Times New Roman"/>
                <w:snapToGrid w:val="0"/>
                <w:kern w:val="21"/>
                <w:lang w:val="en-US" w:eastAsia="zh-CN"/>
              </w:rPr>
              <w:t>0.018t/a</w:t>
            </w:r>
          </w:p>
        </w:tc>
        <w:tc>
          <w:tcPr>
            <w:tcW w:w="1275" w:type="dxa"/>
            <w:vAlign w:val="center"/>
          </w:tcPr>
          <w:p>
            <w:pPr>
              <w:pStyle w:val="53"/>
              <w:spacing w:beforeLines="0" w:afterLines="0" w:line="240" w:lineRule="auto"/>
              <w:rPr>
                <w:rFonts w:ascii="Times New Roman"/>
                <w:snapToGrid w:val="0"/>
                <w:kern w:val="21"/>
              </w:rPr>
            </w:pPr>
            <w:r>
              <w:rPr>
                <w:rFonts w:hint="eastAsia" w:ascii="Times New Roman"/>
                <w:snapToGrid w:val="0"/>
                <w:kern w:val="21"/>
              </w:rPr>
              <w:t>/</w:t>
            </w:r>
          </w:p>
        </w:tc>
        <w:tc>
          <w:tcPr>
            <w:tcW w:w="1562" w:type="dxa"/>
            <w:vAlign w:val="center"/>
          </w:tcPr>
          <w:p>
            <w:pPr>
              <w:pStyle w:val="53"/>
              <w:spacing w:beforeLines="0" w:afterLines="0" w:line="240" w:lineRule="auto"/>
              <w:rPr>
                <w:rFonts w:ascii="Times New Roman"/>
                <w:snapToGrid w:val="0"/>
                <w:kern w:val="21"/>
              </w:rPr>
            </w:pPr>
            <w:r>
              <w:rPr>
                <w:rFonts w:hint="eastAsia" w:ascii="Times New Roman"/>
                <w:snapToGrid w:val="0"/>
                <w:kern w:val="21"/>
              </w:rPr>
              <w:t>/</w:t>
            </w:r>
          </w:p>
        </w:tc>
        <w:tc>
          <w:tcPr>
            <w:tcW w:w="1559" w:type="dxa"/>
            <w:vAlign w:val="center"/>
          </w:tcPr>
          <w:p>
            <w:pPr>
              <w:adjustRightInd w:val="0"/>
              <w:snapToGrid w:val="0"/>
              <w:jc w:val="center"/>
              <w:rPr>
                <w:color w:val="auto"/>
              </w:rPr>
            </w:pPr>
            <w:r>
              <w:rPr>
                <w:rFonts w:hint="eastAsia"/>
                <w:color w:val="auto"/>
              </w:rPr>
              <w:t>0.252</w:t>
            </w:r>
            <w:r>
              <w:rPr>
                <w:color w:val="auto"/>
              </w:rPr>
              <w:t>t/a</w:t>
            </w:r>
          </w:p>
        </w:tc>
        <w:tc>
          <w:tcPr>
            <w:tcW w:w="1621" w:type="dxa"/>
            <w:vAlign w:val="center"/>
          </w:tcPr>
          <w:p>
            <w:pPr>
              <w:pStyle w:val="53"/>
              <w:spacing w:beforeLines="0" w:afterLines="0" w:line="240" w:lineRule="auto"/>
              <w:rPr>
                <w:rFonts w:ascii="Times New Roman"/>
                <w:snapToGrid w:val="0"/>
                <w:kern w:val="21"/>
              </w:rPr>
            </w:pPr>
            <w:r>
              <w:rPr>
                <w:rFonts w:hint="eastAsia" w:ascii="Times New Roman"/>
                <w:snapToGrid w:val="0"/>
                <w:kern w:val="21"/>
                <w:lang w:val="en-US" w:eastAsia="zh-CN"/>
              </w:rPr>
              <w:t>0.018t/a</w:t>
            </w:r>
          </w:p>
        </w:tc>
        <w:tc>
          <w:tcPr>
            <w:tcW w:w="1695" w:type="dxa"/>
            <w:vAlign w:val="center"/>
          </w:tcPr>
          <w:p>
            <w:pPr>
              <w:adjustRightInd w:val="0"/>
              <w:snapToGrid w:val="0"/>
              <w:jc w:val="center"/>
              <w:rPr>
                <w:color w:val="auto"/>
              </w:rPr>
            </w:pPr>
            <w:r>
              <w:rPr>
                <w:rFonts w:hint="eastAsia"/>
                <w:color w:val="auto"/>
              </w:rPr>
              <w:t>0.252</w:t>
            </w:r>
            <w:r>
              <w:rPr>
                <w:color w:val="auto"/>
              </w:rPr>
              <w:t>t/a</w:t>
            </w:r>
          </w:p>
        </w:tc>
        <w:tc>
          <w:tcPr>
            <w:tcW w:w="1230" w:type="dxa"/>
            <w:vAlign w:val="center"/>
          </w:tcPr>
          <w:p>
            <w:pPr>
              <w:adjustRightInd w:val="0"/>
              <w:snapToGrid w:val="0"/>
              <w:jc w:val="center"/>
              <w:rPr>
                <w:color w:val="auto"/>
              </w:rPr>
            </w:pPr>
            <w:r>
              <w:rPr>
                <w:rFonts w:hint="eastAsia"/>
                <w:color w:val="auto"/>
                <w:lang w:val="en-US" w:eastAsia="zh-CN"/>
              </w:rPr>
              <w:t>+</w:t>
            </w:r>
            <w:r>
              <w:rPr>
                <w:rFonts w:hint="eastAsia"/>
                <w:color w:val="auto"/>
              </w:rPr>
              <w:t>0.252</w:t>
            </w:r>
            <w:r>
              <w:rPr>
                <w:color w:val="auto"/>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06" w:type="dxa"/>
            <w:vMerge w:val="continue"/>
            <w:vAlign w:val="center"/>
          </w:tcPr>
          <w:p>
            <w:pPr>
              <w:pStyle w:val="53"/>
              <w:spacing w:beforeLines="0" w:afterLines="0" w:line="240" w:lineRule="auto"/>
              <w:rPr>
                <w:rFonts w:ascii="Times New Roman"/>
                <w:snapToGrid w:val="0"/>
                <w:color w:val="000000"/>
                <w:kern w:val="21"/>
              </w:rPr>
            </w:pPr>
          </w:p>
        </w:tc>
        <w:tc>
          <w:tcPr>
            <w:tcW w:w="1935" w:type="dxa"/>
            <w:vAlign w:val="center"/>
          </w:tcPr>
          <w:p>
            <w:pPr>
              <w:pStyle w:val="53"/>
              <w:spacing w:beforeLines="0" w:afterLines="0" w:line="240" w:lineRule="auto"/>
              <w:rPr>
                <w:rFonts w:ascii="Times New Roman"/>
                <w:snapToGrid w:val="0"/>
                <w:kern w:val="21"/>
              </w:rPr>
            </w:pPr>
            <w:r>
              <w:rPr>
                <w:rFonts w:ascii="Times New Roman"/>
                <w:snapToGrid w:val="0"/>
                <w:kern w:val="21"/>
                <w:lang w:val="en-US" w:eastAsia="zh-CN"/>
              </w:rPr>
              <w:t>SS</w:t>
            </w:r>
          </w:p>
        </w:tc>
        <w:tc>
          <w:tcPr>
            <w:tcW w:w="1605" w:type="dxa"/>
            <w:vAlign w:val="center"/>
          </w:tcPr>
          <w:p>
            <w:pPr>
              <w:pStyle w:val="53"/>
              <w:spacing w:beforeLines="0" w:afterLines="0" w:line="240" w:lineRule="auto"/>
              <w:rPr>
                <w:rFonts w:hint="default" w:ascii="Times New Roman" w:eastAsia="宋体"/>
                <w:snapToGrid w:val="0"/>
                <w:kern w:val="21"/>
                <w:lang w:val="en-US" w:eastAsia="zh-CN"/>
              </w:rPr>
            </w:pPr>
            <w:r>
              <w:rPr>
                <w:rFonts w:hint="eastAsia" w:ascii="Times New Roman"/>
                <w:snapToGrid w:val="0"/>
                <w:kern w:val="21"/>
                <w:lang w:val="en-US" w:eastAsia="zh-CN"/>
              </w:rPr>
              <w:t>0.018t/a</w:t>
            </w:r>
          </w:p>
        </w:tc>
        <w:tc>
          <w:tcPr>
            <w:tcW w:w="1275" w:type="dxa"/>
            <w:vAlign w:val="center"/>
          </w:tcPr>
          <w:p>
            <w:pPr>
              <w:pStyle w:val="53"/>
              <w:spacing w:beforeLines="0" w:afterLines="0" w:line="240" w:lineRule="auto"/>
              <w:rPr>
                <w:rFonts w:ascii="Times New Roman"/>
                <w:snapToGrid w:val="0"/>
                <w:kern w:val="21"/>
              </w:rPr>
            </w:pPr>
            <w:r>
              <w:rPr>
                <w:rFonts w:hint="eastAsia" w:ascii="Times New Roman"/>
                <w:snapToGrid w:val="0"/>
                <w:kern w:val="21"/>
                <w:lang w:val="en-US" w:eastAsia="zh-CN"/>
              </w:rPr>
              <w:t>/</w:t>
            </w:r>
          </w:p>
        </w:tc>
        <w:tc>
          <w:tcPr>
            <w:tcW w:w="1562" w:type="dxa"/>
            <w:vAlign w:val="center"/>
          </w:tcPr>
          <w:p>
            <w:pPr>
              <w:pStyle w:val="53"/>
              <w:spacing w:beforeLines="0" w:afterLines="0" w:line="240" w:lineRule="auto"/>
              <w:rPr>
                <w:rFonts w:ascii="Times New Roman"/>
                <w:snapToGrid w:val="0"/>
                <w:kern w:val="21"/>
              </w:rPr>
            </w:pPr>
            <w:r>
              <w:rPr>
                <w:rFonts w:hint="eastAsia" w:ascii="Times New Roman"/>
                <w:snapToGrid w:val="0"/>
                <w:kern w:val="21"/>
                <w:lang w:val="en-US" w:eastAsia="zh-CN"/>
              </w:rPr>
              <w:t>/</w:t>
            </w:r>
          </w:p>
        </w:tc>
        <w:tc>
          <w:tcPr>
            <w:tcW w:w="1559" w:type="dxa"/>
            <w:vAlign w:val="center"/>
          </w:tcPr>
          <w:p>
            <w:pPr>
              <w:adjustRightInd w:val="0"/>
              <w:snapToGrid w:val="0"/>
              <w:jc w:val="center"/>
              <w:rPr>
                <w:color w:val="auto"/>
              </w:rPr>
            </w:pPr>
            <w:r>
              <w:rPr>
                <w:rFonts w:hint="eastAsia"/>
                <w:color w:val="auto"/>
              </w:rPr>
              <w:t>0.304</w:t>
            </w:r>
            <w:r>
              <w:rPr>
                <w:color w:val="auto"/>
              </w:rPr>
              <w:t>t/a</w:t>
            </w:r>
          </w:p>
        </w:tc>
        <w:tc>
          <w:tcPr>
            <w:tcW w:w="1621" w:type="dxa"/>
            <w:vAlign w:val="center"/>
          </w:tcPr>
          <w:p>
            <w:pPr>
              <w:pStyle w:val="53"/>
              <w:spacing w:beforeLines="0" w:afterLines="0" w:line="240" w:lineRule="auto"/>
              <w:rPr>
                <w:rFonts w:ascii="Times New Roman"/>
                <w:snapToGrid w:val="0"/>
                <w:kern w:val="21"/>
              </w:rPr>
            </w:pPr>
            <w:r>
              <w:rPr>
                <w:rFonts w:hint="eastAsia" w:ascii="Times New Roman"/>
                <w:snapToGrid w:val="0"/>
                <w:kern w:val="21"/>
                <w:lang w:val="en-US" w:eastAsia="zh-CN"/>
              </w:rPr>
              <w:t>0.018t/a</w:t>
            </w:r>
          </w:p>
        </w:tc>
        <w:tc>
          <w:tcPr>
            <w:tcW w:w="1695" w:type="dxa"/>
            <w:vAlign w:val="center"/>
          </w:tcPr>
          <w:p>
            <w:pPr>
              <w:adjustRightInd w:val="0"/>
              <w:snapToGrid w:val="0"/>
              <w:jc w:val="center"/>
              <w:rPr>
                <w:color w:val="auto"/>
              </w:rPr>
            </w:pPr>
            <w:r>
              <w:rPr>
                <w:rFonts w:hint="eastAsia"/>
                <w:color w:val="auto"/>
              </w:rPr>
              <w:t>0.304</w:t>
            </w:r>
            <w:r>
              <w:rPr>
                <w:color w:val="auto"/>
              </w:rPr>
              <w:t>t/a</w:t>
            </w:r>
          </w:p>
        </w:tc>
        <w:tc>
          <w:tcPr>
            <w:tcW w:w="1230" w:type="dxa"/>
            <w:vAlign w:val="center"/>
          </w:tcPr>
          <w:p>
            <w:pPr>
              <w:adjustRightInd w:val="0"/>
              <w:snapToGrid w:val="0"/>
              <w:jc w:val="center"/>
              <w:rPr>
                <w:color w:val="auto"/>
              </w:rPr>
            </w:pPr>
            <w:r>
              <w:rPr>
                <w:rFonts w:hint="eastAsia"/>
                <w:color w:val="auto"/>
                <w:lang w:val="en-US" w:eastAsia="zh-CN"/>
              </w:rPr>
              <w:t>+</w:t>
            </w:r>
            <w:r>
              <w:rPr>
                <w:rFonts w:hint="eastAsia"/>
                <w:color w:val="auto"/>
              </w:rPr>
              <w:t>0.304</w:t>
            </w:r>
            <w:r>
              <w:rPr>
                <w:color w:val="auto"/>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06" w:type="dxa"/>
            <w:vMerge w:val="continue"/>
            <w:vAlign w:val="center"/>
          </w:tcPr>
          <w:p>
            <w:pPr>
              <w:pStyle w:val="53"/>
              <w:spacing w:beforeLines="0" w:afterLines="0" w:line="240" w:lineRule="auto"/>
              <w:rPr>
                <w:rFonts w:ascii="Times New Roman"/>
                <w:snapToGrid w:val="0"/>
                <w:color w:val="000000"/>
                <w:kern w:val="21"/>
              </w:rPr>
            </w:pPr>
          </w:p>
        </w:tc>
        <w:tc>
          <w:tcPr>
            <w:tcW w:w="1935" w:type="dxa"/>
            <w:vAlign w:val="center"/>
          </w:tcPr>
          <w:p>
            <w:pPr>
              <w:pStyle w:val="53"/>
              <w:spacing w:beforeLines="0" w:afterLines="0" w:line="240" w:lineRule="auto"/>
              <w:rPr>
                <w:rFonts w:ascii="Times New Roman"/>
                <w:snapToGrid w:val="0"/>
                <w:kern w:val="21"/>
              </w:rPr>
            </w:pPr>
            <w:r>
              <w:rPr>
                <w:rFonts w:ascii="Times New Roman"/>
                <w:snapToGrid w:val="0"/>
                <w:kern w:val="21"/>
              </w:rPr>
              <w:t>氨氮</w:t>
            </w:r>
          </w:p>
        </w:tc>
        <w:tc>
          <w:tcPr>
            <w:tcW w:w="1605" w:type="dxa"/>
            <w:vAlign w:val="center"/>
          </w:tcPr>
          <w:p>
            <w:pPr>
              <w:pStyle w:val="53"/>
              <w:spacing w:beforeLines="0" w:afterLines="0" w:line="240" w:lineRule="auto"/>
              <w:rPr>
                <w:rFonts w:hint="default" w:ascii="Times New Roman" w:eastAsia="宋体"/>
                <w:snapToGrid w:val="0"/>
                <w:kern w:val="21"/>
                <w:lang w:val="en-US" w:eastAsia="zh-CN"/>
              </w:rPr>
            </w:pPr>
            <w:r>
              <w:rPr>
                <w:rFonts w:hint="eastAsia" w:ascii="Times New Roman"/>
                <w:snapToGrid w:val="0"/>
                <w:kern w:val="21"/>
                <w:lang w:val="en-US" w:eastAsia="zh-CN"/>
              </w:rPr>
              <w:t>0.009t/a</w:t>
            </w:r>
          </w:p>
        </w:tc>
        <w:tc>
          <w:tcPr>
            <w:tcW w:w="1275" w:type="dxa"/>
            <w:vAlign w:val="center"/>
          </w:tcPr>
          <w:p>
            <w:pPr>
              <w:pStyle w:val="53"/>
              <w:spacing w:beforeLines="0" w:afterLines="0" w:line="240" w:lineRule="auto"/>
              <w:rPr>
                <w:rFonts w:ascii="Times New Roman"/>
                <w:snapToGrid w:val="0"/>
                <w:kern w:val="21"/>
              </w:rPr>
            </w:pPr>
            <w:r>
              <w:rPr>
                <w:rFonts w:hint="eastAsia" w:ascii="Times New Roman"/>
                <w:snapToGrid w:val="0"/>
                <w:kern w:val="21"/>
              </w:rPr>
              <w:t>/</w:t>
            </w:r>
          </w:p>
        </w:tc>
        <w:tc>
          <w:tcPr>
            <w:tcW w:w="1562" w:type="dxa"/>
            <w:vAlign w:val="center"/>
          </w:tcPr>
          <w:p>
            <w:pPr>
              <w:pStyle w:val="53"/>
              <w:spacing w:beforeLines="0" w:afterLines="0" w:line="240" w:lineRule="auto"/>
              <w:rPr>
                <w:rFonts w:ascii="Times New Roman"/>
                <w:snapToGrid w:val="0"/>
                <w:kern w:val="21"/>
              </w:rPr>
            </w:pPr>
            <w:r>
              <w:rPr>
                <w:rFonts w:hint="eastAsia" w:ascii="Times New Roman"/>
                <w:snapToGrid w:val="0"/>
                <w:kern w:val="21"/>
              </w:rPr>
              <w:t>/</w:t>
            </w:r>
          </w:p>
        </w:tc>
        <w:tc>
          <w:tcPr>
            <w:tcW w:w="1559" w:type="dxa"/>
            <w:vAlign w:val="center"/>
          </w:tcPr>
          <w:p>
            <w:pPr>
              <w:adjustRightInd w:val="0"/>
              <w:snapToGrid w:val="0"/>
              <w:jc w:val="center"/>
              <w:rPr>
                <w:color w:val="auto"/>
              </w:rPr>
            </w:pPr>
            <w:r>
              <w:rPr>
                <w:rFonts w:hint="eastAsia"/>
                <w:color w:val="auto"/>
              </w:rPr>
              <w:t>0.058</w:t>
            </w:r>
            <w:r>
              <w:rPr>
                <w:color w:val="auto"/>
              </w:rPr>
              <w:t>t/a</w:t>
            </w:r>
          </w:p>
        </w:tc>
        <w:tc>
          <w:tcPr>
            <w:tcW w:w="1621" w:type="dxa"/>
            <w:vAlign w:val="center"/>
          </w:tcPr>
          <w:p>
            <w:pPr>
              <w:pStyle w:val="53"/>
              <w:spacing w:beforeLines="0" w:afterLines="0" w:line="240" w:lineRule="auto"/>
              <w:rPr>
                <w:rFonts w:ascii="Times New Roman"/>
                <w:snapToGrid w:val="0"/>
                <w:kern w:val="21"/>
              </w:rPr>
            </w:pPr>
            <w:r>
              <w:rPr>
                <w:rFonts w:hint="eastAsia" w:ascii="Times New Roman"/>
                <w:snapToGrid w:val="0"/>
                <w:kern w:val="21"/>
                <w:lang w:val="en-US" w:eastAsia="zh-CN"/>
              </w:rPr>
              <w:t>0.009t/a</w:t>
            </w:r>
          </w:p>
        </w:tc>
        <w:tc>
          <w:tcPr>
            <w:tcW w:w="1695" w:type="dxa"/>
            <w:vAlign w:val="center"/>
          </w:tcPr>
          <w:p>
            <w:pPr>
              <w:adjustRightInd w:val="0"/>
              <w:snapToGrid w:val="0"/>
              <w:jc w:val="center"/>
              <w:rPr>
                <w:color w:val="auto"/>
              </w:rPr>
            </w:pPr>
            <w:r>
              <w:rPr>
                <w:rFonts w:hint="eastAsia"/>
                <w:color w:val="auto"/>
              </w:rPr>
              <w:t>0.058</w:t>
            </w:r>
            <w:r>
              <w:rPr>
                <w:color w:val="auto"/>
              </w:rPr>
              <w:t>t/a</w:t>
            </w:r>
          </w:p>
        </w:tc>
        <w:tc>
          <w:tcPr>
            <w:tcW w:w="1230" w:type="dxa"/>
            <w:vAlign w:val="center"/>
          </w:tcPr>
          <w:p>
            <w:pPr>
              <w:adjustRightInd w:val="0"/>
              <w:snapToGrid w:val="0"/>
              <w:jc w:val="center"/>
              <w:rPr>
                <w:color w:val="auto"/>
              </w:rPr>
            </w:pPr>
            <w:r>
              <w:rPr>
                <w:rFonts w:hint="eastAsia"/>
                <w:color w:val="auto"/>
                <w:lang w:val="en-US" w:eastAsia="zh-CN"/>
              </w:rPr>
              <w:t>+</w:t>
            </w:r>
            <w:r>
              <w:rPr>
                <w:rFonts w:hint="eastAsia"/>
                <w:color w:val="auto"/>
              </w:rPr>
              <w:t>0.058</w:t>
            </w:r>
            <w:r>
              <w:rPr>
                <w:color w:val="auto"/>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1306" w:type="dxa"/>
            <w:vMerge w:val="continue"/>
            <w:vAlign w:val="center"/>
          </w:tcPr>
          <w:p>
            <w:pPr>
              <w:pStyle w:val="53"/>
              <w:spacing w:beforeLines="0" w:afterLines="0" w:line="240" w:lineRule="auto"/>
              <w:rPr>
                <w:rFonts w:ascii="Times New Roman"/>
                <w:snapToGrid w:val="0"/>
                <w:color w:val="000000"/>
                <w:kern w:val="21"/>
              </w:rPr>
            </w:pPr>
          </w:p>
        </w:tc>
        <w:tc>
          <w:tcPr>
            <w:tcW w:w="1935" w:type="dxa"/>
            <w:vAlign w:val="center"/>
          </w:tcPr>
          <w:p>
            <w:pPr>
              <w:pStyle w:val="53"/>
              <w:spacing w:beforeLines="0" w:afterLines="0" w:line="240" w:lineRule="auto"/>
              <w:rPr>
                <w:rFonts w:ascii="Times New Roman"/>
                <w:snapToGrid w:val="0"/>
                <w:kern w:val="21"/>
              </w:rPr>
            </w:pPr>
            <w:r>
              <w:rPr>
                <w:rFonts w:hint="eastAsia" w:ascii="Times New Roman"/>
                <w:snapToGrid w:val="0"/>
                <w:kern w:val="21"/>
              </w:rPr>
              <w:t>动植物油</w:t>
            </w:r>
          </w:p>
        </w:tc>
        <w:tc>
          <w:tcPr>
            <w:tcW w:w="1605" w:type="dxa"/>
            <w:vAlign w:val="center"/>
          </w:tcPr>
          <w:p>
            <w:pPr>
              <w:pStyle w:val="53"/>
              <w:spacing w:beforeLines="0" w:afterLines="0" w:line="240" w:lineRule="auto"/>
              <w:rPr>
                <w:rFonts w:hint="default" w:ascii="Times New Roman" w:eastAsia="宋体"/>
                <w:snapToGrid w:val="0"/>
                <w:kern w:val="21"/>
                <w:lang w:val="en-US" w:eastAsia="zh-CN"/>
              </w:rPr>
            </w:pPr>
            <w:r>
              <w:rPr>
                <w:rFonts w:hint="eastAsia" w:ascii="Times New Roman"/>
                <w:snapToGrid w:val="0"/>
                <w:kern w:val="21"/>
                <w:lang w:val="en-US" w:eastAsia="zh-CN"/>
              </w:rPr>
              <w:t>0t/a</w:t>
            </w:r>
          </w:p>
        </w:tc>
        <w:tc>
          <w:tcPr>
            <w:tcW w:w="1275" w:type="dxa"/>
            <w:vAlign w:val="center"/>
          </w:tcPr>
          <w:p>
            <w:pPr>
              <w:pStyle w:val="53"/>
              <w:spacing w:beforeLines="0" w:afterLines="0" w:line="240" w:lineRule="auto"/>
              <w:rPr>
                <w:rFonts w:ascii="Times New Roman"/>
                <w:snapToGrid w:val="0"/>
                <w:kern w:val="21"/>
              </w:rPr>
            </w:pPr>
            <w:r>
              <w:rPr>
                <w:rFonts w:hint="eastAsia" w:ascii="Times New Roman"/>
                <w:snapToGrid w:val="0"/>
                <w:kern w:val="21"/>
              </w:rPr>
              <w:t>/</w:t>
            </w:r>
          </w:p>
        </w:tc>
        <w:tc>
          <w:tcPr>
            <w:tcW w:w="1562" w:type="dxa"/>
            <w:vAlign w:val="center"/>
          </w:tcPr>
          <w:p>
            <w:pPr>
              <w:pStyle w:val="53"/>
              <w:spacing w:beforeLines="0" w:afterLines="0" w:line="240" w:lineRule="auto"/>
              <w:rPr>
                <w:rFonts w:ascii="Times New Roman"/>
                <w:snapToGrid w:val="0"/>
                <w:kern w:val="21"/>
              </w:rPr>
            </w:pPr>
            <w:r>
              <w:rPr>
                <w:rFonts w:hint="eastAsia" w:ascii="Times New Roman"/>
                <w:snapToGrid w:val="0"/>
                <w:kern w:val="21"/>
              </w:rPr>
              <w:t>/</w:t>
            </w:r>
          </w:p>
        </w:tc>
        <w:tc>
          <w:tcPr>
            <w:tcW w:w="1559" w:type="dxa"/>
            <w:vAlign w:val="center"/>
          </w:tcPr>
          <w:p>
            <w:pPr>
              <w:adjustRightInd w:val="0"/>
              <w:snapToGrid w:val="0"/>
              <w:jc w:val="center"/>
              <w:rPr>
                <w:color w:val="auto"/>
              </w:rPr>
            </w:pPr>
            <w:r>
              <w:rPr>
                <w:rFonts w:hint="eastAsia"/>
                <w:color w:val="auto"/>
              </w:rPr>
              <w:t>0.008</w:t>
            </w:r>
            <w:r>
              <w:rPr>
                <w:color w:val="auto"/>
              </w:rPr>
              <w:t>t/a</w:t>
            </w:r>
          </w:p>
        </w:tc>
        <w:tc>
          <w:tcPr>
            <w:tcW w:w="1621" w:type="dxa"/>
            <w:vAlign w:val="center"/>
          </w:tcPr>
          <w:p>
            <w:pPr>
              <w:pStyle w:val="53"/>
              <w:spacing w:beforeLines="0" w:afterLines="0" w:line="240" w:lineRule="auto"/>
              <w:rPr>
                <w:rFonts w:ascii="Times New Roman"/>
                <w:snapToGrid w:val="0"/>
                <w:kern w:val="21"/>
              </w:rPr>
            </w:pPr>
            <w:r>
              <w:rPr>
                <w:rFonts w:hint="eastAsia" w:ascii="Times New Roman"/>
                <w:snapToGrid w:val="0"/>
                <w:kern w:val="21"/>
                <w:lang w:val="en-US" w:eastAsia="zh-CN"/>
              </w:rPr>
              <w:t>0t/a</w:t>
            </w:r>
          </w:p>
        </w:tc>
        <w:tc>
          <w:tcPr>
            <w:tcW w:w="1695" w:type="dxa"/>
            <w:vAlign w:val="center"/>
          </w:tcPr>
          <w:p>
            <w:pPr>
              <w:adjustRightInd w:val="0"/>
              <w:snapToGrid w:val="0"/>
              <w:jc w:val="center"/>
              <w:rPr>
                <w:color w:val="auto"/>
              </w:rPr>
            </w:pPr>
            <w:r>
              <w:rPr>
                <w:rFonts w:hint="eastAsia"/>
                <w:color w:val="auto"/>
              </w:rPr>
              <w:t>0.008</w:t>
            </w:r>
            <w:r>
              <w:rPr>
                <w:color w:val="auto"/>
              </w:rPr>
              <w:t>t/a</w:t>
            </w:r>
          </w:p>
        </w:tc>
        <w:tc>
          <w:tcPr>
            <w:tcW w:w="1230" w:type="dxa"/>
            <w:vAlign w:val="center"/>
          </w:tcPr>
          <w:p>
            <w:pPr>
              <w:adjustRightInd w:val="0"/>
              <w:snapToGrid w:val="0"/>
              <w:jc w:val="center"/>
              <w:rPr>
                <w:color w:val="auto"/>
              </w:rPr>
            </w:pPr>
            <w:r>
              <w:rPr>
                <w:rFonts w:hint="eastAsia"/>
                <w:color w:val="auto"/>
                <w:lang w:val="en-US" w:eastAsia="zh-CN"/>
              </w:rPr>
              <w:t>+</w:t>
            </w:r>
            <w:r>
              <w:rPr>
                <w:rFonts w:hint="eastAsia"/>
                <w:color w:val="auto"/>
              </w:rPr>
              <w:t>0.008</w:t>
            </w:r>
            <w:r>
              <w:rPr>
                <w:color w:val="auto"/>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06" w:type="dxa"/>
            <w:vMerge w:val="restart"/>
            <w:vAlign w:val="center"/>
          </w:tcPr>
          <w:p>
            <w:pPr>
              <w:pStyle w:val="53"/>
              <w:spacing w:beforeLines="0" w:afterLines="0" w:line="240" w:lineRule="auto"/>
              <w:rPr>
                <w:rFonts w:ascii="Times New Roman"/>
                <w:snapToGrid w:val="0"/>
                <w:color w:val="000000"/>
                <w:kern w:val="21"/>
              </w:rPr>
            </w:pPr>
            <w:r>
              <w:rPr>
                <w:rFonts w:ascii="Times New Roman"/>
                <w:snapToGrid w:val="0"/>
                <w:color w:val="000000"/>
                <w:kern w:val="21"/>
              </w:rPr>
              <w:t>一般工业</w:t>
            </w:r>
          </w:p>
          <w:p>
            <w:pPr>
              <w:pStyle w:val="53"/>
              <w:spacing w:beforeLines="0" w:afterLines="0" w:line="240" w:lineRule="auto"/>
              <w:rPr>
                <w:rFonts w:ascii="Times New Roman"/>
                <w:snapToGrid w:val="0"/>
                <w:color w:val="000000"/>
                <w:kern w:val="21"/>
              </w:rPr>
            </w:pPr>
            <w:r>
              <w:rPr>
                <w:rFonts w:ascii="Times New Roman"/>
                <w:snapToGrid w:val="0"/>
                <w:color w:val="000000"/>
                <w:kern w:val="21"/>
              </w:rPr>
              <w:t>固体废物</w:t>
            </w:r>
          </w:p>
        </w:tc>
        <w:tc>
          <w:tcPr>
            <w:tcW w:w="1935" w:type="dxa"/>
            <w:vAlign w:val="center"/>
          </w:tcPr>
          <w:p>
            <w:pPr>
              <w:pStyle w:val="53"/>
              <w:spacing w:beforeLines="0" w:afterLines="0" w:line="240" w:lineRule="auto"/>
              <w:rPr>
                <w:rFonts w:ascii="Times New Roman"/>
                <w:snapToGrid w:val="0"/>
                <w:color w:val="000000"/>
                <w:kern w:val="21"/>
              </w:rPr>
            </w:pPr>
            <w:r>
              <w:rPr>
                <w:rFonts w:ascii="Times New Roman"/>
                <w:snapToGrid w:val="0"/>
                <w:color w:val="000000"/>
                <w:kern w:val="21"/>
              </w:rPr>
              <w:t>生活垃圾</w:t>
            </w:r>
          </w:p>
        </w:tc>
        <w:tc>
          <w:tcPr>
            <w:tcW w:w="1605" w:type="dxa"/>
            <w:vAlign w:val="center"/>
          </w:tcPr>
          <w:p>
            <w:pPr>
              <w:pStyle w:val="53"/>
              <w:spacing w:beforeLines="0" w:afterLines="0" w:line="240" w:lineRule="auto"/>
              <w:rPr>
                <w:rFonts w:hint="default" w:ascii="Times New Roman" w:eastAsia="宋体"/>
                <w:snapToGrid w:val="0"/>
                <w:kern w:val="21"/>
                <w:lang w:val="en-US" w:eastAsia="zh-CN"/>
              </w:rPr>
            </w:pPr>
            <w:r>
              <w:rPr>
                <w:rFonts w:hint="eastAsia" w:ascii="Times New Roman"/>
                <w:snapToGrid w:val="0"/>
                <w:kern w:val="21"/>
                <w:lang w:val="en-US" w:eastAsia="zh-CN"/>
              </w:rPr>
              <w:t>0t/a</w:t>
            </w:r>
          </w:p>
        </w:tc>
        <w:tc>
          <w:tcPr>
            <w:tcW w:w="1275" w:type="dxa"/>
            <w:vAlign w:val="center"/>
          </w:tcPr>
          <w:p>
            <w:pPr>
              <w:pStyle w:val="53"/>
              <w:spacing w:beforeLines="0" w:afterLines="0" w:line="240" w:lineRule="auto"/>
              <w:rPr>
                <w:rFonts w:ascii="Times New Roman"/>
                <w:snapToGrid w:val="0"/>
                <w:kern w:val="21"/>
              </w:rPr>
            </w:pPr>
            <w:r>
              <w:rPr>
                <w:rFonts w:hint="eastAsia" w:ascii="Times New Roman"/>
                <w:snapToGrid w:val="0"/>
                <w:kern w:val="21"/>
              </w:rPr>
              <w:t>/</w:t>
            </w:r>
          </w:p>
        </w:tc>
        <w:tc>
          <w:tcPr>
            <w:tcW w:w="1562" w:type="dxa"/>
            <w:vAlign w:val="center"/>
          </w:tcPr>
          <w:p>
            <w:pPr>
              <w:pStyle w:val="53"/>
              <w:spacing w:beforeLines="0" w:afterLines="0" w:line="240" w:lineRule="auto"/>
              <w:rPr>
                <w:rFonts w:ascii="Times New Roman"/>
                <w:snapToGrid w:val="0"/>
                <w:kern w:val="21"/>
              </w:rPr>
            </w:pPr>
            <w:r>
              <w:rPr>
                <w:rFonts w:hint="eastAsia" w:ascii="Times New Roman"/>
                <w:snapToGrid w:val="0"/>
                <w:kern w:val="21"/>
              </w:rPr>
              <w:t>/</w:t>
            </w:r>
          </w:p>
        </w:tc>
        <w:tc>
          <w:tcPr>
            <w:tcW w:w="1559" w:type="dxa"/>
            <w:vAlign w:val="center"/>
          </w:tcPr>
          <w:p>
            <w:pPr>
              <w:autoSpaceDE w:val="0"/>
              <w:autoSpaceDN w:val="0"/>
              <w:adjustRightInd w:val="0"/>
              <w:jc w:val="center"/>
              <w:rPr>
                <w:color w:val="auto"/>
              </w:rPr>
            </w:pPr>
            <w:r>
              <w:rPr>
                <w:rFonts w:hint="eastAsia"/>
                <w:color w:val="auto"/>
              </w:rPr>
              <w:t>6</w:t>
            </w:r>
            <w:r>
              <w:rPr>
                <w:color w:val="auto"/>
              </w:rPr>
              <w:t>t/a</w:t>
            </w:r>
          </w:p>
        </w:tc>
        <w:tc>
          <w:tcPr>
            <w:tcW w:w="1621" w:type="dxa"/>
            <w:vAlign w:val="center"/>
          </w:tcPr>
          <w:p>
            <w:pPr>
              <w:pStyle w:val="53"/>
              <w:spacing w:beforeLines="0" w:afterLines="0" w:line="240" w:lineRule="auto"/>
              <w:rPr>
                <w:rFonts w:ascii="Times New Roman"/>
                <w:snapToGrid w:val="0"/>
                <w:kern w:val="21"/>
              </w:rPr>
            </w:pPr>
            <w:r>
              <w:rPr>
                <w:rFonts w:hint="eastAsia" w:ascii="Times New Roman"/>
                <w:snapToGrid w:val="0"/>
                <w:kern w:val="21"/>
                <w:lang w:val="en-US" w:eastAsia="zh-CN"/>
              </w:rPr>
              <w:t>0t/a</w:t>
            </w:r>
          </w:p>
        </w:tc>
        <w:tc>
          <w:tcPr>
            <w:tcW w:w="1695" w:type="dxa"/>
            <w:vAlign w:val="center"/>
          </w:tcPr>
          <w:p>
            <w:pPr>
              <w:autoSpaceDE w:val="0"/>
              <w:autoSpaceDN w:val="0"/>
              <w:adjustRightInd w:val="0"/>
              <w:jc w:val="center"/>
              <w:rPr>
                <w:color w:val="auto"/>
              </w:rPr>
            </w:pPr>
            <w:r>
              <w:rPr>
                <w:rFonts w:hint="eastAsia"/>
                <w:color w:val="auto"/>
              </w:rPr>
              <w:t>6</w:t>
            </w:r>
            <w:r>
              <w:rPr>
                <w:color w:val="auto"/>
              </w:rPr>
              <w:t>t/a</w:t>
            </w:r>
          </w:p>
        </w:tc>
        <w:tc>
          <w:tcPr>
            <w:tcW w:w="1230" w:type="dxa"/>
            <w:vAlign w:val="center"/>
          </w:tcPr>
          <w:p>
            <w:pPr>
              <w:autoSpaceDE w:val="0"/>
              <w:autoSpaceDN w:val="0"/>
              <w:adjustRightInd w:val="0"/>
              <w:jc w:val="center"/>
              <w:rPr>
                <w:color w:val="auto"/>
              </w:rPr>
            </w:pPr>
            <w:r>
              <w:rPr>
                <w:rFonts w:hint="eastAsia"/>
                <w:color w:val="auto"/>
                <w:lang w:val="en-US" w:eastAsia="zh-CN"/>
              </w:rPr>
              <w:t>+</w:t>
            </w:r>
            <w:r>
              <w:rPr>
                <w:rFonts w:hint="eastAsia"/>
                <w:color w:val="auto"/>
              </w:rPr>
              <w:t>6</w:t>
            </w:r>
            <w:r>
              <w:rPr>
                <w:color w:val="auto"/>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06" w:type="dxa"/>
            <w:vMerge w:val="continue"/>
            <w:vAlign w:val="center"/>
          </w:tcPr>
          <w:p>
            <w:pPr>
              <w:pStyle w:val="53"/>
              <w:spacing w:beforeLines="0" w:afterLines="0" w:line="240" w:lineRule="auto"/>
              <w:rPr>
                <w:rFonts w:ascii="Times New Roman"/>
                <w:snapToGrid w:val="0"/>
                <w:color w:val="000000"/>
                <w:kern w:val="21"/>
              </w:rPr>
            </w:pPr>
          </w:p>
        </w:tc>
        <w:tc>
          <w:tcPr>
            <w:tcW w:w="1935" w:type="dxa"/>
            <w:vAlign w:val="center"/>
          </w:tcPr>
          <w:p>
            <w:pPr>
              <w:pStyle w:val="53"/>
              <w:spacing w:beforeLines="0" w:afterLines="0" w:line="240" w:lineRule="auto"/>
              <w:rPr>
                <w:rFonts w:ascii="Times New Roman"/>
                <w:snapToGrid w:val="0"/>
                <w:color w:val="000000"/>
                <w:kern w:val="21"/>
              </w:rPr>
            </w:pPr>
            <w:r>
              <w:rPr>
                <w:rFonts w:hint="eastAsia" w:ascii="Times New Roman"/>
                <w:snapToGrid w:val="0"/>
                <w:color w:val="000000"/>
                <w:kern w:val="21"/>
              </w:rPr>
              <w:t>初清筛杂质</w:t>
            </w:r>
          </w:p>
        </w:tc>
        <w:tc>
          <w:tcPr>
            <w:tcW w:w="1605" w:type="dxa"/>
            <w:vAlign w:val="center"/>
          </w:tcPr>
          <w:p>
            <w:pPr>
              <w:pStyle w:val="53"/>
              <w:spacing w:beforeLines="0" w:afterLines="0" w:line="240" w:lineRule="auto"/>
              <w:rPr>
                <w:rFonts w:hint="default" w:ascii="Times New Roman" w:eastAsia="宋体"/>
                <w:lang w:val="en-US" w:eastAsia="zh-CN"/>
              </w:rPr>
            </w:pPr>
            <w:r>
              <w:rPr>
                <w:rFonts w:hint="eastAsia" w:ascii="Times New Roman"/>
                <w:lang w:val="en-US" w:eastAsia="zh-CN"/>
              </w:rPr>
              <w:t>0</w:t>
            </w:r>
            <w:r>
              <w:rPr>
                <w:rFonts w:hint="eastAsia" w:ascii="Times New Roman"/>
                <w:snapToGrid w:val="0"/>
                <w:kern w:val="21"/>
                <w:lang w:val="en-US" w:eastAsia="zh-CN"/>
              </w:rPr>
              <w:t>t/a</w:t>
            </w:r>
          </w:p>
        </w:tc>
        <w:tc>
          <w:tcPr>
            <w:tcW w:w="1275" w:type="dxa"/>
            <w:vAlign w:val="center"/>
          </w:tcPr>
          <w:p>
            <w:pPr>
              <w:pStyle w:val="53"/>
              <w:spacing w:beforeLines="0" w:afterLines="0" w:line="240" w:lineRule="auto"/>
              <w:rPr>
                <w:rFonts w:ascii="Times New Roman"/>
                <w:snapToGrid w:val="0"/>
                <w:kern w:val="21"/>
              </w:rPr>
            </w:pPr>
            <w:r>
              <w:rPr>
                <w:rFonts w:hint="eastAsia" w:ascii="Times New Roman"/>
                <w:snapToGrid w:val="0"/>
                <w:kern w:val="21"/>
              </w:rPr>
              <w:t>/</w:t>
            </w:r>
          </w:p>
        </w:tc>
        <w:tc>
          <w:tcPr>
            <w:tcW w:w="1562" w:type="dxa"/>
            <w:vAlign w:val="center"/>
          </w:tcPr>
          <w:p>
            <w:pPr>
              <w:pStyle w:val="53"/>
              <w:spacing w:beforeLines="0" w:afterLines="0" w:line="240" w:lineRule="auto"/>
              <w:rPr>
                <w:rFonts w:ascii="Times New Roman"/>
                <w:snapToGrid w:val="0"/>
                <w:kern w:val="21"/>
              </w:rPr>
            </w:pPr>
            <w:r>
              <w:rPr>
                <w:rFonts w:hint="eastAsia" w:ascii="Times New Roman"/>
                <w:snapToGrid w:val="0"/>
                <w:kern w:val="21"/>
              </w:rPr>
              <w:t>/</w:t>
            </w:r>
          </w:p>
        </w:tc>
        <w:tc>
          <w:tcPr>
            <w:tcW w:w="1559" w:type="dxa"/>
            <w:vAlign w:val="center"/>
          </w:tcPr>
          <w:p>
            <w:pPr>
              <w:autoSpaceDE w:val="0"/>
              <w:autoSpaceDN w:val="0"/>
              <w:adjustRightInd w:val="0"/>
              <w:jc w:val="center"/>
              <w:rPr>
                <w:color w:val="auto"/>
              </w:rPr>
            </w:pPr>
            <w:r>
              <w:rPr>
                <w:rFonts w:hint="eastAsia"/>
                <w:color w:val="auto"/>
              </w:rPr>
              <w:t>17.64</w:t>
            </w:r>
            <w:r>
              <w:rPr>
                <w:color w:val="auto"/>
              </w:rPr>
              <w:t>t/a</w:t>
            </w:r>
          </w:p>
        </w:tc>
        <w:tc>
          <w:tcPr>
            <w:tcW w:w="1621" w:type="dxa"/>
            <w:vAlign w:val="center"/>
          </w:tcPr>
          <w:p>
            <w:pPr>
              <w:pStyle w:val="53"/>
              <w:spacing w:beforeLines="0" w:afterLines="0" w:line="240" w:lineRule="auto"/>
              <w:rPr>
                <w:rFonts w:ascii="Times New Roman"/>
                <w:snapToGrid w:val="0"/>
                <w:kern w:val="21"/>
              </w:rPr>
            </w:pPr>
            <w:r>
              <w:rPr>
                <w:rFonts w:hint="eastAsia" w:ascii="Times New Roman"/>
                <w:lang w:val="en-US" w:eastAsia="zh-CN"/>
              </w:rPr>
              <w:t>0</w:t>
            </w:r>
            <w:r>
              <w:rPr>
                <w:rFonts w:hint="eastAsia" w:ascii="Times New Roman"/>
                <w:snapToGrid w:val="0"/>
                <w:kern w:val="21"/>
                <w:lang w:val="en-US" w:eastAsia="zh-CN"/>
              </w:rPr>
              <w:t>t/a</w:t>
            </w:r>
          </w:p>
        </w:tc>
        <w:tc>
          <w:tcPr>
            <w:tcW w:w="1695" w:type="dxa"/>
            <w:vAlign w:val="center"/>
          </w:tcPr>
          <w:p>
            <w:pPr>
              <w:autoSpaceDE w:val="0"/>
              <w:autoSpaceDN w:val="0"/>
              <w:adjustRightInd w:val="0"/>
              <w:jc w:val="center"/>
              <w:rPr>
                <w:color w:val="auto"/>
              </w:rPr>
            </w:pPr>
            <w:r>
              <w:rPr>
                <w:rFonts w:hint="eastAsia"/>
                <w:color w:val="auto"/>
              </w:rPr>
              <w:t>17.64</w:t>
            </w:r>
            <w:r>
              <w:rPr>
                <w:color w:val="auto"/>
              </w:rPr>
              <w:t>t/a</w:t>
            </w:r>
          </w:p>
        </w:tc>
        <w:tc>
          <w:tcPr>
            <w:tcW w:w="1230" w:type="dxa"/>
            <w:vAlign w:val="center"/>
          </w:tcPr>
          <w:p>
            <w:pPr>
              <w:autoSpaceDE w:val="0"/>
              <w:autoSpaceDN w:val="0"/>
              <w:adjustRightInd w:val="0"/>
              <w:jc w:val="center"/>
              <w:rPr>
                <w:color w:val="auto"/>
              </w:rPr>
            </w:pPr>
            <w:r>
              <w:rPr>
                <w:rFonts w:hint="eastAsia"/>
                <w:color w:val="auto"/>
                <w:lang w:val="en-US" w:eastAsia="zh-CN"/>
              </w:rPr>
              <w:t>+</w:t>
            </w:r>
            <w:r>
              <w:rPr>
                <w:rFonts w:hint="eastAsia"/>
                <w:color w:val="auto"/>
              </w:rPr>
              <w:t>17.64</w:t>
            </w:r>
            <w:r>
              <w:rPr>
                <w:color w:val="auto"/>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06" w:type="dxa"/>
            <w:vMerge w:val="continue"/>
            <w:vAlign w:val="center"/>
          </w:tcPr>
          <w:p>
            <w:pPr>
              <w:pStyle w:val="53"/>
              <w:spacing w:beforeLines="0" w:afterLines="0" w:line="240" w:lineRule="auto"/>
              <w:rPr>
                <w:rFonts w:ascii="Times New Roman"/>
                <w:snapToGrid w:val="0"/>
                <w:color w:val="000000"/>
                <w:kern w:val="21"/>
              </w:rPr>
            </w:pPr>
          </w:p>
        </w:tc>
        <w:tc>
          <w:tcPr>
            <w:tcW w:w="1935" w:type="dxa"/>
            <w:vAlign w:val="center"/>
          </w:tcPr>
          <w:p>
            <w:pPr>
              <w:pStyle w:val="53"/>
              <w:spacing w:beforeLines="0" w:afterLines="0" w:line="240" w:lineRule="auto"/>
              <w:rPr>
                <w:rFonts w:ascii="Times New Roman"/>
                <w:snapToGrid w:val="0"/>
                <w:color w:val="000000"/>
                <w:kern w:val="21"/>
              </w:rPr>
            </w:pPr>
            <w:r>
              <w:rPr>
                <w:rFonts w:hint="eastAsia" w:ascii="Times New Roman"/>
                <w:snapToGrid w:val="0"/>
                <w:color w:val="000000"/>
                <w:kern w:val="21"/>
              </w:rPr>
              <w:t>废包装袋</w:t>
            </w:r>
          </w:p>
        </w:tc>
        <w:tc>
          <w:tcPr>
            <w:tcW w:w="1605" w:type="dxa"/>
            <w:vAlign w:val="center"/>
          </w:tcPr>
          <w:p>
            <w:pPr>
              <w:pStyle w:val="53"/>
              <w:spacing w:beforeLines="0" w:afterLines="0" w:line="240" w:lineRule="auto"/>
              <w:rPr>
                <w:rFonts w:hint="default" w:ascii="Times New Roman" w:eastAsia="宋体"/>
                <w:snapToGrid w:val="0"/>
                <w:kern w:val="21"/>
                <w:lang w:val="en-US" w:eastAsia="zh-CN"/>
              </w:rPr>
            </w:pPr>
            <w:r>
              <w:rPr>
                <w:rFonts w:hint="eastAsia" w:ascii="Times New Roman"/>
                <w:snapToGrid w:val="0"/>
                <w:kern w:val="21"/>
                <w:lang w:val="en-US" w:eastAsia="zh-CN"/>
              </w:rPr>
              <w:t>0t/a</w:t>
            </w:r>
          </w:p>
        </w:tc>
        <w:tc>
          <w:tcPr>
            <w:tcW w:w="1275" w:type="dxa"/>
            <w:vAlign w:val="center"/>
          </w:tcPr>
          <w:p>
            <w:pPr>
              <w:pStyle w:val="53"/>
              <w:spacing w:beforeLines="0" w:afterLines="0" w:line="240" w:lineRule="auto"/>
              <w:rPr>
                <w:rFonts w:ascii="Times New Roman"/>
                <w:snapToGrid w:val="0"/>
                <w:kern w:val="21"/>
              </w:rPr>
            </w:pPr>
            <w:r>
              <w:rPr>
                <w:rFonts w:hint="eastAsia" w:ascii="Times New Roman"/>
                <w:snapToGrid w:val="0"/>
                <w:kern w:val="21"/>
              </w:rPr>
              <w:t>/</w:t>
            </w:r>
          </w:p>
        </w:tc>
        <w:tc>
          <w:tcPr>
            <w:tcW w:w="1562" w:type="dxa"/>
            <w:vAlign w:val="center"/>
          </w:tcPr>
          <w:p>
            <w:pPr>
              <w:pStyle w:val="53"/>
              <w:spacing w:beforeLines="0" w:afterLines="0" w:line="240" w:lineRule="auto"/>
              <w:rPr>
                <w:rFonts w:ascii="Times New Roman"/>
                <w:snapToGrid w:val="0"/>
                <w:kern w:val="21"/>
              </w:rPr>
            </w:pPr>
            <w:r>
              <w:rPr>
                <w:rFonts w:hint="eastAsia" w:ascii="Times New Roman"/>
                <w:snapToGrid w:val="0"/>
                <w:kern w:val="21"/>
              </w:rPr>
              <w:t>/</w:t>
            </w:r>
          </w:p>
        </w:tc>
        <w:tc>
          <w:tcPr>
            <w:tcW w:w="1559" w:type="dxa"/>
            <w:vAlign w:val="center"/>
          </w:tcPr>
          <w:p>
            <w:pPr>
              <w:autoSpaceDE w:val="0"/>
              <w:autoSpaceDN w:val="0"/>
              <w:adjustRightInd w:val="0"/>
              <w:jc w:val="center"/>
              <w:rPr>
                <w:color w:val="auto"/>
              </w:rPr>
            </w:pPr>
            <w:r>
              <w:rPr>
                <w:rFonts w:hint="eastAsia"/>
                <w:color w:val="auto"/>
              </w:rPr>
              <w:t>15</w:t>
            </w:r>
            <w:r>
              <w:rPr>
                <w:color w:val="auto"/>
              </w:rPr>
              <w:t>t/a</w:t>
            </w:r>
          </w:p>
        </w:tc>
        <w:tc>
          <w:tcPr>
            <w:tcW w:w="1621" w:type="dxa"/>
            <w:vAlign w:val="center"/>
          </w:tcPr>
          <w:p>
            <w:pPr>
              <w:pStyle w:val="53"/>
              <w:spacing w:beforeLines="0" w:afterLines="0" w:line="240" w:lineRule="auto"/>
              <w:rPr>
                <w:rFonts w:ascii="Times New Roman"/>
                <w:snapToGrid w:val="0"/>
                <w:kern w:val="21"/>
              </w:rPr>
            </w:pPr>
            <w:r>
              <w:rPr>
                <w:rFonts w:hint="eastAsia" w:ascii="Times New Roman"/>
                <w:snapToGrid w:val="0"/>
                <w:kern w:val="21"/>
                <w:lang w:val="en-US" w:eastAsia="zh-CN"/>
              </w:rPr>
              <w:t>0t/a</w:t>
            </w:r>
          </w:p>
        </w:tc>
        <w:tc>
          <w:tcPr>
            <w:tcW w:w="1695" w:type="dxa"/>
            <w:vAlign w:val="center"/>
          </w:tcPr>
          <w:p>
            <w:pPr>
              <w:autoSpaceDE w:val="0"/>
              <w:autoSpaceDN w:val="0"/>
              <w:adjustRightInd w:val="0"/>
              <w:jc w:val="center"/>
              <w:rPr>
                <w:color w:val="auto"/>
              </w:rPr>
            </w:pPr>
            <w:r>
              <w:rPr>
                <w:rFonts w:hint="eastAsia"/>
                <w:color w:val="auto"/>
              </w:rPr>
              <w:t>15</w:t>
            </w:r>
            <w:r>
              <w:rPr>
                <w:color w:val="auto"/>
              </w:rPr>
              <w:t>t/a</w:t>
            </w:r>
          </w:p>
        </w:tc>
        <w:tc>
          <w:tcPr>
            <w:tcW w:w="1230" w:type="dxa"/>
            <w:vAlign w:val="center"/>
          </w:tcPr>
          <w:p>
            <w:pPr>
              <w:autoSpaceDE w:val="0"/>
              <w:autoSpaceDN w:val="0"/>
              <w:adjustRightInd w:val="0"/>
              <w:jc w:val="center"/>
              <w:rPr>
                <w:color w:val="auto"/>
              </w:rPr>
            </w:pPr>
            <w:r>
              <w:rPr>
                <w:rFonts w:hint="eastAsia"/>
                <w:color w:val="auto"/>
                <w:lang w:val="en-US" w:eastAsia="zh-CN"/>
              </w:rPr>
              <w:t>+</w:t>
            </w:r>
            <w:r>
              <w:rPr>
                <w:rFonts w:hint="eastAsia"/>
                <w:color w:val="auto"/>
              </w:rPr>
              <w:t>15</w:t>
            </w:r>
            <w:r>
              <w:rPr>
                <w:color w:val="auto"/>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06" w:type="dxa"/>
            <w:vMerge w:val="continue"/>
            <w:vAlign w:val="center"/>
          </w:tcPr>
          <w:p>
            <w:pPr>
              <w:pStyle w:val="53"/>
              <w:spacing w:beforeLines="0" w:afterLines="0" w:line="240" w:lineRule="auto"/>
              <w:rPr>
                <w:rFonts w:ascii="Times New Roman"/>
                <w:snapToGrid w:val="0"/>
                <w:color w:val="000000"/>
                <w:kern w:val="21"/>
              </w:rPr>
            </w:pPr>
          </w:p>
        </w:tc>
        <w:tc>
          <w:tcPr>
            <w:tcW w:w="1935" w:type="dxa"/>
            <w:vAlign w:val="center"/>
          </w:tcPr>
          <w:p>
            <w:pPr>
              <w:pStyle w:val="53"/>
              <w:spacing w:beforeLines="0" w:afterLines="0" w:line="240" w:lineRule="auto"/>
              <w:rPr>
                <w:rFonts w:ascii="Times New Roman"/>
                <w:snapToGrid w:val="0"/>
                <w:color w:val="000000"/>
                <w:kern w:val="21"/>
              </w:rPr>
            </w:pPr>
            <w:r>
              <w:rPr>
                <w:rFonts w:hint="eastAsia" w:ascii="Times New Roman"/>
                <w:snapToGrid w:val="0"/>
                <w:color w:val="000000"/>
                <w:kern w:val="21"/>
              </w:rPr>
              <w:t>磁选杂质</w:t>
            </w:r>
          </w:p>
        </w:tc>
        <w:tc>
          <w:tcPr>
            <w:tcW w:w="1605" w:type="dxa"/>
            <w:vAlign w:val="center"/>
          </w:tcPr>
          <w:p>
            <w:pPr>
              <w:pStyle w:val="53"/>
              <w:spacing w:beforeLines="0" w:afterLines="0" w:line="240" w:lineRule="auto"/>
              <w:rPr>
                <w:rFonts w:hint="default" w:ascii="Times New Roman" w:eastAsia="宋体"/>
                <w:snapToGrid w:val="0"/>
                <w:kern w:val="21"/>
                <w:lang w:val="en-US" w:eastAsia="zh-CN"/>
              </w:rPr>
            </w:pPr>
            <w:r>
              <w:rPr>
                <w:rFonts w:hint="eastAsia" w:ascii="Times New Roman"/>
                <w:snapToGrid w:val="0"/>
                <w:kern w:val="21"/>
                <w:lang w:val="en-US" w:eastAsia="zh-CN"/>
              </w:rPr>
              <w:t>0t/a</w:t>
            </w:r>
          </w:p>
        </w:tc>
        <w:tc>
          <w:tcPr>
            <w:tcW w:w="1275" w:type="dxa"/>
            <w:vAlign w:val="center"/>
          </w:tcPr>
          <w:p>
            <w:pPr>
              <w:pStyle w:val="53"/>
              <w:spacing w:beforeLines="0" w:afterLines="0" w:line="240" w:lineRule="auto"/>
              <w:rPr>
                <w:rFonts w:ascii="Times New Roman"/>
                <w:snapToGrid w:val="0"/>
                <w:kern w:val="21"/>
              </w:rPr>
            </w:pPr>
            <w:r>
              <w:rPr>
                <w:rFonts w:hint="eastAsia" w:ascii="Times New Roman"/>
                <w:snapToGrid w:val="0"/>
                <w:kern w:val="21"/>
              </w:rPr>
              <w:t>/</w:t>
            </w:r>
          </w:p>
        </w:tc>
        <w:tc>
          <w:tcPr>
            <w:tcW w:w="1562" w:type="dxa"/>
            <w:vAlign w:val="center"/>
          </w:tcPr>
          <w:p>
            <w:pPr>
              <w:pStyle w:val="53"/>
              <w:spacing w:beforeLines="0" w:afterLines="0" w:line="240" w:lineRule="auto"/>
              <w:rPr>
                <w:rFonts w:ascii="Times New Roman"/>
                <w:snapToGrid w:val="0"/>
                <w:kern w:val="21"/>
              </w:rPr>
            </w:pPr>
            <w:r>
              <w:rPr>
                <w:rFonts w:hint="eastAsia" w:ascii="Times New Roman"/>
                <w:snapToGrid w:val="0"/>
                <w:kern w:val="21"/>
              </w:rPr>
              <w:t>/</w:t>
            </w:r>
          </w:p>
        </w:tc>
        <w:tc>
          <w:tcPr>
            <w:tcW w:w="1559" w:type="dxa"/>
            <w:vAlign w:val="center"/>
          </w:tcPr>
          <w:p>
            <w:pPr>
              <w:autoSpaceDE w:val="0"/>
              <w:autoSpaceDN w:val="0"/>
              <w:adjustRightInd w:val="0"/>
              <w:jc w:val="center"/>
              <w:rPr>
                <w:color w:val="auto"/>
              </w:rPr>
            </w:pPr>
            <w:r>
              <w:rPr>
                <w:rFonts w:hint="eastAsia"/>
                <w:color w:val="auto"/>
              </w:rPr>
              <w:t>8.82</w:t>
            </w:r>
            <w:r>
              <w:rPr>
                <w:color w:val="auto"/>
              </w:rPr>
              <w:t>t/a</w:t>
            </w:r>
          </w:p>
        </w:tc>
        <w:tc>
          <w:tcPr>
            <w:tcW w:w="1621" w:type="dxa"/>
            <w:vAlign w:val="center"/>
          </w:tcPr>
          <w:p>
            <w:pPr>
              <w:pStyle w:val="53"/>
              <w:spacing w:beforeLines="0" w:afterLines="0" w:line="240" w:lineRule="auto"/>
              <w:rPr>
                <w:rFonts w:ascii="Times New Roman"/>
                <w:snapToGrid w:val="0"/>
                <w:kern w:val="21"/>
              </w:rPr>
            </w:pPr>
            <w:r>
              <w:rPr>
                <w:rFonts w:hint="eastAsia" w:ascii="Times New Roman"/>
                <w:snapToGrid w:val="0"/>
                <w:kern w:val="21"/>
                <w:lang w:val="en-US" w:eastAsia="zh-CN"/>
              </w:rPr>
              <w:t>0t/a</w:t>
            </w:r>
          </w:p>
        </w:tc>
        <w:tc>
          <w:tcPr>
            <w:tcW w:w="1695" w:type="dxa"/>
            <w:vAlign w:val="center"/>
          </w:tcPr>
          <w:p>
            <w:pPr>
              <w:autoSpaceDE w:val="0"/>
              <w:autoSpaceDN w:val="0"/>
              <w:adjustRightInd w:val="0"/>
              <w:jc w:val="center"/>
              <w:rPr>
                <w:color w:val="auto"/>
              </w:rPr>
            </w:pPr>
            <w:r>
              <w:rPr>
                <w:rFonts w:hint="eastAsia"/>
                <w:color w:val="auto"/>
              </w:rPr>
              <w:t>8.82</w:t>
            </w:r>
            <w:r>
              <w:rPr>
                <w:color w:val="auto"/>
              </w:rPr>
              <w:t>t/a</w:t>
            </w:r>
          </w:p>
        </w:tc>
        <w:tc>
          <w:tcPr>
            <w:tcW w:w="1230" w:type="dxa"/>
            <w:vAlign w:val="center"/>
          </w:tcPr>
          <w:p>
            <w:pPr>
              <w:autoSpaceDE w:val="0"/>
              <w:autoSpaceDN w:val="0"/>
              <w:adjustRightInd w:val="0"/>
              <w:jc w:val="center"/>
              <w:rPr>
                <w:color w:val="auto"/>
              </w:rPr>
            </w:pPr>
            <w:r>
              <w:rPr>
                <w:rFonts w:hint="eastAsia"/>
                <w:color w:val="auto"/>
                <w:lang w:val="en-US" w:eastAsia="zh-CN"/>
              </w:rPr>
              <w:t>+</w:t>
            </w:r>
            <w:r>
              <w:rPr>
                <w:rFonts w:hint="eastAsia"/>
                <w:color w:val="auto"/>
              </w:rPr>
              <w:t>8.82</w:t>
            </w:r>
            <w:r>
              <w:rPr>
                <w:color w:val="auto"/>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19" w:hRule="atLeast"/>
        </w:trPr>
        <w:tc>
          <w:tcPr>
            <w:tcW w:w="1306" w:type="dxa"/>
            <w:vMerge w:val="continue"/>
            <w:vAlign w:val="center"/>
          </w:tcPr>
          <w:p>
            <w:pPr>
              <w:pStyle w:val="53"/>
              <w:spacing w:beforeLines="0" w:afterLines="0" w:line="240" w:lineRule="auto"/>
              <w:rPr>
                <w:rFonts w:ascii="Times New Roman"/>
                <w:snapToGrid w:val="0"/>
                <w:color w:val="000000"/>
                <w:kern w:val="21"/>
              </w:rPr>
            </w:pPr>
          </w:p>
        </w:tc>
        <w:tc>
          <w:tcPr>
            <w:tcW w:w="1935" w:type="dxa"/>
            <w:vAlign w:val="center"/>
          </w:tcPr>
          <w:p>
            <w:pPr>
              <w:pStyle w:val="53"/>
              <w:spacing w:beforeLines="0" w:afterLines="0" w:line="240" w:lineRule="auto"/>
              <w:rPr>
                <w:rFonts w:ascii="Times New Roman"/>
                <w:snapToGrid w:val="0"/>
                <w:color w:val="000000"/>
                <w:kern w:val="21"/>
              </w:rPr>
            </w:pPr>
            <w:r>
              <w:rPr>
                <w:rFonts w:hint="eastAsia" w:ascii="Times New Roman"/>
                <w:snapToGrid w:val="0"/>
                <w:color w:val="000000"/>
                <w:kern w:val="21"/>
              </w:rPr>
              <w:t>除尘器收集的粉尘</w:t>
            </w:r>
          </w:p>
        </w:tc>
        <w:tc>
          <w:tcPr>
            <w:tcW w:w="1605" w:type="dxa"/>
            <w:vAlign w:val="center"/>
          </w:tcPr>
          <w:p>
            <w:pPr>
              <w:pStyle w:val="53"/>
              <w:spacing w:beforeLines="0" w:afterLines="0" w:line="240" w:lineRule="auto"/>
              <w:rPr>
                <w:rFonts w:hint="default" w:ascii="Times New Roman" w:eastAsia="宋体"/>
                <w:lang w:val="en-US" w:eastAsia="zh-CN"/>
              </w:rPr>
            </w:pPr>
            <w:r>
              <w:rPr>
                <w:rFonts w:hint="eastAsia" w:ascii="Times New Roman"/>
                <w:lang w:val="en-US" w:eastAsia="zh-CN"/>
              </w:rPr>
              <w:t>0</w:t>
            </w:r>
            <w:r>
              <w:rPr>
                <w:rFonts w:hint="eastAsia" w:ascii="Times New Roman"/>
                <w:snapToGrid w:val="0"/>
                <w:kern w:val="21"/>
                <w:lang w:val="en-US" w:eastAsia="zh-CN"/>
              </w:rPr>
              <w:t>t/a</w:t>
            </w:r>
          </w:p>
        </w:tc>
        <w:tc>
          <w:tcPr>
            <w:tcW w:w="1275" w:type="dxa"/>
            <w:vAlign w:val="center"/>
          </w:tcPr>
          <w:p>
            <w:pPr>
              <w:pStyle w:val="53"/>
              <w:spacing w:beforeLines="0" w:afterLines="0" w:line="240" w:lineRule="auto"/>
              <w:rPr>
                <w:rFonts w:ascii="Times New Roman"/>
                <w:snapToGrid w:val="0"/>
                <w:kern w:val="21"/>
              </w:rPr>
            </w:pPr>
            <w:r>
              <w:rPr>
                <w:rFonts w:hint="eastAsia" w:ascii="Times New Roman"/>
                <w:snapToGrid w:val="0"/>
                <w:kern w:val="21"/>
              </w:rPr>
              <w:t>/</w:t>
            </w:r>
          </w:p>
        </w:tc>
        <w:tc>
          <w:tcPr>
            <w:tcW w:w="1562" w:type="dxa"/>
            <w:vAlign w:val="center"/>
          </w:tcPr>
          <w:p>
            <w:pPr>
              <w:pStyle w:val="53"/>
              <w:spacing w:beforeLines="0" w:afterLines="0" w:line="240" w:lineRule="auto"/>
              <w:rPr>
                <w:rFonts w:ascii="Times New Roman"/>
                <w:snapToGrid w:val="0"/>
                <w:kern w:val="21"/>
              </w:rPr>
            </w:pPr>
            <w:r>
              <w:rPr>
                <w:rFonts w:hint="eastAsia" w:ascii="Times New Roman"/>
                <w:snapToGrid w:val="0"/>
                <w:kern w:val="21"/>
              </w:rPr>
              <w:t>/</w:t>
            </w:r>
          </w:p>
        </w:tc>
        <w:tc>
          <w:tcPr>
            <w:tcW w:w="1559" w:type="dxa"/>
            <w:vAlign w:val="center"/>
          </w:tcPr>
          <w:p>
            <w:pPr>
              <w:autoSpaceDE w:val="0"/>
              <w:autoSpaceDN w:val="0"/>
              <w:adjustRightInd w:val="0"/>
              <w:jc w:val="center"/>
              <w:rPr>
                <w:color w:val="auto"/>
              </w:rPr>
            </w:pPr>
            <w:r>
              <w:rPr>
                <w:rFonts w:hint="eastAsia"/>
                <w:color w:val="auto"/>
                <w:lang w:eastAsia="zh-CN"/>
              </w:rPr>
              <w:t>12.147</w:t>
            </w:r>
            <w:r>
              <w:rPr>
                <w:color w:val="auto"/>
              </w:rPr>
              <w:t>t/a</w:t>
            </w:r>
          </w:p>
        </w:tc>
        <w:tc>
          <w:tcPr>
            <w:tcW w:w="1621" w:type="dxa"/>
            <w:vAlign w:val="center"/>
          </w:tcPr>
          <w:p>
            <w:pPr>
              <w:pStyle w:val="53"/>
              <w:spacing w:beforeLines="0" w:afterLines="0" w:line="240" w:lineRule="auto"/>
              <w:rPr>
                <w:rFonts w:ascii="Times New Roman"/>
                <w:snapToGrid w:val="0"/>
                <w:kern w:val="21"/>
              </w:rPr>
            </w:pPr>
            <w:r>
              <w:rPr>
                <w:rFonts w:hint="eastAsia" w:ascii="Times New Roman"/>
                <w:lang w:val="en-US" w:eastAsia="zh-CN"/>
              </w:rPr>
              <w:t>0</w:t>
            </w:r>
            <w:r>
              <w:rPr>
                <w:rFonts w:hint="eastAsia" w:ascii="Times New Roman"/>
                <w:snapToGrid w:val="0"/>
                <w:kern w:val="21"/>
                <w:lang w:val="en-US" w:eastAsia="zh-CN"/>
              </w:rPr>
              <w:t>t/a</w:t>
            </w:r>
          </w:p>
        </w:tc>
        <w:tc>
          <w:tcPr>
            <w:tcW w:w="1695" w:type="dxa"/>
            <w:vAlign w:val="center"/>
          </w:tcPr>
          <w:p>
            <w:pPr>
              <w:autoSpaceDE w:val="0"/>
              <w:autoSpaceDN w:val="0"/>
              <w:adjustRightInd w:val="0"/>
              <w:jc w:val="center"/>
              <w:rPr>
                <w:color w:val="auto"/>
              </w:rPr>
            </w:pPr>
            <w:r>
              <w:rPr>
                <w:rFonts w:hint="eastAsia"/>
                <w:color w:val="auto"/>
                <w:lang w:eastAsia="zh-CN"/>
              </w:rPr>
              <w:t>12.147</w:t>
            </w:r>
            <w:r>
              <w:rPr>
                <w:color w:val="auto"/>
              </w:rPr>
              <w:t>t/a</w:t>
            </w:r>
          </w:p>
        </w:tc>
        <w:tc>
          <w:tcPr>
            <w:tcW w:w="1230" w:type="dxa"/>
            <w:vAlign w:val="center"/>
          </w:tcPr>
          <w:p>
            <w:pPr>
              <w:autoSpaceDE w:val="0"/>
              <w:autoSpaceDN w:val="0"/>
              <w:adjustRightInd w:val="0"/>
              <w:jc w:val="center"/>
              <w:rPr>
                <w:color w:val="auto"/>
              </w:rPr>
            </w:pPr>
            <w:r>
              <w:rPr>
                <w:rFonts w:hint="eastAsia"/>
                <w:color w:val="auto"/>
                <w:lang w:val="en-US" w:eastAsia="zh-CN"/>
              </w:rPr>
              <w:t>+</w:t>
            </w:r>
            <w:r>
              <w:rPr>
                <w:rFonts w:hint="eastAsia"/>
                <w:color w:val="auto"/>
                <w:lang w:eastAsia="zh-CN"/>
              </w:rPr>
              <w:t>12.147</w:t>
            </w:r>
            <w:r>
              <w:rPr>
                <w:color w:val="auto"/>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19" w:hRule="atLeast"/>
        </w:trPr>
        <w:tc>
          <w:tcPr>
            <w:tcW w:w="1306" w:type="dxa"/>
            <w:vMerge w:val="continue"/>
            <w:vAlign w:val="center"/>
          </w:tcPr>
          <w:p>
            <w:pPr>
              <w:pStyle w:val="53"/>
              <w:spacing w:beforeLines="0" w:afterLines="0" w:line="240" w:lineRule="auto"/>
              <w:rPr>
                <w:rFonts w:ascii="Times New Roman"/>
                <w:snapToGrid w:val="0"/>
                <w:color w:val="000000"/>
                <w:kern w:val="21"/>
              </w:rPr>
            </w:pPr>
          </w:p>
        </w:tc>
        <w:tc>
          <w:tcPr>
            <w:tcW w:w="1935" w:type="dxa"/>
            <w:vAlign w:val="center"/>
          </w:tcPr>
          <w:p>
            <w:pPr>
              <w:pStyle w:val="53"/>
              <w:spacing w:beforeLines="0" w:afterLines="0" w:line="240" w:lineRule="auto"/>
              <w:rPr>
                <w:rFonts w:ascii="Times New Roman"/>
                <w:snapToGrid w:val="0"/>
                <w:kern w:val="21"/>
              </w:rPr>
            </w:pPr>
            <w:r>
              <w:rPr>
                <w:rFonts w:hint="eastAsia" w:hAnsi="宋体" w:cs="宋体"/>
                <w:lang w:eastAsia="zh-CN"/>
              </w:rPr>
              <w:t>纯</w:t>
            </w:r>
            <w:r>
              <w:rPr>
                <w:rFonts w:hAnsi="宋体" w:cs="宋体"/>
              </w:rPr>
              <w:t>水制备废离子交换树脂</w:t>
            </w:r>
          </w:p>
        </w:tc>
        <w:tc>
          <w:tcPr>
            <w:tcW w:w="1605" w:type="dxa"/>
            <w:vAlign w:val="center"/>
          </w:tcPr>
          <w:p>
            <w:pPr>
              <w:pStyle w:val="53"/>
              <w:spacing w:beforeLines="0" w:afterLines="0" w:line="240" w:lineRule="auto"/>
              <w:rPr>
                <w:rFonts w:hint="default" w:ascii="Times New Roman" w:eastAsia="宋体"/>
                <w:lang w:val="en-US" w:eastAsia="zh-CN"/>
              </w:rPr>
            </w:pPr>
            <w:r>
              <w:rPr>
                <w:rFonts w:hint="eastAsia" w:ascii="Times New Roman"/>
                <w:lang w:val="en-US" w:eastAsia="zh-CN"/>
              </w:rPr>
              <w:t>0</w:t>
            </w:r>
            <w:r>
              <w:rPr>
                <w:rFonts w:hint="eastAsia" w:ascii="Times New Roman"/>
                <w:snapToGrid w:val="0"/>
                <w:kern w:val="21"/>
                <w:lang w:val="en-US" w:eastAsia="zh-CN"/>
              </w:rPr>
              <w:t>t/a</w:t>
            </w:r>
          </w:p>
        </w:tc>
        <w:tc>
          <w:tcPr>
            <w:tcW w:w="1275" w:type="dxa"/>
            <w:vAlign w:val="center"/>
          </w:tcPr>
          <w:p>
            <w:pPr>
              <w:pStyle w:val="53"/>
              <w:spacing w:beforeLines="0" w:afterLines="0" w:line="240" w:lineRule="auto"/>
              <w:rPr>
                <w:rFonts w:ascii="Times New Roman"/>
                <w:snapToGrid w:val="0"/>
                <w:kern w:val="21"/>
              </w:rPr>
            </w:pPr>
            <w:r>
              <w:rPr>
                <w:rFonts w:hint="eastAsia" w:ascii="Times New Roman"/>
                <w:snapToGrid w:val="0"/>
                <w:kern w:val="21"/>
              </w:rPr>
              <w:t>/</w:t>
            </w:r>
          </w:p>
        </w:tc>
        <w:tc>
          <w:tcPr>
            <w:tcW w:w="1562" w:type="dxa"/>
            <w:vAlign w:val="center"/>
          </w:tcPr>
          <w:p>
            <w:pPr>
              <w:pStyle w:val="53"/>
              <w:spacing w:beforeLines="0" w:afterLines="0" w:line="240" w:lineRule="auto"/>
              <w:rPr>
                <w:rFonts w:ascii="Times New Roman"/>
                <w:snapToGrid w:val="0"/>
                <w:kern w:val="21"/>
              </w:rPr>
            </w:pPr>
            <w:r>
              <w:rPr>
                <w:rFonts w:hint="eastAsia" w:ascii="Times New Roman"/>
                <w:snapToGrid w:val="0"/>
                <w:kern w:val="21"/>
              </w:rPr>
              <w:t>/</w:t>
            </w:r>
          </w:p>
        </w:tc>
        <w:tc>
          <w:tcPr>
            <w:tcW w:w="1559" w:type="dxa"/>
            <w:vAlign w:val="center"/>
          </w:tcPr>
          <w:p>
            <w:pPr>
              <w:autoSpaceDE w:val="0"/>
              <w:autoSpaceDN w:val="0"/>
              <w:adjustRightInd w:val="0"/>
              <w:jc w:val="center"/>
            </w:pPr>
            <w:r>
              <w:rPr>
                <w:rFonts w:hint="eastAsia"/>
              </w:rPr>
              <w:t>0.1</w:t>
            </w:r>
            <w:r>
              <w:t>t/a</w:t>
            </w:r>
          </w:p>
        </w:tc>
        <w:tc>
          <w:tcPr>
            <w:tcW w:w="1621" w:type="dxa"/>
            <w:vAlign w:val="center"/>
          </w:tcPr>
          <w:p>
            <w:pPr>
              <w:pStyle w:val="53"/>
              <w:spacing w:beforeLines="0" w:afterLines="0" w:line="240" w:lineRule="auto"/>
              <w:rPr>
                <w:rFonts w:ascii="Times New Roman"/>
              </w:rPr>
            </w:pPr>
            <w:r>
              <w:rPr>
                <w:rFonts w:hint="eastAsia" w:ascii="Times New Roman"/>
                <w:lang w:val="en-US" w:eastAsia="zh-CN"/>
              </w:rPr>
              <w:t>0</w:t>
            </w:r>
            <w:r>
              <w:rPr>
                <w:rFonts w:hint="eastAsia" w:ascii="Times New Roman"/>
                <w:snapToGrid w:val="0"/>
                <w:kern w:val="21"/>
                <w:lang w:val="en-US" w:eastAsia="zh-CN"/>
              </w:rPr>
              <w:t>t/a</w:t>
            </w:r>
          </w:p>
        </w:tc>
        <w:tc>
          <w:tcPr>
            <w:tcW w:w="1695" w:type="dxa"/>
            <w:vAlign w:val="center"/>
          </w:tcPr>
          <w:p>
            <w:pPr>
              <w:autoSpaceDE w:val="0"/>
              <w:autoSpaceDN w:val="0"/>
              <w:adjustRightInd w:val="0"/>
              <w:jc w:val="center"/>
              <w:rPr>
                <w:color w:val="auto"/>
              </w:rPr>
            </w:pPr>
            <w:r>
              <w:rPr>
                <w:rFonts w:hint="eastAsia"/>
                <w:color w:val="auto"/>
              </w:rPr>
              <w:t>0.1</w:t>
            </w:r>
            <w:r>
              <w:rPr>
                <w:color w:val="auto"/>
              </w:rPr>
              <w:t>t/a</w:t>
            </w:r>
          </w:p>
        </w:tc>
        <w:tc>
          <w:tcPr>
            <w:tcW w:w="1230" w:type="dxa"/>
            <w:vAlign w:val="center"/>
          </w:tcPr>
          <w:p>
            <w:pPr>
              <w:autoSpaceDE w:val="0"/>
              <w:autoSpaceDN w:val="0"/>
              <w:adjustRightInd w:val="0"/>
              <w:jc w:val="center"/>
              <w:rPr>
                <w:color w:val="auto"/>
              </w:rPr>
            </w:pPr>
            <w:r>
              <w:rPr>
                <w:rFonts w:hint="eastAsia"/>
                <w:color w:val="auto"/>
                <w:lang w:val="en-US" w:eastAsia="zh-CN"/>
              </w:rPr>
              <w:t>+</w:t>
            </w:r>
            <w:r>
              <w:rPr>
                <w:rFonts w:hint="eastAsia"/>
                <w:color w:val="auto"/>
              </w:rPr>
              <w:t>0.1</w:t>
            </w:r>
            <w:r>
              <w:rPr>
                <w:color w:val="auto"/>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06" w:type="dxa"/>
            <w:vMerge w:val="restart"/>
            <w:vAlign w:val="center"/>
          </w:tcPr>
          <w:p>
            <w:pPr>
              <w:pStyle w:val="53"/>
              <w:spacing w:beforeLines="0" w:afterLines="0" w:line="240" w:lineRule="auto"/>
              <w:rPr>
                <w:rFonts w:ascii="Times New Roman"/>
                <w:snapToGrid w:val="0"/>
                <w:color w:val="000000"/>
                <w:kern w:val="21"/>
              </w:rPr>
            </w:pPr>
            <w:r>
              <w:rPr>
                <w:rFonts w:ascii="Times New Roman"/>
                <w:snapToGrid w:val="0"/>
                <w:color w:val="000000"/>
                <w:kern w:val="21"/>
              </w:rPr>
              <w:t>危险废物</w:t>
            </w:r>
          </w:p>
        </w:tc>
        <w:tc>
          <w:tcPr>
            <w:tcW w:w="1935" w:type="dxa"/>
            <w:vAlign w:val="center"/>
          </w:tcPr>
          <w:p>
            <w:pPr>
              <w:pStyle w:val="53"/>
              <w:spacing w:beforeLines="0" w:afterLines="0" w:line="240" w:lineRule="auto"/>
              <w:rPr>
                <w:rFonts w:ascii="Times New Roman"/>
                <w:snapToGrid w:val="0"/>
                <w:kern w:val="21"/>
              </w:rPr>
            </w:pPr>
            <w:r>
              <w:rPr>
                <w:rFonts w:hint="eastAsia" w:ascii="Times New Roman"/>
                <w:snapToGrid w:val="0"/>
                <w:kern w:val="21"/>
              </w:rPr>
              <w:t>废机油</w:t>
            </w:r>
          </w:p>
        </w:tc>
        <w:tc>
          <w:tcPr>
            <w:tcW w:w="1605" w:type="dxa"/>
            <w:vAlign w:val="center"/>
          </w:tcPr>
          <w:p>
            <w:pPr>
              <w:pStyle w:val="53"/>
              <w:spacing w:beforeLines="0" w:afterLines="0" w:line="240" w:lineRule="auto"/>
              <w:rPr>
                <w:rFonts w:hint="default" w:ascii="Times New Roman" w:eastAsia="宋体"/>
                <w:snapToGrid w:val="0"/>
                <w:kern w:val="21"/>
                <w:lang w:val="en-US" w:eastAsia="zh-CN"/>
              </w:rPr>
            </w:pPr>
            <w:r>
              <w:rPr>
                <w:rFonts w:hint="eastAsia" w:ascii="Times New Roman"/>
                <w:snapToGrid w:val="0"/>
                <w:kern w:val="21"/>
                <w:lang w:val="en-US" w:eastAsia="zh-CN"/>
              </w:rPr>
              <w:t>0t/a</w:t>
            </w:r>
          </w:p>
        </w:tc>
        <w:tc>
          <w:tcPr>
            <w:tcW w:w="1275" w:type="dxa"/>
            <w:vAlign w:val="center"/>
          </w:tcPr>
          <w:p>
            <w:pPr>
              <w:pStyle w:val="53"/>
              <w:spacing w:beforeLines="0" w:afterLines="0" w:line="240" w:lineRule="auto"/>
              <w:rPr>
                <w:rFonts w:ascii="Times New Roman"/>
                <w:snapToGrid w:val="0"/>
                <w:kern w:val="21"/>
              </w:rPr>
            </w:pPr>
            <w:r>
              <w:rPr>
                <w:rFonts w:hint="eastAsia" w:ascii="Times New Roman"/>
                <w:snapToGrid w:val="0"/>
                <w:kern w:val="21"/>
              </w:rPr>
              <w:t>/</w:t>
            </w:r>
          </w:p>
        </w:tc>
        <w:tc>
          <w:tcPr>
            <w:tcW w:w="1562" w:type="dxa"/>
            <w:vAlign w:val="center"/>
          </w:tcPr>
          <w:p>
            <w:pPr>
              <w:pStyle w:val="53"/>
              <w:spacing w:beforeLines="0" w:afterLines="0" w:line="240" w:lineRule="auto"/>
              <w:rPr>
                <w:rFonts w:ascii="Times New Roman"/>
                <w:snapToGrid w:val="0"/>
                <w:kern w:val="21"/>
              </w:rPr>
            </w:pPr>
            <w:r>
              <w:rPr>
                <w:rFonts w:hint="eastAsia" w:ascii="Times New Roman"/>
                <w:snapToGrid w:val="0"/>
                <w:kern w:val="21"/>
              </w:rPr>
              <w:t>/</w:t>
            </w:r>
          </w:p>
        </w:tc>
        <w:tc>
          <w:tcPr>
            <w:tcW w:w="1559" w:type="dxa"/>
            <w:vAlign w:val="center"/>
          </w:tcPr>
          <w:p>
            <w:pPr>
              <w:autoSpaceDE w:val="0"/>
              <w:autoSpaceDN w:val="0"/>
              <w:adjustRightInd w:val="0"/>
              <w:jc w:val="center"/>
              <w:rPr>
                <w:snapToGrid w:val="0"/>
                <w:kern w:val="21"/>
              </w:rPr>
            </w:pPr>
            <w:r>
              <w:rPr>
                <w:rFonts w:hint="eastAsia"/>
              </w:rPr>
              <w:t>0.</w:t>
            </w:r>
            <w:r>
              <w:rPr>
                <w:rFonts w:hint="eastAsia"/>
                <w:lang w:val="en-US" w:eastAsia="zh-CN"/>
              </w:rPr>
              <w:t>04</w:t>
            </w:r>
            <w:r>
              <w:t>t/a</w:t>
            </w:r>
          </w:p>
        </w:tc>
        <w:tc>
          <w:tcPr>
            <w:tcW w:w="1621" w:type="dxa"/>
            <w:vAlign w:val="center"/>
          </w:tcPr>
          <w:p>
            <w:pPr>
              <w:pStyle w:val="53"/>
              <w:spacing w:beforeLines="0" w:afterLines="0" w:line="240" w:lineRule="auto"/>
              <w:rPr>
                <w:rFonts w:ascii="Times New Roman"/>
                <w:snapToGrid w:val="0"/>
                <w:kern w:val="21"/>
              </w:rPr>
            </w:pPr>
            <w:r>
              <w:rPr>
                <w:rFonts w:hint="eastAsia" w:ascii="Times New Roman"/>
                <w:snapToGrid w:val="0"/>
                <w:kern w:val="21"/>
                <w:lang w:val="en-US" w:eastAsia="zh-CN"/>
              </w:rPr>
              <w:t>0t/a</w:t>
            </w:r>
          </w:p>
        </w:tc>
        <w:tc>
          <w:tcPr>
            <w:tcW w:w="1695" w:type="dxa"/>
            <w:vAlign w:val="center"/>
          </w:tcPr>
          <w:p>
            <w:pPr>
              <w:autoSpaceDE w:val="0"/>
              <w:autoSpaceDN w:val="0"/>
              <w:adjustRightInd w:val="0"/>
              <w:jc w:val="center"/>
              <w:rPr>
                <w:snapToGrid w:val="0"/>
                <w:color w:val="auto"/>
                <w:kern w:val="21"/>
              </w:rPr>
            </w:pPr>
            <w:r>
              <w:rPr>
                <w:rFonts w:hint="eastAsia"/>
                <w:color w:val="auto"/>
              </w:rPr>
              <w:t>0.</w:t>
            </w:r>
            <w:r>
              <w:rPr>
                <w:rFonts w:hint="eastAsia"/>
                <w:color w:val="auto"/>
                <w:lang w:val="en-US" w:eastAsia="zh-CN"/>
              </w:rPr>
              <w:t>04</w:t>
            </w:r>
            <w:r>
              <w:rPr>
                <w:color w:val="auto"/>
              </w:rPr>
              <w:t>t/a</w:t>
            </w:r>
          </w:p>
        </w:tc>
        <w:tc>
          <w:tcPr>
            <w:tcW w:w="1230" w:type="dxa"/>
            <w:vAlign w:val="center"/>
          </w:tcPr>
          <w:p>
            <w:pPr>
              <w:autoSpaceDE w:val="0"/>
              <w:autoSpaceDN w:val="0"/>
              <w:adjustRightInd w:val="0"/>
              <w:jc w:val="center"/>
              <w:rPr>
                <w:snapToGrid w:val="0"/>
                <w:color w:val="auto"/>
                <w:kern w:val="21"/>
              </w:rPr>
            </w:pPr>
            <w:r>
              <w:rPr>
                <w:rFonts w:hint="eastAsia"/>
                <w:color w:val="auto"/>
                <w:lang w:val="en-US" w:eastAsia="zh-CN"/>
              </w:rPr>
              <w:t>+</w:t>
            </w:r>
            <w:r>
              <w:rPr>
                <w:rFonts w:hint="eastAsia"/>
                <w:color w:val="auto"/>
              </w:rPr>
              <w:t>0.</w:t>
            </w:r>
            <w:r>
              <w:rPr>
                <w:rFonts w:hint="eastAsia"/>
                <w:color w:val="auto"/>
                <w:lang w:val="en-US" w:eastAsia="zh-CN"/>
              </w:rPr>
              <w:t>04</w:t>
            </w:r>
            <w:r>
              <w:rPr>
                <w:color w:val="auto"/>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06" w:type="dxa"/>
            <w:vMerge w:val="continue"/>
            <w:vAlign w:val="center"/>
          </w:tcPr>
          <w:p>
            <w:pPr>
              <w:pStyle w:val="53"/>
              <w:spacing w:beforeLines="0" w:afterLines="0" w:line="240" w:lineRule="auto"/>
              <w:rPr>
                <w:rFonts w:ascii="Times New Roman"/>
                <w:snapToGrid w:val="0"/>
                <w:color w:val="000000"/>
                <w:kern w:val="21"/>
              </w:rPr>
            </w:pPr>
          </w:p>
        </w:tc>
        <w:tc>
          <w:tcPr>
            <w:tcW w:w="1935" w:type="dxa"/>
            <w:vAlign w:val="center"/>
          </w:tcPr>
          <w:p>
            <w:pPr>
              <w:pStyle w:val="53"/>
              <w:spacing w:beforeLines="0" w:afterLines="0" w:line="240" w:lineRule="auto"/>
              <w:rPr>
                <w:rFonts w:ascii="Times New Roman"/>
                <w:snapToGrid w:val="0"/>
                <w:kern w:val="21"/>
              </w:rPr>
            </w:pPr>
            <w:r>
              <w:rPr>
                <w:rFonts w:hint="eastAsia" w:ascii="Times New Roman"/>
                <w:snapToGrid w:val="0"/>
                <w:kern w:val="21"/>
              </w:rPr>
              <w:t>废机油桶</w:t>
            </w:r>
          </w:p>
        </w:tc>
        <w:tc>
          <w:tcPr>
            <w:tcW w:w="1605" w:type="dxa"/>
            <w:vAlign w:val="center"/>
          </w:tcPr>
          <w:p>
            <w:pPr>
              <w:pStyle w:val="53"/>
              <w:spacing w:beforeLines="0" w:afterLines="0" w:line="240" w:lineRule="auto"/>
              <w:rPr>
                <w:rFonts w:hint="default" w:ascii="Times New Roman" w:eastAsia="宋体"/>
                <w:lang w:val="en-US" w:eastAsia="zh-CN"/>
              </w:rPr>
            </w:pPr>
            <w:r>
              <w:rPr>
                <w:rFonts w:hint="eastAsia" w:ascii="Times New Roman"/>
                <w:lang w:val="en-US" w:eastAsia="zh-CN"/>
              </w:rPr>
              <w:t>0</w:t>
            </w:r>
            <w:r>
              <w:rPr>
                <w:rFonts w:hint="eastAsia" w:ascii="Times New Roman"/>
                <w:snapToGrid w:val="0"/>
                <w:kern w:val="21"/>
                <w:lang w:val="en-US" w:eastAsia="zh-CN"/>
              </w:rPr>
              <w:t>t/a</w:t>
            </w:r>
          </w:p>
        </w:tc>
        <w:tc>
          <w:tcPr>
            <w:tcW w:w="1275" w:type="dxa"/>
            <w:vAlign w:val="center"/>
          </w:tcPr>
          <w:p>
            <w:pPr>
              <w:pStyle w:val="53"/>
              <w:spacing w:beforeLines="0" w:afterLines="0" w:line="240" w:lineRule="auto"/>
              <w:rPr>
                <w:rFonts w:ascii="Times New Roman"/>
                <w:snapToGrid w:val="0"/>
                <w:kern w:val="21"/>
              </w:rPr>
            </w:pPr>
            <w:r>
              <w:rPr>
                <w:rFonts w:hint="eastAsia" w:ascii="Times New Roman"/>
                <w:snapToGrid w:val="0"/>
                <w:kern w:val="21"/>
              </w:rPr>
              <w:t>/</w:t>
            </w:r>
          </w:p>
        </w:tc>
        <w:tc>
          <w:tcPr>
            <w:tcW w:w="1562" w:type="dxa"/>
            <w:vAlign w:val="center"/>
          </w:tcPr>
          <w:p>
            <w:pPr>
              <w:pStyle w:val="53"/>
              <w:spacing w:beforeLines="0" w:afterLines="0" w:line="240" w:lineRule="auto"/>
              <w:rPr>
                <w:rFonts w:ascii="Times New Roman"/>
                <w:snapToGrid w:val="0"/>
                <w:kern w:val="21"/>
              </w:rPr>
            </w:pPr>
            <w:r>
              <w:rPr>
                <w:rFonts w:hint="eastAsia" w:ascii="Times New Roman"/>
                <w:snapToGrid w:val="0"/>
                <w:kern w:val="21"/>
              </w:rPr>
              <w:t>/</w:t>
            </w:r>
          </w:p>
        </w:tc>
        <w:tc>
          <w:tcPr>
            <w:tcW w:w="1559" w:type="dxa"/>
            <w:vAlign w:val="center"/>
          </w:tcPr>
          <w:p>
            <w:pPr>
              <w:autoSpaceDE w:val="0"/>
              <w:autoSpaceDN w:val="0"/>
              <w:adjustRightInd w:val="0"/>
              <w:jc w:val="center"/>
            </w:pPr>
            <w:r>
              <w:rPr>
                <w:rFonts w:hint="eastAsia"/>
              </w:rPr>
              <w:t>0.</w:t>
            </w:r>
            <w:r>
              <w:rPr>
                <w:rFonts w:hint="eastAsia"/>
                <w:lang w:val="en-US" w:eastAsia="zh-CN"/>
              </w:rPr>
              <w:t>05</w:t>
            </w:r>
            <w:r>
              <w:t>t/a</w:t>
            </w:r>
          </w:p>
        </w:tc>
        <w:tc>
          <w:tcPr>
            <w:tcW w:w="1621" w:type="dxa"/>
            <w:vAlign w:val="center"/>
          </w:tcPr>
          <w:p>
            <w:pPr>
              <w:pStyle w:val="53"/>
              <w:spacing w:beforeLines="0" w:afterLines="0" w:line="240" w:lineRule="auto"/>
              <w:rPr>
                <w:rFonts w:ascii="Times New Roman"/>
                <w:snapToGrid w:val="0"/>
                <w:kern w:val="21"/>
              </w:rPr>
            </w:pPr>
            <w:r>
              <w:rPr>
                <w:rFonts w:hint="eastAsia" w:ascii="Times New Roman"/>
                <w:lang w:val="en-US" w:eastAsia="zh-CN"/>
              </w:rPr>
              <w:t>0</w:t>
            </w:r>
            <w:r>
              <w:rPr>
                <w:rFonts w:hint="eastAsia" w:ascii="Times New Roman"/>
                <w:snapToGrid w:val="0"/>
                <w:kern w:val="21"/>
                <w:lang w:val="en-US" w:eastAsia="zh-CN"/>
              </w:rPr>
              <w:t>t/a</w:t>
            </w:r>
          </w:p>
        </w:tc>
        <w:tc>
          <w:tcPr>
            <w:tcW w:w="1695" w:type="dxa"/>
            <w:vAlign w:val="center"/>
          </w:tcPr>
          <w:p>
            <w:pPr>
              <w:autoSpaceDE w:val="0"/>
              <w:autoSpaceDN w:val="0"/>
              <w:adjustRightInd w:val="0"/>
              <w:jc w:val="center"/>
              <w:rPr>
                <w:color w:val="auto"/>
              </w:rPr>
            </w:pPr>
            <w:r>
              <w:rPr>
                <w:rFonts w:hint="eastAsia"/>
                <w:color w:val="auto"/>
              </w:rPr>
              <w:t>0.</w:t>
            </w:r>
            <w:r>
              <w:rPr>
                <w:rFonts w:hint="eastAsia"/>
                <w:color w:val="auto"/>
                <w:lang w:val="en-US" w:eastAsia="zh-CN"/>
              </w:rPr>
              <w:t>05</w:t>
            </w:r>
            <w:r>
              <w:rPr>
                <w:color w:val="auto"/>
              </w:rPr>
              <w:t>t/a</w:t>
            </w:r>
          </w:p>
        </w:tc>
        <w:tc>
          <w:tcPr>
            <w:tcW w:w="1230" w:type="dxa"/>
            <w:vAlign w:val="center"/>
          </w:tcPr>
          <w:p>
            <w:pPr>
              <w:autoSpaceDE w:val="0"/>
              <w:autoSpaceDN w:val="0"/>
              <w:adjustRightInd w:val="0"/>
              <w:jc w:val="center"/>
              <w:rPr>
                <w:color w:val="auto"/>
              </w:rPr>
            </w:pPr>
            <w:r>
              <w:rPr>
                <w:rFonts w:hint="eastAsia"/>
                <w:color w:val="auto"/>
                <w:lang w:val="en-US" w:eastAsia="zh-CN"/>
              </w:rPr>
              <w:t>+</w:t>
            </w:r>
            <w:r>
              <w:rPr>
                <w:rFonts w:hint="eastAsia"/>
                <w:color w:val="auto"/>
              </w:rPr>
              <w:t>0.</w:t>
            </w:r>
            <w:r>
              <w:rPr>
                <w:rFonts w:hint="eastAsia"/>
                <w:color w:val="auto"/>
                <w:lang w:val="en-US" w:eastAsia="zh-CN"/>
              </w:rPr>
              <w:t>05</w:t>
            </w:r>
            <w:r>
              <w:rPr>
                <w:color w:val="auto"/>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06" w:type="dxa"/>
            <w:vMerge w:val="continue"/>
            <w:tcBorders>
              <w:bottom w:val="single" w:color="auto" w:sz="8" w:space="0"/>
            </w:tcBorders>
            <w:vAlign w:val="center"/>
          </w:tcPr>
          <w:p>
            <w:pPr>
              <w:pStyle w:val="53"/>
              <w:spacing w:beforeLines="0" w:afterLines="0" w:line="240" w:lineRule="auto"/>
              <w:rPr>
                <w:rFonts w:ascii="Times New Roman"/>
                <w:snapToGrid w:val="0"/>
                <w:color w:val="000000"/>
                <w:kern w:val="21"/>
              </w:rPr>
            </w:pPr>
          </w:p>
        </w:tc>
        <w:tc>
          <w:tcPr>
            <w:tcW w:w="1935" w:type="dxa"/>
            <w:tcBorders>
              <w:bottom w:val="single" w:color="auto" w:sz="8" w:space="0"/>
            </w:tcBorders>
            <w:vAlign w:val="center"/>
          </w:tcPr>
          <w:p>
            <w:pPr>
              <w:pStyle w:val="53"/>
              <w:spacing w:beforeLines="0" w:afterLines="0" w:line="240" w:lineRule="auto"/>
              <w:rPr>
                <w:rFonts w:ascii="Times New Roman"/>
                <w:snapToGrid w:val="0"/>
                <w:kern w:val="21"/>
              </w:rPr>
            </w:pPr>
            <w:r>
              <w:rPr>
                <w:rFonts w:hAnsi="宋体" w:cs="宋体"/>
              </w:rPr>
              <w:t>废弃的含油抹布、劳保用品</w:t>
            </w:r>
          </w:p>
        </w:tc>
        <w:tc>
          <w:tcPr>
            <w:tcW w:w="1605" w:type="dxa"/>
            <w:tcBorders>
              <w:bottom w:val="single" w:color="auto" w:sz="8" w:space="0"/>
            </w:tcBorders>
            <w:vAlign w:val="center"/>
          </w:tcPr>
          <w:p>
            <w:pPr>
              <w:pStyle w:val="53"/>
              <w:spacing w:beforeLines="0" w:afterLines="0" w:line="240" w:lineRule="auto"/>
              <w:rPr>
                <w:rFonts w:hint="default" w:ascii="Times New Roman" w:eastAsia="宋体"/>
                <w:lang w:val="en-US" w:eastAsia="zh-CN"/>
              </w:rPr>
            </w:pPr>
            <w:r>
              <w:rPr>
                <w:rFonts w:hint="eastAsia" w:ascii="Times New Roman"/>
                <w:lang w:val="en-US" w:eastAsia="zh-CN"/>
              </w:rPr>
              <w:t>0</w:t>
            </w:r>
            <w:r>
              <w:rPr>
                <w:rFonts w:hint="eastAsia" w:ascii="Times New Roman"/>
                <w:snapToGrid w:val="0"/>
                <w:kern w:val="21"/>
                <w:lang w:val="en-US" w:eastAsia="zh-CN"/>
              </w:rPr>
              <w:t>t/a</w:t>
            </w:r>
          </w:p>
        </w:tc>
        <w:tc>
          <w:tcPr>
            <w:tcW w:w="1275" w:type="dxa"/>
            <w:tcBorders>
              <w:bottom w:val="single" w:color="auto" w:sz="8" w:space="0"/>
            </w:tcBorders>
            <w:vAlign w:val="center"/>
          </w:tcPr>
          <w:p>
            <w:pPr>
              <w:pStyle w:val="53"/>
              <w:spacing w:beforeLines="0" w:afterLines="0" w:line="240" w:lineRule="auto"/>
              <w:rPr>
                <w:rFonts w:ascii="Times New Roman"/>
                <w:snapToGrid w:val="0"/>
                <w:kern w:val="21"/>
              </w:rPr>
            </w:pPr>
            <w:r>
              <w:rPr>
                <w:rFonts w:hint="eastAsia" w:ascii="Times New Roman"/>
                <w:snapToGrid w:val="0"/>
                <w:kern w:val="21"/>
              </w:rPr>
              <w:t>/</w:t>
            </w:r>
          </w:p>
        </w:tc>
        <w:tc>
          <w:tcPr>
            <w:tcW w:w="1562" w:type="dxa"/>
            <w:tcBorders>
              <w:bottom w:val="single" w:color="auto" w:sz="8" w:space="0"/>
            </w:tcBorders>
            <w:vAlign w:val="center"/>
          </w:tcPr>
          <w:p>
            <w:pPr>
              <w:pStyle w:val="53"/>
              <w:spacing w:beforeLines="0" w:afterLines="0" w:line="240" w:lineRule="auto"/>
              <w:rPr>
                <w:rFonts w:ascii="Times New Roman"/>
                <w:snapToGrid w:val="0"/>
                <w:kern w:val="21"/>
              </w:rPr>
            </w:pPr>
            <w:r>
              <w:rPr>
                <w:rFonts w:hint="eastAsia" w:ascii="Times New Roman"/>
                <w:snapToGrid w:val="0"/>
                <w:kern w:val="21"/>
              </w:rPr>
              <w:t>/</w:t>
            </w:r>
          </w:p>
        </w:tc>
        <w:tc>
          <w:tcPr>
            <w:tcW w:w="1559" w:type="dxa"/>
            <w:tcBorders>
              <w:bottom w:val="single" w:color="auto" w:sz="8" w:space="0"/>
            </w:tcBorders>
            <w:vAlign w:val="center"/>
          </w:tcPr>
          <w:p>
            <w:pPr>
              <w:autoSpaceDE w:val="0"/>
              <w:autoSpaceDN w:val="0"/>
              <w:adjustRightInd w:val="0"/>
              <w:jc w:val="center"/>
            </w:pPr>
            <w:r>
              <w:rPr>
                <w:rFonts w:hint="eastAsia"/>
              </w:rPr>
              <w:t>0.</w:t>
            </w:r>
            <w:r>
              <w:rPr>
                <w:rFonts w:hint="eastAsia"/>
                <w:lang w:val="en-US" w:eastAsia="zh-CN"/>
              </w:rPr>
              <w:t>1</w:t>
            </w:r>
            <w:r>
              <w:t>t/a</w:t>
            </w:r>
          </w:p>
        </w:tc>
        <w:tc>
          <w:tcPr>
            <w:tcW w:w="1621" w:type="dxa"/>
            <w:tcBorders>
              <w:bottom w:val="single" w:color="auto" w:sz="8" w:space="0"/>
            </w:tcBorders>
            <w:vAlign w:val="center"/>
          </w:tcPr>
          <w:p>
            <w:pPr>
              <w:pStyle w:val="53"/>
              <w:spacing w:beforeLines="0" w:afterLines="0" w:line="240" w:lineRule="auto"/>
              <w:rPr>
                <w:rFonts w:ascii="Times New Roman"/>
              </w:rPr>
            </w:pPr>
            <w:r>
              <w:rPr>
                <w:rFonts w:hint="eastAsia" w:ascii="Times New Roman"/>
                <w:lang w:val="en-US" w:eastAsia="zh-CN"/>
              </w:rPr>
              <w:t>0</w:t>
            </w:r>
            <w:r>
              <w:rPr>
                <w:rFonts w:hint="eastAsia" w:ascii="Times New Roman"/>
                <w:snapToGrid w:val="0"/>
                <w:kern w:val="21"/>
                <w:lang w:val="en-US" w:eastAsia="zh-CN"/>
              </w:rPr>
              <w:t>t/a</w:t>
            </w:r>
          </w:p>
        </w:tc>
        <w:tc>
          <w:tcPr>
            <w:tcW w:w="1695" w:type="dxa"/>
            <w:tcBorders>
              <w:bottom w:val="single" w:color="auto" w:sz="8" w:space="0"/>
            </w:tcBorders>
            <w:vAlign w:val="center"/>
          </w:tcPr>
          <w:p>
            <w:pPr>
              <w:autoSpaceDE w:val="0"/>
              <w:autoSpaceDN w:val="0"/>
              <w:adjustRightInd w:val="0"/>
              <w:jc w:val="center"/>
              <w:rPr>
                <w:color w:val="auto"/>
              </w:rPr>
            </w:pPr>
            <w:r>
              <w:rPr>
                <w:rFonts w:hint="eastAsia"/>
                <w:color w:val="auto"/>
              </w:rPr>
              <w:t>0.</w:t>
            </w:r>
            <w:r>
              <w:rPr>
                <w:rFonts w:hint="eastAsia"/>
                <w:color w:val="auto"/>
                <w:lang w:val="en-US" w:eastAsia="zh-CN"/>
              </w:rPr>
              <w:t>1</w:t>
            </w:r>
            <w:r>
              <w:rPr>
                <w:color w:val="auto"/>
              </w:rPr>
              <w:t>t/a</w:t>
            </w:r>
          </w:p>
        </w:tc>
        <w:tc>
          <w:tcPr>
            <w:tcW w:w="1230" w:type="dxa"/>
            <w:tcBorders>
              <w:bottom w:val="single" w:color="auto" w:sz="8" w:space="0"/>
            </w:tcBorders>
            <w:vAlign w:val="center"/>
          </w:tcPr>
          <w:p>
            <w:pPr>
              <w:autoSpaceDE w:val="0"/>
              <w:autoSpaceDN w:val="0"/>
              <w:adjustRightInd w:val="0"/>
              <w:jc w:val="center"/>
              <w:rPr>
                <w:color w:val="auto"/>
              </w:rPr>
            </w:pPr>
            <w:r>
              <w:rPr>
                <w:rFonts w:hint="eastAsia"/>
                <w:color w:val="auto"/>
                <w:lang w:val="en-US" w:eastAsia="zh-CN"/>
              </w:rPr>
              <w:t>+</w:t>
            </w:r>
            <w:r>
              <w:rPr>
                <w:rFonts w:hint="eastAsia"/>
                <w:color w:val="auto"/>
              </w:rPr>
              <w:t>0.</w:t>
            </w:r>
            <w:r>
              <w:rPr>
                <w:rFonts w:hint="eastAsia"/>
                <w:color w:val="auto"/>
                <w:lang w:val="en-US" w:eastAsia="zh-CN"/>
              </w:rPr>
              <w:t>1</w:t>
            </w:r>
            <w:r>
              <w:rPr>
                <w:color w:val="auto"/>
              </w:rPr>
              <w:t>t/a</w:t>
            </w:r>
          </w:p>
        </w:tc>
      </w:tr>
    </w:tbl>
    <w:p>
      <w:pPr>
        <w:pStyle w:val="53"/>
        <w:spacing w:before="192" w:beforeLines="80" w:after="24"/>
        <w:jc w:val="left"/>
        <w:rPr>
          <w:rFonts w:ascii="Times New Roman"/>
          <w:snapToGrid w:val="0"/>
          <w:color w:val="000000"/>
          <w:spacing w:val="-6"/>
          <w:kern w:val="21"/>
        </w:rPr>
      </w:pPr>
      <w:r>
        <w:rPr>
          <w:rFonts w:hint="eastAsia" w:ascii="Times New Roman"/>
          <w:snapToGrid w:val="0"/>
          <w:color w:val="000000"/>
          <w:kern w:val="21"/>
        </w:rPr>
        <w:t>注：</w:t>
      </w:r>
      <w:r>
        <w:rPr>
          <w:rFonts w:ascii="Times New Roman"/>
          <w:snapToGrid w:val="0"/>
          <w:color w:val="000000"/>
          <w:spacing w:val="-16"/>
          <w:kern w:val="21"/>
        </w:rPr>
        <w:fldChar w:fldCharType="begin"/>
      </w:r>
      <w:r>
        <w:rPr>
          <w:rFonts w:ascii="Times New Roman"/>
          <w:snapToGrid w:val="0"/>
          <w:color w:val="000000"/>
          <w:spacing w:val="-16"/>
          <w:kern w:val="21"/>
        </w:rPr>
        <w:instrText xml:space="preserve"> = 6 \* GB3 \* MERGEFORMAT </w:instrText>
      </w:r>
      <w:r>
        <w:rPr>
          <w:rFonts w:ascii="Times New Roman"/>
          <w:snapToGrid w:val="0"/>
          <w:color w:val="000000"/>
          <w:spacing w:val="-16"/>
          <w:kern w:val="21"/>
        </w:rPr>
        <w:fldChar w:fldCharType="separate"/>
      </w:r>
      <w:r>
        <w:rPr>
          <w:rFonts w:hint="eastAsia" w:hAnsi="宋体"/>
        </w:rPr>
        <w:t>⑥</w:t>
      </w:r>
      <w:r>
        <w:rPr>
          <w:rFonts w:ascii="Times New Roman"/>
          <w:snapToGrid w:val="0"/>
          <w:color w:val="000000"/>
          <w:spacing w:val="-16"/>
          <w:kern w:val="21"/>
        </w:rPr>
        <w:fldChar w:fldCharType="end"/>
      </w:r>
      <w:r>
        <w:rPr>
          <w:rFonts w:ascii="Times New Roman"/>
          <w:snapToGrid w:val="0"/>
          <w:color w:val="000000"/>
          <w:spacing w:val="-16"/>
          <w:kern w:val="21"/>
        </w:rPr>
        <w:t>=</w:t>
      </w:r>
      <w:r>
        <w:rPr>
          <w:rFonts w:ascii="Times New Roman"/>
          <w:snapToGrid w:val="0"/>
          <w:color w:val="000000"/>
          <w:spacing w:val="-6"/>
          <w:kern w:val="21"/>
        </w:rPr>
        <w:fldChar w:fldCharType="begin"/>
      </w:r>
      <w:r>
        <w:rPr>
          <w:rFonts w:ascii="Times New Roman"/>
          <w:snapToGrid w:val="0"/>
          <w:color w:val="000000"/>
          <w:spacing w:val="-6"/>
          <w:kern w:val="21"/>
        </w:rPr>
        <w:instrText xml:space="preserve"> = 1 \* GB3 \* MERGEFORMAT </w:instrText>
      </w:r>
      <w:r>
        <w:rPr>
          <w:rFonts w:ascii="Times New Roman"/>
          <w:snapToGrid w:val="0"/>
          <w:color w:val="000000"/>
          <w:spacing w:val="-6"/>
          <w:kern w:val="21"/>
        </w:rPr>
        <w:fldChar w:fldCharType="separate"/>
      </w:r>
      <w:r>
        <w:rPr>
          <w:rFonts w:hint="eastAsia" w:hAnsi="宋体"/>
        </w:rPr>
        <w:t>①</w:t>
      </w:r>
      <w:r>
        <w:rPr>
          <w:rFonts w:ascii="Times New Roman"/>
          <w:snapToGrid w:val="0"/>
          <w:color w:val="000000"/>
          <w:spacing w:val="-6"/>
          <w:kern w:val="21"/>
        </w:rPr>
        <w:fldChar w:fldCharType="end"/>
      </w:r>
      <w:r>
        <w:rPr>
          <w:rFonts w:ascii="Times New Roman"/>
          <w:snapToGrid w:val="0"/>
          <w:color w:val="000000"/>
          <w:spacing w:val="-6"/>
          <w:kern w:val="21"/>
        </w:rPr>
        <w:t>+</w:t>
      </w:r>
      <w:r>
        <w:rPr>
          <w:rFonts w:ascii="Times New Roman"/>
          <w:snapToGrid w:val="0"/>
          <w:color w:val="000000"/>
          <w:spacing w:val="-6"/>
          <w:kern w:val="21"/>
        </w:rPr>
        <w:fldChar w:fldCharType="begin"/>
      </w:r>
      <w:r>
        <w:rPr>
          <w:rFonts w:ascii="Times New Roman"/>
          <w:snapToGrid w:val="0"/>
          <w:color w:val="000000"/>
          <w:spacing w:val="-6"/>
          <w:kern w:val="21"/>
        </w:rPr>
        <w:instrText xml:space="preserve"> = 3 \* GB3 \* MERGEFORMAT </w:instrText>
      </w:r>
      <w:r>
        <w:rPr>
          <w:rFonts w:ascii="Times New Roman"/>
          <w:snapToGrid w:val="0"/>
          <w:color w:val="000000"/>
          <w:spacing w:val="-6"/>
          <w:kern w:val="21"/>
        </w:rPr>
        <w:fldChar w:fldCharType="separate"/>
      </w:r>
      <w:r>
        <w:rPr>
          <w:rFonts w:hint="eastAsia" w:hAnsi="宋体"/>
        </w:rPr>
        <w:t>③</w:t>
      </w:r>
      <w:r>
        <w:rPr>
          <w:rFonts w:ascii="Times New Roman"/>
          <w:snapToGrid w:val="0"/>
          <w:color w:val="000000"/>
          <w:spacing w:val="-6"/>
          <w:kern w:val="21"/>
        </w:rPr>
        <w:fldChar w:fldCharType="end"/>
      </w:r>
      <w:r>
        <w:rPr>
          <w:rFonts w:ascii="Times New Roman"/>
          <w:snapToGrid w:val="0"/>
          <w:color w:val="000000"/>
          <w:spacing w:val="-6"/>
          <w:kern w:val="21"/>
        </w:rPr>
        <w:t>+</w:t>
      </w:r>
      <w:r>
        <w:rPr>
          <w:rFonts w:ascii="Times New Roman"/>
          <w:snapToGrid w:val="0"/>
          <w:color w:val="000000"/>
          <w:spacing w:val="-6"/>
          <w:kern w:val="21"/>
        </w:rPr>
        <w:fldChar w:fldCharType="begin"/>
      </w:r>
      <w:r>
        <w:rPr>
          <w:rFonts w:ascii="Times New Roman"/>
          <w:snapToGrid w:val="0"/>
          <w:color w:val="000000"/>
          <w:spacing w:val="-6"/>
          <w:kern w:val="21"/>
        </w:rPr>
        <w:instrText xml:space="preserve"> = 4 \* GB3 \* MERGEFORMAT </w:instrText>
      </w:r>
      <w:r>
        <w:rPr>
          <w:rFonts w:ascii="Times New Roman"/>
          <w:snapToGrid w:val="0"/>
          <w:color w:val="000000"/>
          <w:spacing w:val="-6"/>
          <w:kern w:val="21"/>
        </w:rPr>
        <w:fldChar w:fldCharType="separate"/>
      </w:r>
      <w:r>
        <w:rPr>
          <w:rFonts w:hint="eastAsia" w:hAnsi="宋体"/>
        </w:rPr>
        <w:t>④</w:t>
      </w:r>
      <w:r>
        <w:rPr>
          <w:rFonts w:ascii="Times New Roman"/>
          <w:snapToGrid w:val="0"/>
          <w:color w:val="000000"/>
          <w:spacing w:val="-6"/>
          <w:kern w:val="21"/>
        </w:rPr>
        <w:fldChar w:fldCharType="end"/>
      </w:r>
      <w:r>
        <w:rPr>
          <w:rFonts w:ascii="Times New Roman"/>
          <w:snapToGrid w:val="0"/>
          <w:color w:val="000000"/>
          <w:spacing w:val="-6"/>
          <w:kern w:val="21"/>
        </w:rPr>
        <w:t>-</w:t>
      </w:r>
      <w:r>
        <w:rPr>
          <w:rFonts w:ascii="Times New Roman"/>
          <w:snapToGrid w:val="0"/>
          <w:color w:val="000000"/>
          <w:spacing w:val="-16"/>
          <w:kern w:val="21"/>
        </w:rPr>
        <w:fldChar w:fldCharType="begin"/>
      </w:r>
      <w:r>
        <w:rPr>
          <w:rFonts w:ascii="Times New Roman"/>
          <w:snapToGrid w:val="0"/>
          <w:color w:val="000000"/>
          <w:spacing w:val="-16"/>
          <w:kern w:val="21"/>
        </w:rPr>
        <w:instrText xml:space="preserve"> = 5 \* GB3 \* MERGEFORMAT </w:instrText>
      </w:r>
      <w:r>
        <w:rPr>
          <w:rFonts w:ascii="Times New Roman"/>
          <w:snapToGrid w:val="0"/>
          <w:color w:val="000000"/>
          <w:spacing w:val="-16"/>
          <w:kern w:val="21"/>
        </w:rPr>
        <w:fldChar w:fldCharType="separate"/>
      </w:r>
      <w:r>
        <w:rPr>
          <w:rFonts w:hint="eastAsia" w:hAnsi="宋体"/>
        </w:rPr>
        <w:t>⑤</w:t>
      </w:r>
      <w:r>
        <w:rPr>
          <w:rFonts w:ascii="Times New Roman"/>
          <w:snapToGrid w:val="0"/>
          <w:color w:val="000000"/>
          <w:spacing w:val="-16"/>
          <w:kern w:val="21"/>
        </w:rPr>
        <w:fldChar w:fldCharType="end"/>
      </w:r>
      <w:r>
        <w:rPr>
          <w:rFonts w:hint="eastAsia" w:ascii="Times New Roman"/>
          <w:snapToGrid w:val="0"/>
          <w:color w:val="000000"/>
          <w:spacing w:val="-16"/>
          <w:kern w:val="21"/>
        </w:rPr>
        <w:t>；</w:t>
      </w:r>
      <w:r>
        <w:rPr>
          <w:rFonts w:ascii="Times New Roman"/>
          <w:snapToGrid w:val="0"/>
          <w:color w:val="000000"/>
          <w:spacing w:val="-6"/>
          <w:kern w:val="21"/>
        </w:rPr>
        <w:fldChar w:fldCharType="begin"/>
      </w:r>
      <w:r>
        <w:rPr>
          <w:rFonts w:ascii="Times New Roman"/>
          <w:snapToGrid w:val="0"/>
          <w:color w:val="000000"/>
          <w:spacing w:val="-6"/>
          <w:kern w:val="21"/>
        </w:rPr>
        <w:instrText xml:space="preserve"> = 7 \* GB3 \* MERGEFORMAT </w:instrText>
      </w:r>
      <w:r>
        <w:rPr>
          <w:rFonts w:ascii="Times New Roman"/>
          <w:snapToGrid w:val="0"/>
          <w:color w:val="000000"/>
          <w:spacing w:val="-6"/>
          <w:kern w:val="21"/>
        </w:rPr>
        <w:fldChar w:fldCharType="separate"/>
      </w:r>
      <w:r>
        <w:rPr>
          <w:rFonts w:hint="eastAsia" w:hAnsi="宋体"/>
        </w:rPr>
        <w:t>⑦</w:t>
      </w:r>
      <w:r>
        <w:rPr>
          <w:rFonts w:ascii="Times New Roman"/>
          <w:snapToGrid w:val="0"/>
          <w:color w:val="000000"/>
          <w:spacing w:val="-6"/>
          <w:kern w:val="21"/>
        </w:rPr>
        <w:fldChar w:fldCharType="end"/>
      </w:r>
      <w:r>
        <w:rPr>
          <w:rFonts w:ascii="Times New Roman"/>
          <w:snapToGrid w:val="0"/>
          <w:color w:val="000000"/>
          <w:spacing w:val="-6"/>
          <w:kern w:val="21"/>
        </w:rPr>
        <w:t>=</w:t>
      </w:r>
      <w:r>
        <w:rPr>
          <w:rFonts w:ascii="Times New Roman"/>
          <w:snapToGrid w:val="0"/>
          <w:color w:val="000000"/>
          <w:spacing w:val="-16"/>
          <w:kern w:val="21"/>
        </w:rPr>
        <w:fldChar w:fldCharType="begin"/>
      </w:r>
      <w:r>
        <w:rPr>
          <w:rFonts w:ascii="Times New Roman"/>
          <w:snapToGrid w:val="0"/>
          <w:color w:val="000000"/>
          <w:spacing w:val="-16"/>
          <w:kern w:val="21"/>
        </w:rPr>
        <w:instrText xml:space="preserve"> = 6 \* GB3 \* MERGEFORMAT </w:instrText>
      </w:r>
      <w:r>
        <w:rPr>
          <w:rFonts w:ascii="Times New Roman"/>
          <w:snapToGrid w:val="0"/>
          <w:color w:val="000000"/>
          <w:spacing w:val="-16"/>
          <w:kern w:val="21"/>
        </w:rPr>
        <w:fldChar w:fldCharType="separate"/>
      </w:r>
      <w:r>
        <w:rPr>
          <w:rFonts w:hint="eastAsia" w:hAnsi="宋体"/>
        </w:rPr>
        <w:t>⑥</w:t>
      </w:r>
      <w:r>
        <w:rPr>
          <w:rFonts w:ascii="Times New Roman"/>
          <w:snapToGrid w:val="0"/>
          <w:color w:val="000000"/>
          <w:spacing w:val="-16"/>
          <w:kern w:val="21"/>
        </w:rPr>
        <w:fldChar w:fldCharType="end"/>
      </w:r>
      <w:r>
        <w:rPr>
          <w:rFonts w:ascii="Times New Roman"/>
          <w:snapToGrid w:val="0"/>
          <w:color w:val="000000"/>
          <w:spacing w:val="-16"/>
          <w:kern w:val="21"/>
        </w:rPr>
        <w:t>-</w:t>
      </w:r>
      <w:r>
        <w:rPr>
          <w:rFonts w:ascii="Times New Roman"/>
          <w:snapToGrid w:val="0"/>
          <w:color w:val="000000"/>
          <w:spacing w:val="-6"/>
          <w:kern w:val="21"/>
        </w:rPr>
        <w:fldChar w:fldCharType="begin"/>
      </w:r>
      <w:r>
        <w:rPr>
          <w:rFonts w:ascii="Times New Roman"/>
          <w:snapToGrid w:val="0"/>
          <w:color w:val="000000"/>
          <w:spacing w:val="-6"/>
          <w:kern w:val="21"/>
        </w:rPr>
        <w:instrText xml:space="preserve"> = 1 \* GB3 \* MERGEFORMAT </w:instrText>
      </w:r>
      <w:r>
        <w:rPr>
          <w:rFonts w:ascii="Times New Roman"/>
          <w:snapToGrid w:val="0"/>
          <w:color w:val="000000"/>
          <w:spacing w:val="-6"/>
          <w:kern w:val="21"/>
        </w:rPr>
        <w:fldChar w:fldCharType="separate"/>
      </w:r>
      <w:r>
        <w:rPr>
          <w:rFonts w:hint="eastAsia" w:hAnsi="宋体"/>
        </w:rPr>
        <w:t>①</w:t>
      </w:r>
      <w:r>
        <w:rPr>
          <w:rFonts w:ascii="Times New Roman"/>
          <w:snapToGrid w:val="0"/>
          <w:color w:val="000000"/>
          <w:spacing w:val="-6"/>
          <w:kern w:val="21"/>
        </w:rPr>
        <w:fldChar w:fldCharType="end"/>
      </w:r>
    </w:p>
    <w:p>
      <w:pPr>
        <w:sectPr>
          <w:footerReference r:id="rId5" w:type="default"/>
          <w:pgSz w:w="16838" w:h="11906" w:orient="landscape"/>
          <w:pgMar w:top="1701" w:right="1531" w:bottom="1701" w:left="1531" w:header="851" w:footer="851" w:gutter="0"/>
          <w:cols w:space="720" w:num="1"/>
          <w:docGrid w:linePitch="312" w:charSpace="0"/>
        </w:sectPr>
      </w:pPr>
    </w:p>
    <w:p>
      <w:pPr>
        <w:rPr>
          <w:rFonts w:ascii="宋体" w:hAnsi="宋体" w:eastAsia="黑体"/>
        </w:rPr>
      </w:pPr>
    </w:p>
    <w:sectPr>
      <w:footerReference r:id="rId6" w:type="default"/>
      <w:pgSz w:w="11906" w:h="16838"/>
      <w:pgMar w:top="1701" w:right="1531" w:bottom="1701" w:left="1531" w:header="851" w:footer="851"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18030">
    <w:altName w:val="Segoe Print"/>
    <w:panose1 w:val="00000000000000000000"/>
    <w:charset w:val="00"/>
    <w:family w:val="auto"/>
    <w:pitch w:val="default"/>
    <w:sig w:usb0="00000000" w:usb1="00000000" w:usb2="00000000" w:usb3="00000000" w:csb0="00000001"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uto" w:vAnchor="text" w:hAnchor="margin" w:xAlign="outside" w:y="1"/>
      <w:rPr>
        <w:rStyle w:val="26"/>
        <w:rFonts w:ascii="宋体"/>
        <w:sz w:val="28"/>
        <w:szCs w:val="28"/>
      </w:rPr>
    </w:pPr>
    <w:r>
      <w:rPr>
        <w:rStyle w:val="26"/>
        <w:rFonts w:ascii="宋体" w:hAnsi="宋体" w:cs="宋体"/>
        <w:sz w:val="28"/>
        <w:szCs w:val="28"/>
      </w:rPr>
      <w:t>—</w:t>
    </w:r>
    <w:r>
      <w:rPr>
        <w:rStyle w:val="26"/>
        <w:rFonts w:ascii="宋体" w:hAnsi="宋体" w:cs="宋体"/>
        <w:sz w:val="26"/>
        <w:szCs w:val="26"/>
      </w:rPr>
      <w:fldChar w:fldCharType="begin"/>
    </w:r>
    <w:r>
      <w:rPr>
        <w:rStyle w:val="26"/>
        <w:rFonts w:ascii="宋体" w:hAnsi="宋体" w:cs="宋体"/>
        <w:sz w:val="26"/>
        <w:szCs w:val="26"/>
      </w:rPr>
      <w:instrText xml:space="preserve">PAGE  </w:instrText>
    </w:r>
    <w:r>
      <w:rPr>
        <w:rStyle w:val="26"/>
        <w:rFonts w:ascii="宋体" w:hAnsi="宋体" w:cs="宋体"/>
        <w:sz w:val="26"/>
        <w:szCs w:val="26"/>
      </w:rPr>
      <w:fldChar w:fldCharType="separate"/>
    </w:r>
    <w:r>
      <w:rPr>
        <w:rStyle w:val="26"/>
        <w:rFonts w:ascii="宋体" w:hAnsi="宋体" w:cs="宋体"/>
        <w:sz w:val="26"/>
        <w:szCs w:val="26"/>
      </w:rPr>
      <w:t>76</w:t>
    </w:r>
    <w:r>
      <w:rPr>
        <w:rStyle w:val="26"/>
        <w:rFonts w:ascii="宋体" w:hAnsi="宋体" w:cs="宋体"/>
        <w:sz w:val="26"/>
        <w:szCs w:val="26"/>
      </w:rPr>
      <w:fldChar w:fldCharType="end"/>
    </w:r>
    <w:r>
      <w:rPr>
        <w:rStyle w:val="26"/>
        <w:rFonts w:ascii="宋体" w:hAnsi="宋体" w:cs="宋体"/>
        <w:sz w:val="28"/>
        <w:szCs w:val="28"/>
      </w:rPr>
      <w:t>—</w:t>
    </w:r>
  </w:p>
  <w:p>
    <w:pPr>
      <w:pStyle w:val="15"/>
      <w:ind w:right="360" w:firstLine="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uto" w:vAnchor="text" w:hAnchor="margin" w:xAlign="center" w:y="1"/>
      <w:rPr>
        <w:rStyle w:val="26"/>
        <w:rFonts w:ascii="宋体"/>
        <w:sz w:val="28"/>
        <w:szCs w:val="28"/>
      </w:rPr>
    </w:pPr>
    <w:r>
      <w:rPr>
        <w:rStyle w:val="26"/>
        <w:rFonts w:ascii="宋体" w:hAnsi="宋体" w:cs="宋体"/>
        <w:sz w:val="28"/>
        <w:szCs w:val="28"/>
      </w:rPr>
      <w:t>—</w:t>
    </w:r>
    <w:r>
      <w:rPr>
        <w:rStyle w:val="26"/>
        <w:rFonts w:ascii="宋体" w:hAnsi="宋体" w:cs="宋体"/>
        <w:sz w:val="26"/>
        <w:szCs w:val="26"/>
      </w:rPr>
      <w:fldChar w:fldCharType="begin"/>
    </w:r>
    <w:r>
      <w:rPr>
        <w:rStyle w:val="26"/>
        <w:rFonts w:ascii="宋体" w:hAnsi="宋体" w:cs="宋体"/>
        <w:sz w:val="26"/>
        <w:szCs w:val="26"/>
      </w:rPr>
      <w:instrText xml:space="preserve">PAGE  </w:instrText>
    </w:r>
    <w:r>
      <w:rPr>
        <w:rStyle w:val="26"/>
        <w:rFonts w:ascii="宋体" w:hAnsi="宋体" w:cs="宋体"/>
        <w:sz w:val="26"/>
        <w:szCs w:val="26"/>
      </w:rPr>
      <w:fldChar w:fldCharType="separate"/>
    </w:r>
    <w:r>
      <w:rPr>
        <w:rStyle w:val="26"/>
        <w:rFonts w:ascii="宋体" w:hAnsi="宋体" w:cs="宋体"/>
        <w:sz w:val="26"/>
        <w:szCs w:val="26"/>
      </w:rPr>
      <w:t>77</w:t>
    </w:r>
    <w:r>
      <w:rPr>
        <w:rStyle w:val="26"/>
        <w:rFonts w:ascii="宋体" w:hAnsi="宋体" w:cs="宋体"/>
        <w:sz w:val="26"/>
        <w:szCs w:val="26"/>
      </w:rPr>
      <w:fldChar w:fldCharType="end"/>
    </w:r>
    <w:r>
      <w:rPr>
        <w:rStyle w:val="26"/>
        <w:rFonts w:ascii="宋体" w:hAnsi="宋体" w:cs="宋体"/>
        <w:sz w:val="28"/>
        <w:szCs w:val="28"/>
      </w:rPr>
      <w:t>—</w:t>
    </w:r>
  </w:p>
  <w:p>
    <w:pPr>
      <w:pStyle w:val="15"/>
      <w:ind w:right="360" w:firstLine="360"/>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uto" w:vAnchor="text" w:hAnchor="margin" w:xAlign="outside" w:y="1"/>
      <w:rPr>
        <w:rStyle w:val="26"/>
        <w:rFonts w:ascii="宋体"/>
        <w:sz w:val="28"/>
        <w:szCs w:val="28"/>
      </w:rPr>
    </w:pPr>
    <w:r>
      <w:rPr>
        <w:rStyle w:val="26"/>
        <w:rFonts w:ascii="宋体" w:hAnsi="宋体" w:cs="宋体"/>
        <w:sz w:val="28"/>
        <w:szCs w:val="28"/>
      </w:rPr>
      <w:t>—</w:t>
    </w:r>
    <w:r>
      <w:rPr>
        <w:rStyle w:val="26"/>
        <w:rFonts w:ascii="宋体" w:hAnsi="宋体" w:cs="宋体"/>
        <w:sz w:val="26"/>
        <w:szCs w:val="26"/>
      </w:rPr>
      <w:fldChar w:fldCharType="begin"/>
    </w:r>
    <w:r>
      <w:rPr>
        <w:rStyle w:val="26"/>
        <w:rFonts w:ascii="宋体" w:hAnsi="宋体" w:cs="宋体"/>
        <w:sz w:val="26"/>
        <w:szCs w:val="26"/>
      </w:rPr>
      <w:instrText xml:space="preserve">PAGE  </w:instrText>
    </w:r>
    <w:r>
      <w:rPr>
        <w:rStyle w:val="26"/>
        <w:rFonts w:ascii="宋体" w:hAnsi="宋体" w:cs="宋体"/>
        <w:sz w:val="26"/>
        <w:szCs w:val="26"/>
      </w:rPr>
      <w:fldChar w:fldCharType="separate"/>
    </w:r>
    <w:r>
      <w:rPr>
        <w:rStyle w:val="26"/>
        <w:rFonts w:ascii="宋体" w:hAnsi="宋体" w:cs="宋体"/>
        <w:sz w:val="26"/>
        <w:szCs w:val="26"/>
      </w:rPr>
      <w:t>78</w:t>
    </w:r>
    <w:r>
      <w:rPr>
        <w:rStyle w:val="26"/>
        <w:rFonts w:ascii="宋体" w:hAnsi="宋体" w:cs="宋体"/>
        <w:sz w:val="26"/>
        <w:szCs w:val="26"/>
      </w:rPr>
      <w:fldChar w:fldCharType="end"/>
    </w:r>
    <w:r>
      <w:rPr>
        <w:rStyle w:val="26"/>
        <w:rFonts w:ascii="宋体" w:hAnsi="宋体" w:cs="宋体"/>
        <w:sz w:val="28"/>
        <w:szCs w:val="28"/>
      </w:rPr>
      <w:t>—</w:t>
    </w:r>
  </w:p>
  <w:p>
    <w:pPr>
      <w:pStyle w:val="15"/>
      <w:ind w:right="360" w:firstLine="360"/>
      <w:jc w:val="cen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A10AD8"/>
    <w:multiLevelType w:val="singleLevel"/>
    <w:tmpl w:val="9FA10AD8"/>
    <w:lvl w:ilvl="0" w:tentative="0">
      <w:start w:val="1"/>
      <w:numFmt w:val="chineseCounting"/>
      <w:suff w:val="nothing"/>
      <w:lvlText w:val="%1、"/>
      <w:lvlJc w:val="left"/>
      <w:rPr>
        <w:rFonts w:hint="eastAsia"/>
      </w:rPr>
    </w:lvl>
  </w:abstractNum>
  <w:abstractNum w:abstractNumId="1">
    <w:nsid w:val="F8C23271"/>
    <w:multiLevelType w:val="singleLevel"/>
    <w:tmpl w:val="F8C23271"/>
    <w:lvl w:ilvl="0" w:tentative="0">
      <w:start w:val="2"/>
      <w:numFmt w:val="decimal"/>
      <w:suff w:val="nothing"/>
      <w:lvlText w:val="%1、"/>
      <w:lvlJc w:val="left"/>
    </w:lvl>
  </w:abstractNum>
  <w:abstractNum w:abstractNumId="2">
    <w:nsid w:val="267D4F94"/>
    <w:multiLevelType w:val="multilevel"/>
    <w:tmpl w:val="267D4F94"/>
    <w:lvl w:ilvl="0" w:tentative="0">
      <w:start w:val="1"/>
      <w:numFmt w:val="decimal"/>
      <w:pStyle w:val="65"/>
      <w:suff w:val="nothing"/>
      <w:lvlText w:val="(%1)、"/>
      <w:lvlJc w:val="left"/>
      <w:pPr>
        <w:ind w:left="568"/>
      </w:pPr>
      <w:rPr>
        <w:rFonts w:hint="default"/>
      </w:rPr>
    </w:lvl>
    <w:lvl w:ilvl="1" w:tentative="0">
      <w:start w:val="1"/>
      <w:numFmt w:val="lowerLetter"/>
      <w:lvlText w:val="%2)"/>
      <w:lvlJc w:val="left"/>
      <w:pPr>
        <w:ind w:left="2248" w:hanging="420"/>
      </w:pPr>
    </w:lvl>
    <w:lvl w:ilvl="2" w:tentative="0">
      <w:start w:val="1"/>
      <w:numFmt w:val="lowerRoman"/>
      <w:lvlText w:val="%3."/>
      <w:lvlJc w:val="right"/>
      <w:pPr>
        <w:ind w:left="2668" w:hanging="420"/>
      </w:pPr>
    </w:lvl>
    <w:lvl w:ilvl="3" w:tentative="0">
      <w:start w:val="1"/>
      <w:numFmt w:val="decimal"/>
      <w:lvlText w:val="%4."/>
      <w:lvlJc w:val="left"/>
      <w:pPr>
        <w:ind w:left="3088" w:hanging="420"/>
      </w:pPr>
    </w:lvl>
    <w:lvl w:ilvl="4" w:tentative="0">
      <w:start w:val="1"/>
      <w:numFmt w:val="lowerLetter"/>
      <w:lvlText w:val="%5)"/>
      <w:lvlJc w:val="left"/>
      <w:pPr>
        <w:ind w:left="3508" w:hanging="420"/>
      </w:pPr>
    </w:lvl>
    <w:lvl w:ilvl="5" w:tentative="0">
      <w:start w:val="1"/>
      <w:numFmt w:val="lowerRoman"/>
      <w:lvlText w:val="%6."/>
      <w:lvlJc w:val="right"/>
      <w:pPr>
        <w:ind w:left="3928" w:hanging="420"/>
      </w:pPr>
    </w:lvl>
    <w:lvl w:ilvl="6" w:tentative="0">
      <w:start w:val="1"/>
      <w:numFmt w:val="decimal"/>
      <w:lvlText w:val="%7."/>
      <w:lvlJc w:val="left"/>
      <w:pPr>
        <w:ind w:left="4348" w:hanging="420"/>
      </w:pPr>
    </w:lvl>
    <w:lvl w:ilvl="7" w:tentative="0">
      <w:start w:val="1"/>
      <w:numFmt w:val="lowerLetter"/>
      <w:lvlText w:val="%8)"/>
      <w:lvlJc w:val="left"/>
      <w:pPr>
        <w:ind w:left="4768" w:hanging="420"/>
      </w:pPr>
    </w:lvl>
    <w:lvl w:ilvl="8" w:tentative="0">
      <w:start w:val="1"/>
      <w:numFmt w:val="lowerRoman"/>
      <w:lvlText w:val="%9."/>
      <w:lvlJc w:val="right"/>
      <w:pPr>
        <w:ind w:left="5188"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8"/>
  <w:embedSystemFonts/>
  <w:bordersDoNotSurroundHeader w:val="0"/>
  <w:bordersDoNotSurroundFooter w:val="0"/>
  <w:hideSpellingErrors/>
  <w:doNotTrackMoves/>
  <w:documentProtection w:edit="trackedChanges"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ˇˉ―‖’”…∶、。〃々〉》」』】〕〗﹜﹞！＂％＇），．：；？］｀｜｝～￠"/>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ZjYzhkZmM3N2VjOGY2NmExN2I5YzI1ZGJjN2ZlZjYifQ=="/>
  </w:docVars>
  <w:rsids>
    <w:rsidRoot w:val="00A14947"/>
    <w:rsid w:val="000060B3"/>
    <w:rsid w:val="000273CC"/>
    <w:rsid w:val="00035963"/>
    <w:rsid w:val="0004364B"/>
    <w:rsid w:val="00046CA0"/>
    <w:rsid w:val="00061B1F"/>
    <w:rsid w:val="000733C4"/>
    <w:rsid w:val="00074783"/>
    <w:rsid w:val="0008070B"/>
    <w:rsid w:val="00080B11"/>
    <w:rsid w:val="000810AC"/>
    <w:rsid w:val="00081A02"/>
    <w:rsid w:val="00082231"/>
    <w:rsid w:val="00084144"/>
    <w:rsid w:val="000846DC"/>
    <w:rsid w:val="00084BFC"/>
    <w:rsid w:val="00092D38"/>
    <w:rsid w:val="0009377B"/>
    <w:rsid w:val="00095DDE"/>
    <w:rsid w:val="000A20C9"/>
    <w:rsid w:val="000A456E"/>
    <w:rsid w:val="000B058F"/>
    <w:rsid w:val="000B4467"/>
    <w:rsid w:val="000B4DB9"/>
    <w:rsid w:val="000C09AC"/>
    <w:rsid w:val="000C1FF9"/>
    <w:rsid w:val="000C767F"/>
    <w:rsid w:val="000D5A44"/>
    <w:rsid w:val="000D694C"/>
    <w:rsid w:val="000E13B1"/>
    <w:rsid w:val="000E3ED2"/>
    <w:rsid w:val="000E4BED"/>
    <w:rsid w:val="000F3BB0"/>
    <w:rsid w:val="000F3D85"/>
    <w:rsid w:val="00111276"/>
    <w:rsid w:val="001157C2"/>
    <w:rsid w:val="00131F42"/>
    <w:rsid w:val="001357F1"/>
    <w:rsid w:val="00135DFD"/>
    <w:rsid w:val="00136850"/>
    <w:rsid w:val="00140FA8"/>
    <w:rsid w:val="00142FEB"/>
    <w:rsid w:val="00143A2D"/>
    <w:rsid w:val="00145A41"/>
    <w:rsid w:val="001460B7"/>
    <w:rsid w:val="00150EAD"/>
    <w:rsid w:val="00151675"/>
    <w:rsid w:val="00157435"/>
    <w:rsid w:val="00172BE1"/>
    <w:rsid w:val="0017357C"/>
    <w:rsid w:val="0017504D"/>
    <w:rsid w:val="0017671A"/>
    <w:rsid w:val="00177422"/>
    <w:rsid w:val="00184590"/>
    <w:rsid w:val="00184846"/>
    <w:rsid w:val="001870D1"/>
    <w:rsid w:val="0018781E"/>
    <w:rsid w:val="0019262D"/>
    <w:rsid w:val="001A1B35"/>
    <w:rsid w:val="001A48A2"/>
    <w:rsid w:val="001A6F61"/>
    <w:rsid w:val="001B223C"/>
    <w:rsid w:val="001B72B8"/>
    <w:rsid w:val="001C2E6E"/>
    <w:rsid w:val="001C460E"/>
    <w:rsid w:val="001C69B3"/>
    <w:rsid w:val="001D5595"/>
    <w:rsid w:val="001D6958"/>
    <w:rsid w:val="001D7874"/>
    <w:rsid w:val="001D7F22"/>
    <w:rsid w:val="001F0F17"/>
    <w:rsid w:val="001F2D77"/>
    <w:rsid w:val="001F3347"/>
    <w:rsid w:val="001F69E4"/>
    <w:rsid w:val="00212106"/>
    <w:rsid w:val="002125B4"/>
    <w:rsid w:val="00213CF6"/>
    <w:rsid w:val="00214235"/>
    <w:rsid w:val="002155B8"/>
    <w:rsid w:val="00224839"/>
    <w:rsid w:val="002249B2"/>
    <w:rsid w:val="00226574"/>
    <w:rsid w:val="002278EC"/>
    <w:rsid w:val="00227B76"/>
    <w:rsid w:val="0023280E"/>
    <w:rsid w:val="002377D1"/>
    <w:rsid w:val="0024056F"/>
    <w:rsid w:val="002506BC"/>
    <w:rsid w:val="00254345"/>
    <w:rsid w:val="00264557"/>
    <w:rsid w:val="002679CB"/>
    <w:rsid w:val="002723C6"/>
    <w:rsid w:val="002805AB"/>
    <w:rsid w:val="00284204"/>
    <w:rsid w:val="00291773"/>
    <w:rsid w:val="002A098D"/>
    <w:rsid w:val="002A168C"/>
    <w:rsid w:val="002A3DC7"/>
    <w:rsid w:val="002B0B08"/>
    <w:rsid w:val="002B49E2"/>
    <w:rsid w:val="002B7B00"/>
    <w:rsid w:val="002B7C44"/>
    <w:rsid w:val="002C2B17"/>
    <w:rsid w:val="002C4449"/>
    <w:rsid w:val="002D3DD0"/>
    <w:rsid w:val="002E01C1"/>
    <w:rsid w:val="002E1F3A"/>
    <w:rsid w:val="002E298A"/>
    <w:rsid w:val="002E336F"/>
    <w:rsid w:val="002E443A"/>
    <w:rsid w:val="00301978"/>
    <w:rsid w:val="0030332C"/>
    <w:rsid w:val="003051C2"/>
    <w:rsid w:val="00305CE7"/>
    <w:rsid w:val="00312296"/>
    <w:rsid w:val="00314F0E"/>
    <w:rsid w:val="00321266"/>
    <w:rsid w:val="00321D8E"/>
    <w:rsid w:val="003251DB"/>
    <w:rsid w:val="00325928"/>
    <w:rsid w:val="00327B8D"/>
    <w:rsid w:val="00332863"/>
    <w:rsid w:val="0033684D"/>
    <w:rsid w:val="00337B42"/>
    <w:rsid w:val="00341B42"/>
    <w:rsid w:val="0034348F"/>
    <w:rsid w:val="00346F81"/>
    <w:rsid w:val="003550AC"/>
    <w:rsid w:val="00356653"/>
    <w:rsid w:val="0035743F"/>
    <w:rsid w:val="00357BE2"/>
    <w:rsid w:val="0036170C"/>
    <w:rsid w:val="00366E0F"/>
    <w:rsid w:val="003746D2"/>
    <w:rsid w:val="00381A72"/>
    <w:rsid w:val="00384676"/>
    <w:rsid w:val="0039084E"/>
    <w:rsid w:val="00390857"/>
    <w:rsid w:val="003916DC"/>
    <w:rsid w:val="00395C9B"/>
    <w:rsid w:val="003A23E8"/>
    <w:rsid w:val="003A4BF3"/>
    <w:rsid w:val="003B420D"/>
    <w:rsid w:val="003B7CAD"/>
    <w:rsid w:val="003C2C8C"/>
    <w:rsid w:val="003C6C16"/>
    <w:rsid w:val="003D21B2"/>
    <w:rsid w:val="003D2FD7"/>
    <w:rsid w:val="003D6656"/>
    <w:rsid w:val="003D794D"/>
    <w:rsid w:val="003E3058"/>
    <w:rsid w:val="003E3A6C"/>
    <w:rsid w:val="003E76A9"/>
    <w:rsid w:val="003F0809"/>
    <w:rsid w:val="003F23CE"/>
    <w:rsid w:val="003F281D"/>
    <w:rsid w:val="003F417C"/>
    <w:rsid w:val="003F65E9"/>
    <w:rsid w:val="003F6A8C"/>
    <w:rsid w:val="003F755C"/>
    <w:rsid w:val="00406F01"/>
    <w:rsid w:val="00416D50"/>
    <w:rsid w:val="00416FD5"/>
    <w:rsid w:val="00417772"/>
    <w:rsid w:val="00420E6A"/>
    <w:rsid w:val="00423C6D"/>
    <w:rsid w:val="00425A9E"/>
    <w:rsid w:val="00426D6B"/>
    <w:rsid w:val="00431E6C"/>
    <w:rsid w:val="00433CE7"/>
    <w:rsid w:val="00444C6A"/>
    <w:rsid w:val="00452738"/>
    <w:rsid w:val="00454D77"/>
    <w:rsid w:val="00456091"/>
    <w:rsid w:val="004618B7"/>
    <w:rsid w:val="0046550B"/>
    <w:rsid w:val="00466321"/>
    <w:rsid w:val="004672B9"/>
    <w:rsid w:val="00471B24"/>
    <w:rsid w:val="00484B9B"/>
    <w:rsid w:val="004855F6"/>
    <w:rsid w:val="0048661E"/>
    <w:rsid w:val="00490B57"/>
    <w:rsid w:val="00494670"/>
    <w:rsid w:val="004A3823"/>
    <w:rsid w:val="004B2B21"/>
    <w:rsid w:val="004B5C62"/>
    <w:rsid w:val="004C209A"/>
    <w:rsid w:val="004E0863"/>
    <w:rsid w:val="004E090D"/>
    <w:rsid w:val="004E2611"/>
    <w:rsid w:val="004E6282"/>
    <w:rsid w:val="004E6946"/>
    <w:rsid w:val="004F1AD8"/>
    <w:rsid w:val="004F3950"/>
    <w:rsid w:val="004F5E6C"/>
    <w:rsid w:val="00500138"/>
    <w:rsid w:val="00501EE6"/>
    <w:rsid w:val="005039CB"/>
    <w:rsid w:val="0050512F"/>
    <w:rsid w:val="0050558F"/>
    <w:rsid w:val="005061FA"/>
    <w:rsid w:val="00506286"/>
    <w:rsid w:val="00510813"/>
    <w:rsid w:val="00511990"/>
    <w:rsid w:val="00511DE0"/>
    <w:rsid w:val="00514870"/>
    <w:rsid w:val="00514B9B"/>
    <w:rsid w:val="00517F02"/>
    <w:rsid w:val="00523EB0"/>
    <w:rsid w:val="00524303"/>
    <w:rsid w:val="00524FBD"/>
    <w:rsid w:val="005258A2"/>
    <w:rsid w:val="005401AE"/>
    <w:rsid w:val="00542E07"/>
    <w:rsid w:val="00545424"/>
    <w:rsid w:val="00554A7B"/>
    <w:rsid w:val="0055572C"/>
    <w:rsid w:val="00560BF9"/>
    <w:rsid w:val="0056106A"/>
    <w:rsid w:val="005612EA"/>
    <w:rsid w:val="005720AE"/>
    <w:rsid w:val="00574B24"/>
    <w:rsid w:val="00593490"/>
    <w:rsid w:val="00594D77"/>
    <w:rsid w:val="005969E4"/>
    <w:rsid w:val="005A06B7"/>
    <w:rsid w:val="005A1759"/>
    <w:rsid w:val="005A68A7"/>
    <w:rsid w:val="005C0E3E"/>
    <w:rsid w:val="005D36AB"/>
    <w:rsid w:val="005D4603"/>
    <w:rsid w:val="005E0930"/>
    <w:rsid w:val="005E0D3B"/>
    <w:rsid w:val="005E181F"/>
    <w:rsid w:val="005F037B"/>
    <w:rsid w:val="005F481F"/>
    <w:rsid w:val="00612345"/>
    <w:rsid w:val="00613ECF"/>
    <w:rsid w:val="00617CC3"/>
    <w:rsid w:val="00636AF0"/>
    <w:rsid w:val="00636E63"/>
    <w:rsid w:val="006377A6"/>
    <w:rsid w:val="00637A3D"/>
    <w:rsid w:val="006411EF"/>
    <w:rsid w:val="00641E35"/>
    <w:rsid w:val="00667CDF"/>
    <w:rsid w:val="006748B8"/>
    <w:rsid w:val="006775C3"/>
    <w:rsid w:val="00677C64"/>
    <w:rsid w:val="0069290A"/>
    <w:rsid w:val="0069775A"/>
    <w:rsid w:val="00697813"/>
    <w:rsid w:val="006A3EE8"/>
    <w:rsid w:val="006A72BF"/>
    <w:rsid w:val="006B02F9"/>
    <w:rsid w:val="006B03F2"/>
    <w:rsid w:val="006B37DC"/>
    <w:rsid w:val="006B4F68"/>
    <w:rsid w:val="006C0592"/>
    <w:rsid w:val="006C272E"/>
    <w:rsid w:val="006C5479"/>
    <w:rsid w:val="006D13B5"/>
    <w:rsid w:val="006E12FF"/>
    <w:rsid w:val="006E5CD1"/>
    <w:rsid w:val="006E607E"/>
    <w:rsid w:val="006E6810"/>
    <w:rsid w:val="007047E1"/>
    <w:rsid w:val="00706C5D"/>
    <w:rsid w:val="007200AE"/>
    <w:rsid w:val="00724552"/>
    <w:rsid w:val="00730613"/>
    <w:rsid w:val="00732922"/>
    <w:rsid w:val="00733E26"/>
    <w:rsid w:val="007402CA"/>
    <w:rsid w:val="0075162E"/>
    <w:rsid w:val="00754034"/>
    <w:rsid w:val="00756556"/>
    <w:rsid w:val="00757B9E"/>
    <w:rsid w:val="00760971"/>
    <w:rsid w:val="007618C4"/>
    <w:rsid w:val="00767980"/>
    <w:rsid w:val="00770B19"/>
    <w:rsid w:val="00771B68"/>
    <w:rsid w:val="0077463F"/>
    <w:rsid w:val="007836EA"/>
    <w:rsid w:val="007840FF"/>
    <w:rsid w:val="00784CDA"/>
    <w:rsid w:val="007906C4"/>
    <w:rsid w:val="00790C64"/>
    <w:rsid w:val="00792A2A"/>
    <w:rsid w:val="007940EA"/>
    <w:rsid w:val="00794485"/>
    <w:rsid w:val="007967E8"/>
    <w:rsid w:val="007A2170"/>
    <w:rsid w:val="007A22BF"/>
    <w:rsid w:val="007A3323"/>
    <w:rsid w:val="007A3D01"/>
    <w:rsid w:val="007A51B4"/>
    <w:rsid w:val="007B72B8"/>
    <w:rsid w:val="007B7A58"/>
    <w:rsid w:val="007C21B5"/>
    <w:rsid w:val="007C5393"/>
    <w:rsid w:val="007D6A53"/>
    <w:rsid w:val="007E0DF7"/>
    <w:rsid w:val="007E4BD2"/>
    <w:rsid w:val="007E4CA5"/>
    <w:rsid w:val="007F0A1D"/>
    <w:rsid w:val="007F24BA"/>
    <w:rsid w:val="007F27CB"/>
    <w:rsid w:val="00801393"/>
    <w:rsid w:val="00802F88"/>
    <w:rsid w:val="0081293E"/>
    <w:rsid w:val="00815465"/>
    <w:rsid w:val="00817E9A"/>
    <w:rsid w:val="00827FBC"/>
    <w:rsid w:val="008306BD"/>
    <w:rsid w:val="00831A80"/>
    <w:rsid w:val="008322BB"/>
    <w:rsid w:val="00833743"/>
    <w:rsid w:val="008340A4"/>
    <w:rsid w:val="008367CA"/>
    <w:rsid w:val="00844609"/>
    <w:rsid w:val="00861211"/>
    <w:rsid w:val="0087135F"/>
    <w:rsid w:val="00872D94"/>
    <w:rsid w:val="0087620C"/>
    <w:rsid w:val="0088002B"/>
    <w:rsid w:val="00880364"/>
    <w:rsid w:val="00891592"/>
    <w:rsid w:val="00891E9E"/>
    <w:rsid w:val="0089604A"/>
    <w:rsid w:val="008A2F68"/>
    <w:rsid w:val="008B2287"/>
    <w:rsid w:val="008B4FA6"/>
    <w:rsid w:val="008B5282"/>
    <w:rsid w:val="008B5614"/>
    <w:rsid w:val="008B7C17"/>
    <w:rsid w:val="008C2D01"/>
    <w:rsid w:val="008C40E6"/>
    <w:rsid w:val="008D0F7A"/>
    <w:rsid w:val="008D68E4"/>
    <w:rsid w:val="008E0506"/>
    <w:rsid w:val="008E0CFF"/>
    <w:rsid w:val="008E2A0E"/>
    <w:rsid w:val="008E5D6B"/>
    <w:rsid w:val="008E76F0"/>
    <w:rsid w:val="008F15FE"/>
    <w:rsid w:val="008F2D29"/>
    <w:rsid w:val="008F5187"/>
    <w:rsid w:val="008F60D8"/>
    <w:rsid w:val="008F7EE8"/>
    <w:rsid w:val="00902727"/>
    <w:rsid w:val="0090312B"/>
    <w:rsid w:val="0091736D"/>
    <w:rsid w:val="0093037A"/>
    <w:rsid w:val="0094154D"/>
    <w:rsid w:val="00941E4D"/>
    <w:rsid w:val="0094527B"/>
    <w:rsid w:val="0095155F"/>
    <w:rsid w:val="00951681"/>
    <w:rsid w:val="0095300F"/>
    <w:rsid w:val="00954429"/>
    <w:rsid w:val="009563CE"/>
    <w:rsid w:val="00974347"/>
    <w:rsid w:val="00976328"/>
    <w:rsid w:val="0097680D"/>
    <w:rsid w:val="00982438"/>
    <w:rsid w:val="0098404C"/>
    <w:rsid w:val="00985283"/>
    <w:rsid w:val="009916EC"/>
    <w:rsid w:val="00993CA3"/>
    <w:rsid w:val="00995942"/>
    <w:rsid w:val="00995992"/>
    <w:rsid w:val="00997D30"/>
    <w:rsid w:val="009A03E5"/>
    <w:rsid w:val="009A0F3B"/>
    <w:rsid w:val="009A1BB4"/>
    <w:rsid w:val="009A2628"/>
    <w:rsid w:val="009A3200"/>
    <w:rsid w:val="009B0897"/>
    <w:rsid w:val="009B1E88"/>
    <w:rsid w:val="009B7BD9"/>
    <w:rsid w:val="009C018A"/>
    <w:rsid w:val="009C15CF"/>
    <w:rsid w:val="009C337D"/>
    <w:rsid w:val="009C7DD5"/>
    <w:rsid w:val="009D0B43"/>
    <w:rsid w:val="009D2136"/>
    <w:rsid w:val="009D339E"/>
    <w:rsid w:val="009E227D"/>
    <w:rsid w:val="009E3815"/>
    <w:rsid w:val="009E5019"/>
    <w:rsid w:val="009E511B"/>
    <w:rsid w:val="009F3E29"/>
    <w:rsid w:val="00A02C2E"/>
    <w:rsid w:val="00A04F1B"/>
    <w:rsid w:val="00A0501B"/>
    <w:rsid w:val="00A06A7F"/>
    <w:rsid w:val="00A14947"/>
    <w:rsid w:val="00A15AC9"/>
    <w:rsid w:val="00A32A83"/>
    <w:rsid w:val="00A3620B"/>
    <w:rsid w:val="00A368DB"/>
    <w:rsid w:val="00A423AA"/>
    <w:rsid w:val="00A53EC6"/>
    <w:rsid w:val="00A55C0F"/>
    <w:rsid w:val="00A566D5"/>
    <w:rsid w:val="00A575B1"/>
    <w:rsid w:val="00A72CB3"/>
    <w:rsid w:val="00A8408F"/>
    <w:rsid w:val="00A85F86"/>
    <w:rsid w:val="00A86123"/>
    <w:rsid w:val="00A86652"/>
    <w:rsid w:val="00A8713F"/>
    <w:rsid w:val="00A90BA1"/>
    <w:rsid w:val="00A95A9A"/>
    <w:rsid w:val="00A97A9A"/>
    <w:rsid w:val="00AA0671"/>
    <w:rsid w:val="00AA2531"/>
    <w:rsid w:val="00AA3FDD"/>
    <w:rsid w:val="00AB164D"/>
    <w:rsid w:val="00AB1E09"/>
    <w:rsid w:val="00AB521E"/>
    <w:rsid w:val="00AB5330"/>
    <w:rsid w:val="00AB665C"/>
    <w:rsid w:val="00AB7747"/>
    <w:rsid w:val="00AC069E"/>
    <w:rsid w:val="00AC0886"/>
    <w:rsid w:val="00AC14CE"/>
    <w:rsid w:val="00AC2097"/>
    <w:rsid w:val="00AC2A56"/>
    <w:rsid w:val="00AD055E"/>
    <w:rsid w:val="00AD47A7"/>
    <w:rsid w:val="00AE711E"/>
    <w:rsid w:val="00AF0CBF"/>
    <w:rsid w:val="00AF257F"/>
    <w:rsid w:val="00AF33CF"/>
    <w:rsid w:val="00AF4D50"/>
    <w:rsid w:val="00AF6179"/>
    <w:rsid w:val="00B052A9"/>
    <w:rsid w:val="00B1295A"/>
    <w:rsid w:val="00B20A45"/>
    <w:rsid w:val="00B22BA0"/>
    <w:rsid w:val="00B22C5C"/>
    <w:rsid w:val="00B24F30"/>
    <w:rsid w:val="00B31ABF"/>
    <w:rsid w:val="00B33BE3"/>
    <w:rsid w:val="00B406C6"/>
    <w:rsid w:val="00B53B5D"/>
    <w:rsid w:val="00B6055E"/>
    <w:rsid w:val="00B62D12"/>
    <w:rsid w:val="00B6317D"/>
    <w:rsid w:val="00B63E36"/>
    <w:rsid w:val="00B701B7"/>
    <w:rsid w:val="00B76409"/>
    <w:rsid w:val="00B7723F"/>
    <w:rsid w:val="00B80534"/>
    <w:rsid w:val="00B83BB3"/>
    <w:rsid w:val="00B8433C"/>
    <w:rsid w:val="00B87491"/>
    <w:rsid w:val="00B92181"/>
    <w:rsid w:val="00B95409"/>
    <w:rsid w:val="00B95CDD"/>
    <w:rsid w:val="00BA29E9"/>
    <w:rsid w:val="00BA7142"/>
    <w:rsid w:val="00BB237C"/>
    <w:rsid w:val="00BB41A3"/>
    <w:rsid w:val="00BC1DC5"/>
    <w:rsid w:val="00BC32DC"/>
    <w:rsid w:val="00BC35B6"/>
    <w:rsid w:val="00BC55D1"/>
    <w:rsid w:val="00BD1B51"/>
    <w:rsid w:val="00BD4596"/>
    <w:rsid w:val="00BE1405"/>
    <w:rsid w:val="00BE312D"/>
    <w:rsid w:val="00BF1C20"/>
    <w:rsid w:val="00BF59F4"/>
    <w:rsid w:val="00C10578"/>
    <w:rsid w:val="00C1079D"/>
    <w:rsid w:val="00C135BC"/>
    <w:rsid w:val="00C15C95"/>
    <w:rsid w:val="00C2596A"/>
    <w:rsid w:val="00C27537"/>
    <w:rsid w:val="00C328FE"/>
    <w:rsid w:val="00C33507"/>
    <w:rsid w:val="00C42C8C"/>
    <w:rsid w:val="00C4409D"/>
    <w:rsid w:val="00C44E72"/>
    <w:rsid w:val="00C455FF"/>
    <w:rsid w:val="00C45A06"/>
    <w:rsid w:val="00C47E5B"/>
    <w:rsid w:val="00C61E4B"/>
    <w:rsid w:val="00C64BFF"/>
    <w:rsid w:val="00C653DA"/>
    <w:rsid w:val="00C704E9"/>
    <w:rsid w:val="00C763C9"/>
    <w:rsid w:val="00C80057"/>
    <w:rsid w:val="00C82232"/>
    <w:rsid w:val="00C82913"/>
    <w:rsid w:val="00C8305E"/>
    <w:rsid w:val="00C92D96"/>
    <w:rsid w:val="00C972B1"/>
    <w:rsid w:val="00C97852"/>
    <w:rsid w:val="00CA2CCE"/>
    <w:rsid w:val="00CA43FD"/>
    <w:rsid w:val="00CA613C"/>
    <w:rsid w:val="00CA7EEA"/>
    <w:rsid w:val="00CA7EF8"/>
    <w:rsid w:val="00CB2052"/>
    <w:rsid w:val="00CB77F1"/>
    <w:rsid w:val="00CC212F"/>
    <w:rsid w:val="00CC489B"/>
    <w:rsid w:val="00CD2BCD"/>
    <w:rsid w:val="00CD3A4C"/>
    <w:rsid w:val="00CE10E9"/>
    <w:rsid w:val="00CE1E4E"/>
    <w:rsid w:val="00CE2910"/>
    <w:rsid w:val="00CE5393"/>
    <w:rsid w:val="00CF36BE"/>
    <w:rsid w:val="00CF3752"/>
    <w:rsid w:val="00CF412D"/>
    <w:rsid w:val="00CF5A47"/>
    <w:rsid w:val="00CF6000"/>
    <w:rsid w:val="00D003F3"/>
    <w:rsid w:val="00D0364F"/>
    <w:rsid w:val="00D06834"/>
    <w:rsid w:val="00D074CA"/>
    <w:rsid w:val="00D308ED"/>
    <w:rsid w:val="00D36D86"/>
    <w:rsid w:val="00D42630"/>
    <w:rsid w:val="00D428AA"/>
    <w:rsid w:val="00D4644A"/>
    <w:rsid w:val="00D46F50"/>
    <w:rsid w:val="00D50A34"/>
    <w:rsid w:val="00D522CC"/>
    <w:rsid w:val="00D53EFA"/>
    <w:rsid w:val="00D64BE6"/>
    <w:rsid w:val="00D9012D"/>
    <w:rsid w:val="00D94308"/>
    <w:rsid w:val="00D94A7C"/>
    <w:rsid w:val="00D95896"/>
    <w:rsid w:val="00D9637F"/>
    <w:rsid w:val="00DA0FA7"/>
    <w:rsid w:val="00DA3EA5"/>
    <w:rsid w:val="00DB2983"/>
    <w:rsid w:val="00DB2F90"/>
    <w:rsid w:val="00DB4D70"/>
    <w:rsid w:val="00DB654A"/>
    <w:rsid w:val="00DC1257"/>
    <w:rsid w:val="00DC3DC0"/>
    <w:rsid w:val="00DC5B2B"/>
    <w:rsid w:val="00DC5E6F"/>
    <w:rsid w:val="00DD318D"/>
    <w:rsid w:val="00DD7BA7"/>
    <w:rsid w:val="00DE22E6"/>
    <w:rsid w:val="00DF2E12"/>
    <w:rsid w:val="00DF514A"/>
    <w:rsid w:val="00DF6690"/>
    <w:rsid w:val="00DF6804"/>
    <w:rsid w:val="00E0358D"/>
    <w:rsid w:val="00E03ABC"/>
    <w:rsid w:val="00E04323"/>
    <w:rsid w:val="00E04AC3"/>
    <w:rsid w:val="00E070A2"/>
    <w:rsid w:val="00E14F81"/>
    <w:rsid w:val="00E15234"/>
    <w:rsid w:val="00E16FE2"/>
    <w:rsid w:val="00E2656A"/>
    <w:rsid w:val="00E30FAC"/>
    <w:rsid w:val="00E4002A"/>
    <w:rsid w:val="00E412D0"/>
    <w:rsid w:val="00E42FF7"/>
    <w:rsid w:val="00E432D1"/>
    <w:rsid w:val="00E4660A"/>
    <w:rsid w:val="00E52F76"/>
    <w:rsid w:val="00E56322"/>
    <w:rsid w:val="00E60982"/>
    <w:rsid w:val="00E6284A"/>
    <w:rsid w:val="00E62C62"/>
    <w:rsid w:val="00E63F2F"/>
    <w:rsid w:val="00E654C1"/>
    <w:rsid w:val="00E65D97"/>
    <w:rsid w:val="00E72A5A"/>
    <w:rsid w:val="00E73354"/>
    <w:rsid w:val="00E837E3"/>
    <w:rsid w:val="00E9242D"/>
    <w:rsid w:val="00E95A81"/>
    <w:rsid w:val="00EB5255"/>
    <w:rsid w:val="00EB5C47"/>
    <w:rsid w:val="00ED0639"/>
    <w:rsid w:val="00ED1E2A"/>
    <w:rsid w:val="00ED5986"/>
    <w:rsid w:val="00EF393D"/>
    <w:rsid w:val="00EF4755"/>
    <w:rsid w:val="00EF52AB"/>
    <w:rsid w:val="00EF7135"/>
    <w:rsid w:val="00F027DB"/>
    <w:rsid w:val="00F1191B"/>
    <w:rsid w:val="00F1363D"/>
    <w:rsid w:val="00F14A7A"/>
    <w:rsid w:val="00F14B9E"/>
    <w:rsid w:val="00F206AE"/>
    <w:rsid w:val="00F22985"/>
    <w:rsid w:val="00F3383E"/>
    <w:rsid w:val="00F42D18"/>
    <w:rsid w:val="00F431B9"/>
    <w:rsid w:val="00F465A7"/>
    <w:rsid w:val="00F46D15"/>
    <w:rsid w:val="00F50B7C"/>
    <w:rsid w:val="00F550E6"/>
    <w:rsid w:val="00F72CA9"/>
    <w:rsid w:val="00F74345"/>
    <w:rsid w:val="00F80A0A"/>
    <w:rsid w:val="00F82B19"/>
    <w:rsid w:val="00F9212D"/>
    <w:rsid w:val="00F9657C"/>
    <w:rsid w:val="00F965DA"/>
    <w:rsid w:val="00FA16CA"/>
    <w:rsid w:val="00FA406A"/>
    <w:rsid w:val="00FB31ED"/>
    <w:rsid w:val="00FB503A"/>
    <w:rsid w:val="00FB516C"/>
    <w:rsid w:val="00FD0236"/>
    <w:rsid w:val="00FD18F4"/>
    <w:rsid w:val="00FD54DB"/>
    <w:rsid w:val="00FD619F"/>
    <w:rsid w:val="00FF6355"/>
    <w:rsid w:val="00FF72D2"/>
    <w:rsid w:val="0100390C"/>
    <w:rsid w:val="010158D6"/>
    <w:rsid w:val="01026551"/>
    <w:rsid w:val="010333FC"/>
    <w:rsid w:val="0104586B"/>
    <w:rsid w:val="01074D82"/>
    <w:rsid w:val="010B22B0"/>
    <w:rsid w:val="010D427B"/>
    <w:rsid w:val="010F1DA1"/>
    <w:rsid w:val="01106155"/>
    <w:rsid w:val="01113D6B"/>
    <w:rsid w:val="01120ECF"/>
    <w:rsid w:val="0112142E"/>
    <w:rsid w:val="011441B0"/>
    <w:rsid w:val="01144B53"/>
    <w:rsid w:val="0116312F"/>
    <w:rsid w:val="01170BF2"/>
    <w:rsid w:val="01192C1F"/>
    <w:rsid w:val="011A24F4"/>
    <w:rsid w:val="011B11CB"/>
    <w:rsid w:val="011B58EE"/>
    <w:rsid w:val="011C26B5"/>
    <w:rsid w:val="011F7255"/>
    <w:rsid w:val="0122795F"/>
    <w:rsid w:val="012313A8"/>
    <w:rsid w:val="01233A9E"/>
    <w:rsid w:val="01234794"/>
    <w:rsid w:val="01250550"/>
    <w:rsid w:val="012515C4"/>
    <w:rsid w:val="01290F7E"/>
    <w:rsid w:val="012A0604"/>
    <w:rsid w:val="012A0989"/>
    <w:rsid w:val="012A19DD"/>
    <w:rsid w:val="012A2737"/>
    <w:rsid w:val="012A4D0C"/>
    <w:rsid w:val="012E74A2"/>
    <w:rsid w:val="012F1D93"/>
    <w:rsid w:val="012F7E28"/>
    <w:rsid w:val="01303AC5"/>
    <w:rsid w:val="01323CF1"/>
    <w:rsid w:val="01350FC0"/>
    <w:rsid w:val="0136732D"/>
    <w:rsid w:val="013730A5"/>
    <w:rsid w:val="01395070"/>
    <w:rsid w:val="01395F31"/>
    <w:rsid w:val="013A61BA"/>
    <w:rsid w:val="013B2B96"/>
    <w:rsid w:val="01413511"/>
    <w:rsid w:val="01422176"/>
    <w:rsid w:val="014369FF"/>
    <w:rsid w:val="014632E9"/>
    <w:rsid w:val="0147778C"/>
    <w:rsid w:val="01487061"/>
    <w:rsid w:val="014F3F14"/>
    <w:rsid w:val="014F6641"/>
    <w:rsid w:val="015123B9"/>
    <w:rsid w:val="01512DEC"/>
    <w:rsid w:val="01521C8D"/>
    <w:rsid w:val="01527973"/>
    <w:rsid w:val="0156177E"/>
    <w:rsid w:val="0156352C"/>
    <w:rsid w:val="01576FF5"/>
    <w:rsid w:val="0159301C"/>
    <w:rsid w:val="015A2604"/>
    <w:rsid w:val="015A3E73"/>
    <w:rsid w:val="015B00D6"/>
    <w:rsid w:val="015C0E9D"/>
    <w:rsid w:val="015D1E09"/>
    <w:rsid w:val="015D2D79"/>
    <w:rsid w:val="015E63F0"/>
    <w:rsid w:val="01610122"/>
    <w:rsid w:val="01617CA5"/>
    <w:rsid w:val="016245C6"/>
    <w:rsid w:val="01677302"/>
    <w:rsid w:val="01684383"/>
    <w:rsid w:val="016D6AC7"/>
    <w:rsid w:val="016F45ED"/>
    <w:rsid w:val="017240DE"/>
    <w:rsid w:val="017716F4"/>
    <w:rsid w:val="0179286C"/>
    <w:rsid w:val="017B11E4"/>
    <w:rsid w:val="017F53E0"/>
    <w:rsid w:val="017F565F"/>
    <w:rsid w:val="018169C8"/>
    <w:rsid w:val="018207C5"/>
    <w:rsid w:val="0182354D"/>
    <w:rsid w:val="01852063"/>
    <w:rsid w:val="01883901"/>
    <w:rsid w:val="018A7679"/>
    <w:rsid w:val="018C33F1"/>
    <w:rsid w:val="018D0F17"/>
    <w:rsid w:val="018D3F35"/>
    <w:rsid w:val="018E53BB"/>
    <w:rsid w:val="019477DB"/>
    <w:rsid w:val="01973B44"/>
    <w:rsid w:val="01993D60"/>
    <w:rsid w:val="019B654B"/>
    <w:rsid w:val="01A0175D"/>
    <w:rsid w:val="01A2018C"/>
    <w:rsid w:val="01A4698D"/>
    <w:rsid w:val="01A7647D"/>
    <w:rsid w:val="01A93EB1"/>
    <w:rsid w:val="01AA5582"/>
    <w:rsid w:val="01AE2DB6"/>
    <w:rsid w:val="01AF70E0"/>
    <w:rsid w:val="01B110AA"/>
    <w:rsid w:val="01B146CA"/>
    <w:rsid w:val="01B34E22"/>
    <w:rsid w:val="01B36BD0"/>
    <w:rsid w:val="01B446F6"/>
    <w:rsid w:val="01B60A33"/>
    <w:rsid w:val="01B714B4"/>
    <w:rsid w:val="01B76388"/>
    <w:rsid w:val="01B91D0C"/>
    <w:rsid w:val="01BB2133"/>
    <w:rsid w:val="01BE6E35"/>
    <w:rsid w:val="01BE7323"/>
    <w:rsid w:val="01BF2A2C"/>
    <w:rsid w:val="01C212B6"/>
    <w:rsid w:val="01C43C76"/>
    <w:rsid w:val="01C506B1"/>
    <w:rsid w:val="01C80EB6"/>
    <w:rsid w:val="01CA5CC8"/>
    <w:rsid w:val="01CC1A40"/>
    <w:rsid w:val="01CF1420"/>
    <w:rsid w:val="01D11275"/>
    <w:rsid w:val="01D134FA"/>
    <w:rsid w:val="01D2082C"/>
    <w:rsid w:val="01D31922"/>
    <w:rsid w:val="01D54D98"/>
    <w:rsid w:val="01D662F4"/>
    <w:rsid w:val="01D77F38"/>
    <w:rsid w:val="01D8626B"/>
    <w:rsid w:val="01DA23AF"/>
    <w:rsid w:val="01DB1C83"/>
    <w:rsid w:val="01DD1E9F"/>
    <w:rsid w:val="01DD3ABC"/>
    <w:rsid w:val="01DE069E"/>
    <w:rsid w:val="01DF2D37"/>
    <w:rsid w:val="01DF5C17"/>
    <w:rsid w:val="01E03666"/>
    <w:rsid w:val="01E054EB"/>
    <w:rsid w:val="01E24004"/>
    <w:rsid w:val="01E24FE9"/>
    <w:rsid w:val="01E52B01"/>
    <w:rsid w:val="01E76BCE"/>
    <w:rsid w:val="01EE7C08"/>
    <w:rsid w:val="01EF5C14"/>
    <w:rsid w:val="01F40521"/>
    <w:rsid w:val="01F4246C"/>
    <w:rsid w:val="01F53A8B"/>
    <w:rsid w:val="01F5610F"/>
    <w:rsid w:val="01F64D0F"/>
    <w:rsid w:val="01FC5EC8"/>
    <w:rsid w:val="01FD42EF"/>
    <w:rsid w:val="01FD609D"/>
    <w:rsid w:val="01FD7209"/>
    <w:rsid w:val="01FE07FD"/>
    <w:rsid w:val="02001190"/>
    <w:rsid w:val="0202333F"/>
    <w:rsid w:val="02025461"/>
    <w:rsid w:val="0204507D"/>
    <w:rsid w:val="0205269F"/>
    <w:rsid w:val="020531A4"/>
    <w:rsid w:val="02070CCA"/>
    <w:rsid w:val="02071865"/>
    <w:rsid w:val="020969D5"/>
    <w:rsid w:val="020A2568"/>
    <w:rsid w:val="02105DD0"/>
    <w:rsid w:val="0212598F"/>
    <w:rsid w:val="02160F0D"/>
    <w:rsid w:val="02184500"/>
    <w:rsid w:val="021A6C4F"/>
    <w:rsid w:val="021B073C"/>
    <w:rsid w:val="021C4A2B"/>
    <w:rsid w:val="021C7141"/>
    <w:rsid w:val="021D04ED"/>
    <w:rsid w:val="021E0B68"/>
    <w:rsid w:val="02201D8C"/>
    <w:rsid w:val="02214BF9"/>
    <w:rsid w:val="02227B4F"/>
    <w:rsid w:val="0224187C"/>
    <w:rsid w:val="022573A2"/>
    <w:rsid w:val="022655F4"/>
    <w:rsid w:val="022950E4"/>
    <w:rsid w:val="022A7E6B"/>
    <w:rsid w:val="022B2C0A"/>
    <w:rsid w:val="022B4355"/>
    <w:rsid w:val="022D462F"/>
    <w:rsid w:val="022E44A8"/>
    <w:rsid w:val="02300221"/>
    <w:rsid w:val="02315742"/>
    <w:rsid w:val="023652E4"/>
    <w:rsid w:val="02380D6A"/>
    <w:rsid w:val="023827F7"/>
    <w:rsid w:val="02385327"/>
    <w:rsid w:val="023C3969"/>
    <w:rsid w:val="023E73C1"/>
    <w:rsid w:val="02413F92"/>
    <w:rsid w:val="02421D02"/>
    <w:rsid w:val="024655B5"/>
    <w:rsid w:val="0247234C"/>
    <w:rsid w:val="024910D6"/>
    <w:rsid w:val="02491541"/>
    <w:rsid w:val="024B6B2E"/>
    <w:rsid w:val="024C2CA9"/>
    <w:rsid w:val="02502065"/>
    <w:rsid w:val="02502671"/>
    <w:rsid w:val="0250441F"/>
    <w:rsid w:val="02525C59"/>
    <w:rsid w:val="02564B51"/>
    <w:rsid w:val="02575E62"/>
    <w:rsid w:val="02587641"/>
    <w:rsid w:val="025D08EA"/>
    <w:rsid w:val="02631892"/>
    <w:rsid w:val="02663C42"/>
    <w:rsid w:val="026659F0"/>
    <w:rsid w:val="026674A7"/>
    <w:rsid w:val="026954E1"/>
    <w:rsid w:val="02697903"/>
    <w:rsid w:val="026B3007"/>
    <w:rsid w:val="026C2907"/>
    <w:rsid w:val="0273010D"/>
    <w:rsid w:val="02792609"/>
    <w:rsid w:val="027A149C"/>
    <w:rsid w:val="027B5673"/>
    <w:rsid w:val="027B5F82"/>
    <w:rsid w:val="027E0254"/>
    <w:rsid w:val="027F4D04"/>
    <w:rsid w:val="027F6AB2"/>
    <w:rsid w:val="02816CCE"/>
    <w:rsid w:val="02861DCC"/>
    <w:rsid w:val="028B76C7"/>
    <w:rsid w:val="029173CB"/>
    <w:rsid w:val="02922C89"/>
    <w:rsid w:val="029307AF"/>
    <w:rsid w:val="02944793"/>
    <w:rsid w:val="02956FDF"/>
    <w:rsid w:val="02966FE3"/>
    <w:rsid w:val="0297204E"/>
    <w:rsid w:val="029B7E3A"/>
    <w:rsid w:val="029C1412"/>
    <w:rsid w:val="029C7664"/>
    <w:rsid w:val="029D7BC6"/>
    <w:rsid w:val="02A429BD"/>
    <w:rsid w:val="02A52CFD"/>
    <w:rsid w:val="02AC6DE8"/>
    <w:rsid w:val="02AD1871"/>
    <w:rsid w:val="02AE017F"/>
    <w:rsid w:val="02AE55E9"/>
    <w:rsid w:val="02AF5938"/>
    <w:rsid w:val="02B31C0D"/>
    <w:rsid w:val="02B32C00"/>
    <w:rsid w:val="02B90FAC"/>
    <w:rsid w:val="02BC6F49"/>
    <w:rsid w:val="02BD754E"/>
    <w:rsid w:val="02BE3A7E"/>
    <w:rsid w:val="02BF3353"/>
    <w:rsid w:val="02BF38B5"/>
    <w:rsid w:val="02C24BF1"/>
    <w:rsid w:val="02C60B85"/>
    <w:rsid w:val="02C72207"/>
    <w:rsid w:val="02C73EEA"/>
    <w:rsid w:val="02C74C71"/>
    <w:rsid w:val="02C81C04"/>
    <w:rsid w:val="02CB3144"/>
    <w:rsid w:val="02CD37EA"/>
    <w:rsid w:val="02CD5A6F"/>
    <w:rsid w:val="02D0730E"/>
    <w:rsid w:val="02D36083"/>
    <w:rsid w:val="02D54924"/>
    <w:rsid w:val="02D65B61"/>
    <w:rsid w:val="02D92666"/>
    <w:rsid w:val="02DC2156"/>
    <w:rsid w:val="02DD1A2B"/>
    <w:rsid w:val="02DE5ECF"/>
    <w:rsid w:val="02DF39F5"/>
    <w:rsid w:val="02DF57A3"/>
    <w:rsid w:val="02E05A9E"/>
    <w:rsid w:val="02E33D8A"/>
    <w:rsid w:val="02E4100B"/>
    <w:rsid w:val="02E6473E"/>
    <w:rsid w:val="02E84657"/>
    <w:rsid w:val="02EB05EB"/>
    <w:rsid w:val="02ED2CCA"/>
    <w:rsid w:val="02F0047A"/>
    <w:rsid w:val="02F17932"/>
    <w:rsid w:val="02F254D6"/>
    <w:rsid w:val="02F357CE"/>
    <w:rsid w:val="02F5347E"/>
    <w:rsid w:val="02F83A9F"/>
    <w:rsid w:val="02F96569"/>
    <w:rsid w:val="02F96864"/>
    <w:rsid w:val="02FA014C"/>
    <w:rsid w:val="02FA082F"/>
    <w:rsid w:val="02FA308C"/>
    <w:rsid w:val="02FA38F1"/>
    <w:rsid w:val="02FE3F2A"/>
    <w:rsid w:val="02FE712E"/>
    <w:rsid w:val="03016459"/>
    <w:rsid w:val="030270BF"/>
    <w:rsid w:val="03031949"/>
    <w:rsid w:val="03040405"/>
    <w:rsid w:val="03065425"/>
    <w:rsid w:val="030671D3"/>
    <w:rsid w:val="03071BCC"/>
    <w:rsid w:val="0307779E"/>
    <w:rsid w:val="030876A8"/>
    <w:rsid w:val="030A0A72"/>
    <w:rsid w:val="030A6CC4"/>
    <w:rsid w:val="030D1109"/>
    <w:rsid w:val="0311692B"/>
    <w:rsid w:val="03196F07"/>
    <w:rsid w:val="031A4F39"/>
    <w:rsid w:val="031C2553"/>
    <w:rsid w:val="031D1354"/>
    <w:rsid w:val="031E451D"/>
    <w:rsid w:val="031F4304"/>
    <w:rsid w:val="03217949"/>
    <w:rsid w:val="03231B33"/>
    <w:rsid w:val="032347EB"/>
    <w:rsid w:val="03264E09"/>
    <w:rsid w:val="032A2EC2"/>
    <w:rsid w:val="032B00F8"/>
    <w:rsid w:val="032B3678"/>
    <w:rsid w:val="032F2286"/>
    <w:rsid w:val="032F672A"/>
    <w:rsid w:val="0334789D"/>
    <w:rsid w:val="03373831"/>
    <w:rsid w:val="03373CA1"/>
    <w:rsid w:val="03395F8D"/>
    <w:rsid w:val="033C46B2"/>
    <w:rsid w:val="033E696D"/>
    <w:rsid w:val="03404493"/>
    <w:rsid w:val="0341645D"/>
    <w:rsid w:val="0342549B"/>
    <w:rsid w:val="034559DE"/>
    <w:rsid w:val="03455F4E"/>
    <w:rsid w:val="03457C30"/>
    <w:rsid w:val="03461FC3"/>
    <w:rsid w:val="03463A74"/>
    <w:rsid w:val="03474E89"/>
    <w:rsid w:val="03497615"/>
    <w:rsid w:val="034A5312"/>
    <w:rsid w:val="034B38FA"/>
    <w:rsid w:val="034D3EC7"/>
    <w:rsid w:val="034D6BB0"/>
    <w:rsid w:val="03501B9C"/>
    <w:rsid w:val="035148F2"/>
    <w:rsid w:val="035241C7"/>
    <w:rsid w:val="035328F6"/>
    <w:rsid w:val="03541CED"/>
    <w:rsid w:val="03575C81"/>
    <w:rsid w:val="03577A2F"/>
    <w:rsid w:val="035B12CD"/>
    <w:rsid w:val="035D55E6"/>
    <w:rsid w:val="036113B1"/>
    <w:rsid w:val="036939D4"/>
    <w:rsid w:val="03694970"/>
    <w:rsid w:val="03697F5C"/>
    <w:rsid w:val="036A2D24"/>
    <w:rsid w:val="037000F2"/>
    <w:rsid w:val="03705062"/>
    <w:rsid w:val="03726617"/>
    <w:rsid w:val="03741CA7"/>
    <w:rsid w:val="03750995"/>
    <w:rsid w:val="037721BE"/>
    <w:rsid w:val="03772E8A"/>
    <w:rsid w:val="037800D1"/>
    <w:rsid w:val="03795BF7"/>
    <w:rsid w:val="037B371D"/>
    <w:rsid w:val="037D0DA7"/>
    <w:rsid w:val="037E6D6A"/>
    <w:rsid w:val="0381685A"/>
    <w:rsid w:val="0382201C"/>
    <w:rsid w:val="038250B6"/>
    <w:rsid w:val="0383663D"/>
    <w:rsid w:val="0385634A"/>
    <w:rsid w:val="03867ADC"/>
    <w:rsid w:val="038720C2"/>
    <w:rsid w:val="038832EC"/>
    <w:rsid w:val="038A7E04"/>
    <w:rsid w:val="038C76D9"/>
    <w:rsid w:val="038D0DDF"/>
    <w:rsid w:val="038D3451"/>
    <w:rsid w:val="038F71C9"/>
    <w:rsid w:val="0390342E"/>
    <w:rsid w:val="03906A9D"/>
    <w:rsid w:val="039151BB"/>
    <w:rsid w:val="03977E3B"/>
    <w:rsid w:val="039912FD"/>
    <w:rsid w:val="039C0F17"/>
    <w:rsid w:val="03A16734"/>
    <w:rsid w:val="03A23846"/>
    <w:rsid w:val="03A27F4A"/>
    <w:rsid w:val="03A34A22"/>
    <w:rsid w:val="03A63558"/>
    <w:rsid w:val="03A82039"/>
    <w:rsid w:val="03A8734C"/>
    <w:rsid w:val="03AA209B"/>
    <w:rsid w:val="03B04467"/>
    <w:rsid w:val="03B10EED"/>
    <w:rsid w:val="03B33169"/>
    <w:rsid w:val="03B35066"/>
    <w:rsid w:val="03B629A7"/>
    <w:rsid w:val="03BA4277"/>
    <w:rsid w:val="03BE185C"/>
    <w:rsid w:val="03BE360A"/>
    <w:rsid w:val="03BE5C4F"/>
    <w:rsid w:val="03C055D4"/>
    <w:rsid w:val="03C86A98"/>
    <w:rsid w:val="03CA3C1C"/>
    <w:rsid w:val="03CA3CC8"/>
    <w:rsid w:val="03CC4B91"/>
    <w:rsid w:val="03D177E1"/>
    <w:rsid w:val="03D215B4"/>
    <w:rsid w:val="03D250FF"/>
    <w:rsid w:val="03D33559"/>
    <w:rsid w:val="03D6303A"/>
    <w:rsid w:val="03D95A61"/>
    <w:rsid w:val="03DA48E8"/>
    <w:rsid w:val="03E272F9"/>
    <w:rsid w:val="03E43920"/>
    <w:rsid w:val="03E47515"/>
    <w:rsid w:val="03E572EA"/>
    <w:rsid w:val="03E76C6E"/>
    <w:rsid w:val="03E80687"/>
    <w:rsid w:val="03EA46A4"/>
    <w:rsid w:val="03EA7B21"/>
    <w:rsid w:val="03EB016F"/>
    <w:rsid w:val="03EB3A55"/>
    <w:rsid w:val="03EB585B"/>
    <w:rsid w:val="03EF64F7"/>
    <w:rsid w:val="03EF78D1"/>
    <w:rsid w:val="03F028E3"/>
    <w:rsid w:val="03F11F47"/>
    <w:rsid w:val="03F4702C"/>
    <w:rsid w:val="03F521CD"/>
    <w:rsid w:val="03F727FE"/>
    <w:rsid w:val="03F93B43"/>
    <w:rsid w:val="03FA5973"/>
    <w:rsid w:val="03FC1C01"/>
    <w:rsid w:val="03FF634F"/>
    <w:rsid w:val="040000C7"/>
    <w:rsid w:val="04003C23"/>
    <w:rsid w:val="0402799B"/>
    <w:rsid w:val="04034ADE"/>
    <w:rsid w:val="040628A3"/>
    <w:rsid w:val="04071455"/>
    <w:rsid w:val="04072003"/>
    <w:rsid w:val="04074FB1"/>
    <w:rsid w:val="04081A05"/>
    <w:rsid w:val="040A4AA1"/>
    <w:rsid w:val="040B2A0C"/>
    <w:rsid w:val="040C5211"/>
    <w:rsid w:val="040D0D36"/>
    <w:rsid w:val="040F20B8"/>
    <w:rsid w:val="0410445F"/>
    <w:rsid w:val="04104F0A"/>
    <w:rsid w:val="04133956"/>
    <w:rsid w:val="04133BE9"/>
    <w:rsid w:val="04155920"/>
    <w:rsid w:val="04172CB4"/>
    <w:rsid w:val="04181D34"/>
    <w:rsid w:val="041A2F36"/>
    <w:rsid w:val="041B09A4"/>
    <w:rsid w:val="04223BAC"/>
    <w:rsid w:val="042711AF"/>
    <w:rsid w:val="042B4445"/>
    <w:rsid w:val="042B5227"/>
    <w:rsid w:val="042C0EBC"/>
    <w:rsid w:val="042C1292"/>
    <w:rsid w:val="042E253E"/>
    <w:rsid w:val="04302D9B"/>
    <w:rsid w:val="0433224A"/>
    <w:rsid w:val="043433F8"/>
    <w:rsid w:val="04387860"/>
    <w:rsid w:val="04390EE3"/>
    <w:rsid w:val="043B10FF"/>
    <w:rsid w:val="043E1FEF"/>
    <w:rsid w:val="04417B09"/>
    <w:rsid w:val="044424A7"/>
    <w:rsid w:val="04451FB0"/>
    <w:rsid w:val="04497378"/>
    <w:rsid w:val="044D085A"/>
    <w:rsid w:val="044E2BE0"/>
    <w:rsid w:val="045126D0"/>
    <w:rsid w:val="0451340B"/>
    <w:rsid w:val="0451447E"/>
    <w:rsid w:val="045301F6"/>
    <w:rsid w:val="04536448"/>
    <w:rsid w:val="04543185"/>
    <w:rsid w:val="045628C6"/>
    <w:rsid w:val="04565720"/>
    <w:rsid w:val="04581CB1"/>
    <w:rsid w:val="045A77D7"/>
    <w:rsid w:val="045D2E23"/>
    <w:rsid w:val="045E12C2"/>
    <w:rsid w:val="045E2AF7"/>
    <w:rsid w:val="045E6757"/>
    <w:rsid w:val="045F4DED"/>
    <w:rsid w:val="04602026"/>
    <w:rsid w:val="04640655"/>
    <w:rsid w:val="04644FC6"/>
    <w:rsid w:val="04693E49"/>
    <w:rsid w:val="046D4704"/>
    <w:rsid w:val="04714AC9"/>
    <w:rsid w:val="04714B35"/>
    <w:rsid w:val="04721982"/>
    <w:rsid w:val="04723118"/>
    <w:rsid w:val="04732647"/>
    <w:rsid w:val="04736C5E"/>
    <w:rsid w:val="04781A0B"/>
    <w:rsid w:val="04787A85"/>
    <w:rsid w:val="0479419C"/>
    <w:rsid w:val="047E5B45"/>
    <w:rsid w:val="0480002D"/>
    <w:rsid w:val="04813444"/>
    <w:rsid w:val="04814D63"/>
    <w:rsid w:val="048204D9"/>
    <w:rsid w:val="0482288A"/>
    <w:rsid w:val="04865ED0"/>
    <w:rsid w:val="04877EA0"/>
    <w:rsid w:val="0489022C"/>
    <w:rsid w:val="048A15AE"/>
    <w:rsid w:val="048D0F5B"/>
    <w:rsid w:val="04904FA7"/>
    <w:rsid w:val="049061F6"/>
    <w:rsid w:val="04926F71"/>
    <w:rsid w:val="04934A97"/>
    <w:rsid w:val="04957D68"/>
    <w:rsid w:val="049727D9"/>
    <w:rsid w:val="04974587"/>
    <w:rsid w:val="04976EAA"/>
    <w:rsid w:val="049A281D"/>
    <w:rsid w:val="049A5E25"/>
    <w:rsid w:val="049B238E"/>
    <w:rsid w:val="049C15C7"/>
    <w:rsid w:val="049D76C3"/>
    <w:rsid w:val="04A1386B"/>
    <w:rsid w:val="04A171B4"/>
    <w:rsid w:val="04A3117E"/>
    <w:rsid w:val="04A47B4C"/>
    <w:rsid w:val="04A80527"/>
    <w:rsid w:val="04AB3346"/>
    <w:rsid w:val="04AD04FC"/>
    <w:rsid w:val="04AD7D0D"/>
    <w:rsid w:val="04B073F7"/>
    <w:rsid w:val="04B30C95"/>
    <w:rsid w:val="04B31DE1"/>
    <w:rsid w:val="04B33E6C"/>
    <w:rsid w:val="04B43650"/>
    <w:rsid w:val="04B6618B"/>
    <w:rsid w:val="04B70785"/>
    <w:rsid w:val="04B736E8"/>
    <w:rsid w:val="04B84AB0"/>
    <w:rsid w:val="04B90436"/>
    <w:rsid w:val="04BA6E49"/>
    <w:rsid w:val="04BD16C1"/>
    <w:rsid w:val="04BE5FB8"/>
    <w:rsid w:val="04BE6649"/>
    <w:rsid w:val="04C0674C"/>
    <w:rsid w:val="04C23F72"/>
    <w:rsid w:val="04C333AE"/>
    <w:rsid w:val="04C33993"/>
    <w:rsid w:val="04C4342F"/>
    <w:rsid w:val="04C516DC"/>
    <w:rsid w:val="04C525B7"/>
    <w:rsid w:val="04C66C1A"/>
    <w:rsid w:val="04C73885"/>
    <w:rsid w:val="04CD0E7B"/>
    <w:rsid w:val="04CD2F42"/>
    <w:rsid w:val="04CE4778"/>
    <w:rsid w:val="04D25296"/>
    <w:rsid w:val="04D26D30"/>
    <w:rsid w:val="04D37589"/>
    <w:rsid w:val="04D74983"/>
    <w:rsid w:val="04D9350E"/>
    <w:rsid w:val="04DB3B6B"/>
    <w:rsid w:val="04DC4690"/>
    <w:rsid w:val="04DF4B3D"/>
    <w:rsid w:val="04E4144A"/>
    <w:rsid w:val="04E62E18"/>
    <w:rsid w:val="04E84DE3"/>
    <w:rsid w:val="04EA0767"/>
    <w:rsid w:val="04F33787"/>
    <w:rsid w:val="04F419D9"/>
    <w:rsid w:val="04F47409"/>
    <w:rsid w:val="04F53C4D"/>
    <w:rsid w:val="04F54693"/>
    <w:rsid w:val="04F574FF"/>
    <w:rsid w:val="04F76DD4"/>
    <w:rsid w:val="04FC48F2"/>
    <w:rsid w:val="04FD6D66"/>
    <w:rsid w:val="050178ED"/>
    <w:rsid w:val="05025778"/>
    <w:rsid w:val="05041CCE"/>
    <w:rsid w:val="0506170D"/>
    <w:rsid w:val="05072EFE"/>
    <w:rsid w:val="050D28B2"/>
    <w:rsid w:val="050F406A"/>
    <w:rsid w:val="050F4B65"/>
    <w:rsid w:val="051359F0"/>
    <w:rsid w:val="0514355A"/>
    <w:rsid w:val="05153D1D"/>
    <w:rsid w:val="05185E8E"/>
    <w:rsid w:val="051A6A7D"/>
    <w:rsid w:val="051B4302"/>
    <w:rsid w:val="051D2378"/>
    <w:rsid w:val="051D60A4"/>
    <w:rsid w:val="051F457C"/>
    <w:rsid w:val="051F632A"/>
    <w:rsid w:val="052120A3"/>
    <w:rsid w:val="05230E6E"/>
    <w:rsid w:val="05250A7A"/>
    <w:rsid w:val="05257DE5"/>
    <w:rsid w:val="05271D63"/>
    <w:rsid w:val="0528675E"/>
    <w:rsid w:val="052971A9"/>
    <w:rsid w:val="052B4CCF"/>
    <w:rsid w:val="05315EF8"/>
    <w:rsid w:val="05332EFA"/>
    <w:rsid w:val="05335790"/>
    <w:rsid w:val="05344142"/>
    <w:rsid w:val="05363E96"/>
    <w:rsid w:val="05373674"/>
    <w:rsid w:val="053A2FA7"/>
    <w:rsid w:val="053A3164"/>
    <w:rsid w:val="053A478C"/>
    <w:rsid w:val="053F3560"/>
    <w:rsid w:val="0541731B"/>
    <w:rsid w:val="05432019"/>
    <w:rsid w:val="0548644C"/>
    <w:rsid w:val="05494930"/>
    <w:rsid w:val="054C6A90"/>
    <w:rsid w:val="054D2E98"/>
    <w:rsid w:val="055204AE"/>
    <w:rsid w:val="05581271"/>
    <w:rsid w:val="05587C2F"/>
    <w:rsid w:val="055A55B4"/>
    <w:rsid w:val="055A7363"/>
    <w:rsid w:val="055B625C"/>
    <w:rsid w:val="055E50A5"/>
    <w:rsid w:val="055F2BCB"/>
    <w:rsid w:val="05625954"/>
    <w:rsid w:val="056401E1"/>
    <w:rsid w:val="05647C9C"/>
    <w:rsid w:val="056520F2"/>
    <w:rsid w:val="056703FD"/>
    <w:rsid w:val="05687CD1"/>
    <w:rsid w:val="056B7AFD"/>
    <w:rsid w:val="056D52E8"/>
    <w:rsid w:val="05706B86"/>
    <w:rsid w:val="05713CF5"/>
    <w:rsid w:val="057156EB"/>
    <w:rsid w:val="05720B50"/>
    <w:rsid w:val="057228FE"/>
    <w:rsid w:val="0573122A"/>
    <w:rsid w:val="05737CDF"/>
    <w:rsid w:val="057743B8"/>
    <w:rsid w:val="057C552B"/>
    <w:rsid w:val="057F13D1"/>
    <w:rsid w:val="05813ECE"/>
    <w:rsid w:val="05816327"/>
    <w:rsid w:val="05832D5D"/>
    <w:rsid w:val="05860158"/>
    <w:rsid w:val="05860F1F"/>
    <w:rsid w:val="05885425"/>
    <w:rsid w:val="058867C4"/>
    <w:rsid w:val="058A5E9A"/>
    <w:rsid w:val="058B08CF"/>
    <w:rsid w:val="058B111D"/>
    <w:rsid w:val="058D598A"/>
    <w:rsid w:val="05950618"/>
    <w:rsid w:val="059921E9"/>
    <w:rsid w:val="059A5A35"/>
    <w:rsid w:val="059A7E4B"/>
    <w:rsid w:val="059C55A3"/>
    <w:rsid w:val="059C5BCD"/>
    <w:rsid w:val="05A01F7E"/>
    <w:rsid w:val="05A352BE"/>
    <w:rsid w:val="05A4757D"/>
    <w:rsid w:val="05A475D1"/>
    <w:rsid w:val="05A50F26"/>
    <w:rsid w:val="05A81D1D"/>
    <w:rsid w:val="05AA02EA"/>
    <w:rsid w:val="05AA2098"/>
    <w:rsid w:val="05AB7BBE"/>
    <w:rsid w:val="05AC35DF"/>
    <w:rsid w:val="05AC4062"/>
    <w:rsid w:val="05AD7DDA"/>
    <w:rsid w:val="05B01A86"/>
    <w:rsid w:val="05B1314D"/>
    <w:rsid w:val="05B457E7"/>
    <w:rsid w:val="05B670BC"/>
    <w:rsid w:val="05BC5345"/>
    <w:rsid w:val="05BE770D"/>
    <w:rsid w:val="05BF7AC1"/>
    <w:rsid w:val="05C04DDA"/>
    <w:rsid w:val="05C26655"/>
    <w:rsid w:val="05C37A76"/>
    <w:rsid w:val="05C507D0"/>
    <w:rsid w:val="05CA273A"/>
    <w:rsid w:val="05CA44E8"/>
    <w:rsid w:val="05CC0260"/>
    <w:rsid w:val="05CC64B2"/>
    <w:rsid w:val="05CD222A"/>
    <w:rsid w:val="05CE1C2C"/>
    <w:rsid w:val="05D13AC9"/>
    <w:rsid w:val="05D140B2"/>
    <w:rsid w:val="05D23395"/>
    <w:rsid w:val="05D24911"/>
    <w:rsid w:val="05D26AAD"/>
    <w:rsid w:val="05D26E0B"/>
    <w:rsid w:val="05D33212"/>
    <w:rsid w:val="05D430D8"/>
    <w:rsid w:val="05D649C3"/>
    <w:rsid w:val="05DA5FB0"/>
    <w:rsid w:val="05DB4947"/>
    <w:rsid w:val="05DE1D42"/>
    <w:rsid w:val="05DF001C"/>
    <w:rsid w:val="05E0519A"/>
    <w:rsid w:val="05E23F5E"/>
    <w:rsid w:val="05E25CD6"/>
    <w:rsid w:val="05E7509A"/>
    <w:rsid w:val="05E76E48"/>
    <w:rsid w:val="05E97064"/>
    <w:rsid w:val="05EA2DDC"/>
    <w:rsid w:val="05EA5EC8"/>
    <w:rsid w:val="05EB0507"/>
    <w:rsid w:val="05ED6EF2"/>
    <w:rsid w:val="05EE6145"/>
    <w:rsid w:val="05EE7082"/>
    <w:rsid w:val="05EF3F4F"/>
    <w:rsid w:val="05EF4E84"/>
    <w:rsid w:val="05F477B7"/>
    <w:rsid w:val="05F47F7C"/>
    <w:rsid w:val="05F83EAE"/>
    <w:rsid w:val="05F85CDF"/>
    <w:rsid w:val="05F9301F"/>
    <w:rsid w:val="05F952D6"/>
    <w:rsid w:val="05FA2EE2"/>
    <w:rsid w:val="05FA4A44"/>
    <w:rsid w:val="05FF40FE"/>
    <w:rsid w:val="05FF4CB1"/>
    <w:rsid w:val="06007F0A"/>
    <w:rsid w:val="060204A8"/>
    <w:rsid w:val="060271D5"/>
    <w:rsid w:val="06034FEC"/>
    <w:rsid w:val="060914B4"/>
    <w:rsid w:val="060A0D89"/>
    <w:rsid w:val="060A2B37"/>
    <w:rsid w:val="060B360E"/>
    <w:rsid w:val="060D554A"/>
    <w:rsid w:val="060E044E"/>
    <w:rsid w:val="060E3B61"/>
    <w:rsid w:val="060E537E"/>
    <w:rsid w:val="060F2843"/>
    <w:rsid w:val="06112117"/>
    <w:rsid w:val="06113EC5"/>
    <w:rsid w:val="061623F8"/>
    <w:rsid w:val="06166DC9"/>
    <w:rsid w:val="061E3B7E"/>
    <w:rsid w:val="061F2A86"/>
    <w:rsid w:val="061F7CFE"/>
    <w:rsid w:val="0624009C"/>
    <w:rsid w:val="062502B9"/>
    <w:rsid w:val="0627193B"/>
    <w:rsid w:val="062743A8"/>
    <w:rsid w:val="06286F63"/>
    <w:rsid w:val="06297192"/>
    <w:rsid w:val="062D5CB5"/>
    <w:rsid w:val="062D7E94"/>
    <w:rsid w:val="062E0F1B"/>
    <w:rsid w:val="062E2F61"/>
    <w:rsid w:val="06307C72"/>
    <w:rsid w:val="063302DF"/>
    <w:rsid w:val="06340D55"/>
    <w:rsid w:val="06361B7E"/>
    <w:rsid w:val="0637732B"/>
    <w:rsid w:val="0638490C"/>
    <w:rsid w:val="063860A7"/>
    <w:rsid w:val="063B1AA3"/>
    <w:rsid w:val="063D3BD7"/>
    <w:rsid w:val="063E7D85"/>
    <w:rsid w:val="063F4ED6"/>
    <w:rsid w:val="063F579C"/>
    <w:rsid w:val="064029FC"/>
    <w:rsid w:val="064165EE"/>
    <w:rsid w:val="06420522"/>
    <w:rsid w:val="06456265"/>
    <w:rsid w:val="06471FDD"/>
    <w:rsid w:val="064A73D7"/>
    <w:rsid w:val="064B46A3"/>
    <w:rsid w:val="064C314F"/>
    <w:rsid w:val="06503C22"/>
    <w:rsid w:val="06510766"/>
    <w:rsid w:val="06544EA0"/>
    <w:rsid w:val="065546FA"/>
    <w:rsid w:val="06555ED4"/>
    <w:rsid w:val="06571608"/>
    <w:rsid w:val="06581AF4"/>
    <w:rsid w:val="06596E57"/>
    <w:rsid w:val="065C5A9B"/>
    <w:rsid w:val="065D0EAF"/>
    <w:rsid w:val="065F0E73"/>
    <w:rsid w:val="06642104"/>
    <w:rsid w:val="06652463"/>
    <w:rsid w:val="06670994"/>
    <w:rsid w:val="066761DB"/>
    <w:rsid w:val="06691F53"/>
    <w:rsid w:val="06695AAF"/>
    <w:rsid w:val="066C38A7"/>
    <w:rsid w:val="066E57BB"/>
    <w:rsid w:val="06732DD2"/>
    <w:rsid w:val="06744454"/>
    <w:rsid w:val="067526A6"/>
    <w:rsid w:val="06781CAC"/>
    <w:rsid w:val="067A53C6"/>
    <w:rsid w:val="067B0B64"/>
    <w:rsid w:val="067B1C86"/>
    <w:rsid w:val="067D4D29"/>
    <w:rsid w:val="06806A36"/>
    <w:rsid w:val="0681329A"/>
    <w:rsid w:val="0683334A"/>
    <w:rsid w:val="06875E75"/>
    <w:rsid w:val="06883AD1"/>
    <w:rsid w:val="068B49D7"/>
    <w:rsid w:val="068C0E04"/>
    <w:rsid w:val="068E62E0"/>
    <w:rsid w:val="069243D1"/>
    <w:rsid w:val="06936FD0"/>
    <w:rsid w:val="06946078"/>
    <w:rsid w:val="069468A4"/>
    <w:rsid w:val="06952D48"/>
    <w:rsid w:val="06956D41"/>
    <w:rsid w:val="069829C8"/>
    <w:rsid w:val="069A7F6E"/>
    <w:rsid w:val="069D062D"/>
    <w:rsid w:val="069D39AB"/>
    <w:rsid w:val="069D7E4F"/>
    <w:rsid w:val="069F7723"/>
    <w:rsid w:val="06A20FC1"/>
    <w:rsid w:val="06A21414"/>
    <w:rsid w:val="06A25465"/>
    <w:rsid w:val="06A46DCE"/>
    <w:rsid w:val="06A53961"/>
    <w:rsid w:val="06A63984"/>
    <w:rsid w:val="06A66D03"/>
    <w:rsid w:val="06A72A7B"/>
    <w:rsid w:val="06AC1E40"/>
    <w:rsid w:val="06AD62E4"/>
    <w:rsid w:val="06AE1287"/>
    <w:rsid w:val="06AE4062"/>
    <w:rsid w:val="06AE4D7F"/>
    <w:rsid w:val="06B036DE"/>
    <w:rsid w:val="06B11304"/>
    <w:rsid w:val="06B17159"/>
    <w:rsid w:val="06B37672"/>
    <w:rsid w:val="06B46F55"/>
    <w:rsid w:val="06B70F10"/>
    <w:rsid w:val="06B863F8"/>
    <w:rsid w:val="06B86870"/>
    <w:rsid w:val="06B977A0"/>
    <w:rsid w:val="06BA27AF"/>
    <w:rsid w:val="06BB116A"/>
    <w:rsid w:val="06BB53D9"/>
    <w:rsid w:val="06BE2384"/>
    <w:rsid w:val="06BE26EC"/>
    <w:rsid w:val="06C63DFD"/>
    <w:rsid w:val="06C673A5"/>
    <w:rsid w:val="06C74ECC"/>
    <w:rsid w:val="06C81F63"/>
    <w:rsid w:val="06CE72D4"/>
    <w:rsid w:val="06D03367"/>
    <w:rsid w:val="06D3561E"/>
    <w:rsid w:val="06D3656B"/>
    <w:rsid w:val="06D43F81"/>
    <w:rsid w:val="06D66EBD"/>
    <w:rsid w:val="06D7510F"/>
    <w:rsid w:val="06D8445C"/>
    <w:rsid w:val="06D91FE6"/>
    <w:rsid w:val="06DA6AAD"/>
    <w:rsid w:val="06DB3012"/>
    <w:rsid w:val="06DB44D3"/>
    <w:rsid w:val="06DD649D"/>
    <w:rsid w:val="06DE46EF"/>
    <w:rsid w:val="06DF0467"/>
    <w:rsid w:val="06E12EF9"/>
    <w:rsid w:val="06E15F8D"/>
    <w:rsid w:val="06E17D3B"/>
    <w:rsid w:val="06E25862"/>
    <w:rsid w:val="06E8731C"/>
    <w:rsid w:val="06EA09AA"/>
    <w:rsid w:val="06EC048E"/>
    <w:rsid w:val="06EE06AA"/>
    <w:rsid w:val="06F16077"/>
    <w:rsid w:val="06F21F49"/>
    <w:rsid w:val="06F2302D"/>
    <w:rsid w:val="06FF5FAB"/>
    <w:rsid w:val="06FF6413"/>
    <w:rsid w:val="070145BF"/>
    <w:rsid w:val="07026887"/>
    <w:rsid w:val="070400B8"/>
    <w:rsid w:val="07084F30"/>
    <w:rsid w:val="07110FCD"/>
    <w:rsid w:val="07145058"/>
    <w:rsid w:val="07145A92"/>
    <w:rsid w:val="071579E5"/>
    <w:rsid w:val="071719AF"/>
    <w:rsid w:val="07177C01"/>
    <w:rsid w:val="071A149F"/>
    <w:rsid w:val="071B28F9"/>
    <w:rsid w:val="071C6FC5"/>
    <w:rsid w:val="07222102"/>
    <w:rsid w:val="072365A6"/>
    <w:rsid w:val="072440CC"/>
    <w:rsid w:val="07247A21"/>
    <w:rsid w:val="07266EA2"/>
    <w:rsid w:val="07287D60"/>
    <w:rsid w:val="07293490"/>
    <w:rsid w:val="07293586"/>
    <w:rsid w:val="07295285"/>
    <w:rsid w:val="07320597"/>
    <w:rsid w:val="07350268"/>
    <w:rsid w:val="0735645D"/>
    <w:rsid w:val="0736405C"/>
    <w:rsid w:val="073937D7"/>
    <w:rsid w:val="07397B77"/>
    <w:rsid w:val="073A569E"/>
    <w:rsid w:val="073C4845"/>
    <w:rsid w:val="073E0B86"/>
    <w:rsid w:val="073E6555"/>
    <w:rsid w:val="07402209"/>
    <w:rsid w:val="07406864"/>
    <w:rsid w:val="07410F62"/>
    <w:rsid w:val="07411CBA"/>
    <w:rsid w:val="0742193C"/>
    <w:rsid w:val="07434552"/>
    <w:rsid w:val="07441AD0"/>
    <w:rsid w:val="074522DA"/>
    <w:rsid w:val="07452E71"/>
    <w:rsid w:val="0745634B"/>
    <w:rsid w:val="074A3962"/>
    <w:rsid w:val="074D343B"/>
    <w:rsid w:val="074E2FFC"/>
    <w:rsid w:val="0751312C"/>
    <w:rsid w:val="07514D4C"/>
    <w:rsid w:val="07525643"/>
    <w:rsid w:val="075524D7"/>
    <w:rsid w:val="0756090D"/>
    <w:rsid w:val="075624BD"/>
    <w:rsid w:val="07565A91"/>
    <w:rsid w:val="075A314E"/>
    <w:rsid w:val="075A50B6"/>
    <w:rsid w:val="075C73C2"/>
    <w:rsid w:val="075F6EB2"/>
    <w:rsid w:val="07612C2A"/>
    <w:rsid w:val="076170CE"/>
    <w:rsid w:val="07621F6A"/>
    <w:rsid w:val="07636392"/>
    <w:rsid w:val="0764271A"/>
    <w:rsid w:val="076672C8"/>
    <w:rsid w:val="076A1299"/>
    <w:rsid w:val="076D6B3B"/>
    <w:rsid w:val="076F21F4"/>
    <w:rsid w:val="077010BF"/>
    <w:rsid w:val="07726BE5"/>
    <w:rsid w:val="0774295E"/>
    <w:rsid w:val="07770C56"/>
    <w:rsid w:val="077A0A83"/>
    <w:rsid w:val="077A1F3E"/>
    <w:rsid w:val="077C1812"/>
    <w:rsid w:val="07807554"/>
    <w:rsid w:val="0781151E"/>
    <w:rsid w:val="07830DF3"/>
    <w:rsid w:val="07842397"/>
    <w:rsid w:val="07846919"/>
    <w:rsid w:val="078639EC"/>
    <w:rsid w:val="078A14FF"/>
    <w:rsid w:val="078B414B"/>
    <w:rsid w:val="078B4B69"/>
    <w:rsid w:val="078C39AA"/>
    <w:rsid w:val="078D31EC"/>
    <w:rsid w:val="078D3A1F"/>
    <w:rsid w:val="078D54D6"/>
    <w:rsid w:val="078F32D9"/>
    <w:rsid w:val="078F4E3A"/>
    <w:rsid w:val="078F6413"/>
    <w:rsid w:val="078F7797"/>
    <w:rsid w:val="07927288"/>
    <w:rsid w:val="07946EBC"/>
    <w:rsid w:val="07956973"/>
    <w:rsid w:val="0797664C"/>
    <w:rsid w:val="079B438E"/>
    <w:rsid w:val="079C2AA8"/>
    <w:rsid w:val="079C71D9"/>
    <w:rsid w:val="079C7774"/>
    <w:rsid w:val="079D517E"/>
    <w:rsid w:val="079E1725"/>
    <w:rsid w:val="079E6302"/>
    <w:rsid w:val="07A17761"/>
    <w:rsid w:val="07A43B79"/>
    <w:rsid w:val="07A50D69"/>
    <w:rsid w:val="07A86AAB"/>
    <w:rsid w:val="07AA2823"/>
    <w:rsid w:val="07AA5915"/>
    <w:rsid w:val="07AA637F"/>
    <w:rsid w:val="07AB20F7"/>
    <w:rsid w:val="07AB79D1"/>
    <w:rsid w:val="07AD40C1"/>
    <w:rsid w:val="07AF5408"/>
    <w:rsid w:val="07B02B10"/>
    <w:rsid w:val="07B031E2"/>
    <w:rsid w:val="07B216D8"/>
    <w:rsid w:val="07B2792A"/>
    <w:rsid w:val="07B40FAC"/>
    <w:rsid w:val="07B42921"/>
    <w:rsid w:val="07B52CB4"/>
    <w:rsid w:val="07B54D24"/>
    <w:rsid w:val="07B64007"/>
    <w:rsid w:val="07B90CB8"/>
    <w:rsid w:val="07BB67DE"/>
    <w:rsid w:val="07BC60B3"/>
    <w:rsid w:val="07BD52A7"/>
    <w:rsid w:val="07C02605"/>
    <w:rsid w:val="07C03DF5"/>
    <w:rsid w:val="07C04FC3"/>
    <w:rsid w:val="07C41F4A"/>
    <w:rsid w:val="07C82719"/>
    <w:rsid w:val="07CB4548"/>
    <w:rsid w:val="07CC4EEA"/>
    <w:rsid w:val="07CD6512"/>
    <w:rsid w:val="07CE4475"/>
    <w:rsid w:val="07CF7DDF"/>
    <w:rsid w:val="07D433FC"/>
    <w:rsid w:val="07D43CF9"/>
    <w:rsid w:val="07D44C02"/>
    <w:rsid w:val="07D63618"/>
    <w:rsid w:val="07D8685B"/>
    <w:rsid w:val="07D8724D"/>
    <w:rsid w:val="07D925FC"/>
    <w:rsid w:val="07D948BD"/>
    <w:rsid w:val="07D94EB6"/>
    <w:rsid w:val="07DA2796"/>
    <w:rsid w:val="07DD49A7"/>
    <w:rsid w:val="07DD6F27"/>
    <w:rsid w:val="07DF32C0"/>
    <w:rsid w:val="07E0464A"/>
    <w:rsid w:val="07E13D6B"/>
    <w:rsid w:val="07E15B15"/>
    <w:rsid w:val="07E17473"/>
    <w:rsid w:val="07E31891"/>
    <w:rsid w:val="07E51AAD"/>
    <w:rsid w:val="07E86EA8"/>
    <w:rsid w:val="07E9751A"/>
    <w:rsid w:val="07EA2C20"/>
    <w:rsid w:val="07EA5D52"/>
    <w:rsid w:val="07EB3E1B"/>
    <w:rsid w:val="07EC40F5"/>
    <w:rsid w:val="07EC6998"/>
    <w:rsid w:val="07ED0962"/>
    <w:rsid w:val="07ED2710"/>
    <w:rsid w:val="07F10452"/>
    <w:rsid w:val="07F24E31"/>
    <w:rsid w:val="07F37964"/>
    <w:rsid w:val="07FB4E2D"/>
    <w:rsid w:val="07FE0E56"/>
    <w:rsid w:val="07FE5178"/>
    <w:rsid w:val="08002443"/>
    <w:rsid w:val="080261BB"/>
    <w:rsid w:val="08030185"/>
    <w:rsid w:val="08041DCA"/>
    <w:rsid w:val="08053EFD"/>
    <w:rsid w:val="0806637B"/>
    <w:rsid w:val="080737D2"/>
    <w:rsid w:val="080D2DB2"/>
    <w:rsid w:val="080D4B60"/>
    <w:rsid w:val="080F7A6B"/>
    <w:rsid w:val="08117467"/>
    <w:rsid w:val="081204FC"/>
    <w:rsid w:val="08145EEF"/>
    <w:rsid w:val="08161C67"/>
    <w:rsid w:val="081635C2"/>
    <w:rsid w:val="0817778D"/>
    <w:rsid w:val="08183C31"/>
    <w:rsid w:val="081D1247"/>
    <w:rsid w:val="081D3294"/>
    <w:rsid w:val="081D40AC"/>
    <w:rsid w:val="081D704B"/>
    <w:rsid w:val="08203239"/>
    <w:rsid w:val="08204893"/>
    <w:rsid w:val="0822685D"/>
    <w:rsid w:val="08287EF8"/>
    <w:rsid w:val="082A5712"/>
    <w:rsid w:val="082B0EA8"/>
    <w:rsid w:val="082B4195"/>
    <w:rsid w:val="082B5A74"/>
    <w:rsid w:val="082C349B"/>
    <w:rsid w:val="082C4FE6"/>
    <w:rsid w:val="082D0D5E"/>
    <w:rsid w:val="082F1A1B"/>
    <w:rsid w:val="083168C6"/>
    <w:rsid w:val="08321779"/>
    <w:rsid w:val="083245C7"/>
    <w:rsid w:val="08333615"/>
    <w:rsid w:val="08356300"/>
    <w:rsid w:val="08361ADE"/>
    <w:rsid w:val="08395955"/>
    <w:rsid w:val="083C0989"/>
    <w:rsid w:val="083D531E"/>
    <w:rsid w:val="083D5445"/>
    <w:rsid w:val="083D71F3"/>
    <w:rsid w:val="083F4163"/>
    <w:rsid w:val="08412027"/>
    <w:rsid w:val="08420CAE"/>
    <w:rsid w:val="084321C6"/>
    <w:rsid w:val="08465AC1"/>
    <w:rsid w:val="08491C9F"/>
    <w:rsid w:val="084A1910"/>
    <w:rsid w:val="084A7B62"/>
    <w:rsid w:val="084B6C7C"/>
    <w:rsid w:val="084C7436"/>
    <w:rsid w:val="084F5179"/>
    <w:rsid w:val="0850754F"/>
    <w:rsid w:val="085409E1"/>
    <w:rsid w:val="08554F0D"/>
    <w:rsid w:val="085646D0"/>
    <w:rsid w:val="085B4429"/>
    <w:rsid w:val="085B58CB"/>
    <w:rsid w:val="085E3915"/>
    <w:rsid w:val="085E58E2"/>
    <w:rsid w:val="085E7779"/>
    <w:rsid w:val="085F6A7C"/>
    <w:rsid w:val="08613C5F"/>
    <w:rsid w:val="08626C5A"/>
    <w:rsid w:val="08635283"/>
    <w:rsid w:val="0865674A"/>
    <w:rsid w:val="08663767"/>
    <w:rsid w:val="086C273C"/>
    <w:rsid w:val="086E1AA3"/>
    <w:rsid w:val="086F0AA0"/>
    <w:rsid w:val="0870581B"/>
    <w:rsid w:val="087136D3"/>
    <w:rsid w:val="087150EF"/>
    <w:rsid w:val="08726929"/>
    <w:rsid w:val="08726D6A"/>
    <w:rsid w:val="087345A0"/>
    <w:rsid w:val="08773781"/>
    <w:rsid w:val="087950BB"/>
    <w:rsid w:val="087A60F3"/>
    <w:rsid w:val="087B41C0"/>
    <w:rsid w:val="087F37FD"/>
    <w:rsid w:val="08804FA5"/>
    <w:rsid w:val="088052D5"/>
    <w:rsid w:val="08836BD0"/>
    <w:rsid w:val="08844E22"/>
    <w:rsid w:val="08850B9A"/>
    <w:rsid w:val="08852948"/>
    <w:rsid w:val="08862F5F"/>
    <w:rsid w:val="088A7C9E"/>
    <w:rsid w:val="088E7A4F"/>
    <w:rsid w:val="088F6559"/>
    <w:rsid w:val="08907156"/>
    <w:rsid w:val="089112ED"/>
    <w:rsid w:val="08914222"/>
    <w:rsid w:val="089A4646"/>
    <w:rsid w:val="089B6FC5"/>
    <w:rsid w:val="089D6BBF"/>
    <w:rsid w:val="08A211AE"/>
    <w:rsid w:val="08A21AC3"/>
    <w:rsid w:val="08A21FB2"/>
    <w:rsid w:val="08A2799E"/>
    <w:rsid w:val="08A31C0A"/>
    <w:rsid w:val="08A35EA1"/>
    <w:rsid w:val="08A412FA"/>
    <w:rsid w:val="08A4341F"/>
    <w:rsid w:val="08A454C4"/>
    <w:rsid w:val="08A45C91"/>
    <w:rsid w:val="08A55BAE"/>
    <w:rsid w:val="08A7449C"/>
    <w:rsid w:val="08A94889"/>
    <w:rsid w:val="08AB7A73"/>
    <w:rsid w:val="08B1120F"/>
    <w:rsid w:val="08B1198F"/>
    <w:rsid w:val="08B1661A"/>
    <w:rsid w:val="08B60D54"/>
    <w:rsid w:val="08B7323B"/>
    <w:rsid w:val="08B82D1E"/>
    <w:rsid w:val="08B94DFD"/>
    <w:rsid w:val="08BA4CE8"/>
    <w:rsid w:val="08BD6586"/>
    <w:rsid w:val="08C16076"/>
    <w:rsid w:val="08C227C7"/>
    <w:rsid w:val="08C2594B"/>
    <w:rsid w:val="08C27AEA"/>
    <w:rsid w:val="08C37E8C"/>
    <w:rsid w:val="08C46166"/>
    <w:rsid w:val="08C67EF5"/>
    <w:rsid w:val="08C73B82"/>
    <w:rsid w:val="08C90A87"/>
    <w:rsid w:val="08C96B5A"/>
    <w:rsid w:val="08C96CD9"/>
    <w:rsid w:val="08CA0923"/>
    <w:rsid w:val="08CB0CA3"/>
    <w:rsid w:val="08CC0577"/>
    <w:rsid w:val="08CE0713"/>
    <w:rsid w:val="08D17C6F"/>
    <w:rsid w:val="08D431FD"/>
    <w:rsid w:val="08D47A06"/>
    <w:rsid w:val="08D51B22"/>
    <w:rsid w:val="08D83A90"/>
    <w:rsid w:val="08DD29D1"/>
    <w:rsid w:val="08DD4532"/>
    <w:rsid w:val="08E01ACB"/>
    <w:rsid w:val="08E25FED"/>
    <w:rsid w:val="08E753B1"/>
    <w:rsid w:val="08EF4ADE"/>
    <w:rsid w:val="08F33F35"/>
    <w:rsid w:val="08F55D20"/>
    <w:rsid w:val="08F57D70"/>
    <w:rsid w:val="08FA6E92"/>
    <w:rsid w:val="08FB0497"/>
    <w:rsid w:val="08FB1678"/>
    <w:rsid w:val="08FC0E5C"/>
    <w:rsid w:val="08FC70AE"/>
    <w:rsid w:val="08FD4BD5"/>
    <w:rsid w:val="08FE04F3"/>
    <w:rsid w:val="08FE30E0"/>
    <w:rsid w:val="08FF04C4"/>
    <w:rsid w:val="08FF5D4F"/>
    <w:rsid w:val="09016473"/>
    <w:rsid w:val="090244ED"/>
    <w:rsid w:val="09075A53"/>
    <w:rsid w:val="090B72F2"/>
    <w:rsid w:val="090D41EF"/>
    <w:rsid w:val="090E048F"/>
    <w:rsid w:val="090E3626"/>
    <w:rsid w:val="090F0357"/>
    <w:rsid w:val="090F7525"/>
    <w:rsid w:val="091066B6"/>
    <w:rsid w:val="09112A2E"/>
    <w:rsid w:val="091268D2"/>
    <w:rsid w:val="0913264A"/>
    <w:rsid w:val="09150170"/>
    <w:rsid w:val="091532CE"/>
    <w:rsid w:val="0916055E"/>
    <w:rsid w:val="09163039"/>
    <w:rsid w:val="091851C2"/>
    <w:rsid w:val="091A7535"/>
    <w:rsid w:val="091B70F6"/>
    <w:rsid w:val="091E3FF7"/>
    <w:rsid w:val="091E77CF"/>
    <w:rsid w:val="091F43F3"/>
    <w:rsid w:val="092052F2"/>
    <w:rsid w:val="09212671"/>
    <w:rsid w:val="092217DD"/>
    <w:rsid w:val="092374A0"/>
    <w:rsid w:val="092403B3"/>
    <w:rsid w:val="09267C87"/>
    <w:rsid w:val="09293960"/>
    <w:rsid w:val="092A168D"/>
    <w:rsid w:val="092B7994"/>
    <w:rsid w:val="092B7F7D"/>
    <w:rsid w:val="092D7BF0"/>
    <w:rsid w:val="092E0F1A"/>
    <w:rsid w:val="092F48E5"/>
    <w:rsid w:val="093156A6"/>
    <w:rsid w:val="09320D22"/>
    <w:rsid w:val="093323A4"/>
    <w:rsid w:val="09356B17"/>
    <w:rsid w:val="09380CC3"/>
    <w:rsid w:val="09380E13"/>
    <w:rsid w:val="093A7294"/>
    <w:rsid w:val="093E76C7"/>
    <w:rsid w:val="09412C0D"/>
    <w:rsid w:val="09414AC1"/>
    <w:rsid w:val="094407D4"/>
    <w:rsid w:val="094430EC"/>
    <w:rsid w:val="094473B6"/>
    <w:rsid w:val="094620D8"/>
    <w:rsid w:val="094A5DF2"/>
    <w:rsid w:val="094B3B92"/>
    <w:rsid w:val="094B3E7A"/>
    <w:rsid w:val="094D790A"/>
    <w:rsid w:val="094E3682"/>
    <w:rsid w:val="094F66AA"/>
    <w:rsid w:val="095011A8"/>
    <w:rsid w:val="09514261"/>
    <w:rsid w:val="09532A47"/>
    <w:rsid w:val="09533322"/>
    <w:rsid w:val="0955056D"/>
    <w:rsid w:val="09550BEB"/>
    <w:rsid w:val="09553499"/>
    <w:rsid w:val="09572537"/>
    <w:rsid w:val="095751F5"/>
    <w:rsid w:val="0957651E"/>
    <w:rsid w:val="095819FF"/>
    <w:rsid w:val="095C57E5"/>
    <w:rsid w:val="0960544E"/>
    <w:rsid w:val="09615163"/>
    <w:rsid w:val="09616E04"/>
    <w:rsid w:val="096261F3"/>
    <w:rsid w:val="09641263"/>
    <w:rsid w:val="09644C54"/>
    <w:rsid w:val="0966604A"/>
    <w:rsid w:val="09667B9D"/>
    <w:rsid w:val="09684744"/>
    <w:rsid w:val="09691C27"/>
    <w:rsid w:val="096E4722"/>
    <w:rsid w:val="096E7880"/>
    <w:rsid w:val="09736D4B"/>
    <w:rsid w:val="097454ED"/>
    <w:rsid w:val="09774987"/>
    <w:rsid w:val="09776735"/>
    <w:rsid w:val="097B35D7"/>
    <w:rsid w:val="097C1E05"/>
    <w:rsid w:val="097C1F9D"/>
    <w:rsid w:val="09813A59"/>
    <w:rsid w:val="09826D25"/>
    <w:rsid w:val="09827D1A"/>
    <w:rsid w:val="09837144"/>
    <w:rsid w:val="098471C5"/>
    <w:rsid w:val="098552F6"/>
    <w:rsid w:val="09864BCA"/>
    <w:rsid w:val="09886A65"/>
    <w:rsid w:val="098B3F8E"/>
    <w:rsid w:val="098D411D"/>
    <w:rsid w:val="098D5754"/>
    <w:rsid w:val="098F13A6"/>
    <w:rsid w:val="09903C9B"/>
    <w:rsid w:val="0990465D"/>
    <w:rsid w:val="09936F52"/>
    <w:rsid w:val="099530A9"/>
    <w:rsid w:val="0996585F"/>
    <w:rsid w:val="099752FA"/>
    <w:rsid w:val="09977D06"/>
    <w:rsid w:val="099C2971"/>
    <w:rsid w:val="099C3298"/>
    <w:rsid w:val="099E6478"/>
    <w:rsid w:val="099F4F9C"/>
    <w:rsid w:val="09A137B2"/>
    <w:rsid w:val="09A514F4"/>
    <w:rsid w:val="09A60DC8"/>
    <w:rsid w:val="09A6701A"/>
    <w:rsid w:val="09A81E6C"/>
    <w:rsid w:val="09AB4631"/>
    <w:rsid w:val="09AF4121"/>
    <w:rsid w:val="09B054F7"/>
    <w:rsid w:val="09B35FA1"/>
    <w:rsid w:val="09B434E5"/>
    <w:rsid w:val="09B5550D"/>
    <w:rsid w:val="09B63241"/>
    <w:rsid w:val="09BA328F"/>
    <w:rsid w:val="09BA4874"/>
    <w:rsid w:val="09BC683E"/>
    <w:rsid w:val="09BF11C4"/>
    <w:rsid w:val="09C15C02"/>
    <w:rsid w:val="09C33728"/>
    <w:rsid w:val="09C449C9"/>
    <w:rsid w:val="09C511C8"/>
    <w:rsid w:val="09C6146A"/>
    <w:rsid w:val="09C739C2"/>
    <w:rsid w:val="09C80C78"/>
    <w:rsid w:val="09CB082F"/>
    <w:rsid w:val="09CD0A4B"/>
    <w:rsid w:val="09CD7E2B"/>
    <w:rsid w:val="09D01699"/>
    <w:rsid w:val="09D516AE"/>
    <w:rsid w:val="09D63782"/>
    <w:rsid w:val="09D65B51"/>
    <w:rsid w:val="09DB7B59"/>
    <w:rsid w:val="09DD2B05"/>
    <w:rsid w:val="09E12944"/>
    <w:rsid w:val="09E162A4"/>
    <w:rsid w:val="09E33DCA"/>
    <w:rsid w:val="09E55D95"/>
    <w:rsid w:val="09E65669"/>
    <w:rsid w:val="09E667CD"/>
    <w:rsid w:val="09E70E21"/>
    <w:rsid w:val="09E8011D"/>
    <w:rsid w:val="09E828BD"/>
    <w:rsid w:val="09EA5159"/>
    <w:rsid w:val="09EC7123"/>
    <w:rsid w:val="09ED2E9B"/>
    <w:rsid w:val="09EE2063"/>
    <w:rsid w:val="09EE27B2"/>
    <w:rsid w:val="09F064E7"/>
    <w:rsid w:val="09F10CF8"/>
    <w:rsid w:val="09F13ACE"/>
    <w:rsid w:val="09F75AC8"/>
    <w:rsid w:val="09F86A21"/>
    <w:rsid w:val="09F9539C"/>
    <w:rsid w:val="09F95448"/>
    <w:rsid w:val="09FB560A"/>
    <w:rsid w:val="0A002BCE"/>
    <w:rsid w:val="0A026946"/>
    <w:rsid w:val="0A03297A"/>
    <w:rsid w:val="0A03713A"/>
    <w:rsid w:val="0A067511"/>
    <w:rsid w:val="0A067AB9"/>
    <w:rsid w:val="0A081A83"/>
    <w:rsid w:val="0A083E28"/>
    <w:rsid w:val="0A0B7D0E"/>
    <w:rsid w:val="0A0C1573"/>
    <w:rsid w:val="0A0D21C8"/>
    <w:rsid w:val="0A0D501C"/>
    <w:rsid w:val="0A0F35F1"/>
    <w:rsid w:val="0A12645E"/>
    <w:rsid w:val="0A127D7E"/>
    <w:rsid w:val="0A141B01"/>
    <w:rsid w:val="0A14200F"/>
    <w:rsid w:val="0A15092E"/>
    <w:rsid w:val="0A187F18"/>
    <w:rsid w:val="0A191C5B"/>
    <w:rsid w:val="0A197251"/>
    <w:rsid w:val="0A1B3564"/>
    <w:rsid w:val="0A1B5312"/>
    <w:rsid w:val="0A1C1AAE"/>
    <w:rsid w:val="0A1E3055"/>
    <w:rsid w:val="0A214D54"/>
    <w:rsid w:val="0A2166A1"/>
    <w:rsid w:val="0A23066B"/>
    <w:rsid w:val="0A263993"/>
    <w:rsid w:val="0A27015B"/>
    <w:rsid w:val="0A2A7C4B"/>
    <w:rsid w:val="0A2B6B3B"/>
    <w:rsid w:val="0A2D14EA"/>
    <w:rsid w:val="0A2D3AC2"/>
    <w:rsid w:val="0A2E5160"/>
    <w:rsid w:val="0A307ED9"/>
    <w:rsid w:val="0A315BBA"/>
    <w:rsid w:val="0A321A02"/>
    <w:rsid w:val="0A3245CE"/>
    <w:rsid w:val="0A34200A"/>
    <w:rsid w:val="0A35620C"/>
    <w:rsid w:val="0A38541D"/>
    <w:rsid w:val="0A3B0078"/>
    <w:rsid w:val="0A3C2F82"/>
    <w:rsid w:val="0A3C7511"/>
    <w:rsid w:val="0A4237A6"/>
    <w:rsid w:val="0A4271F3"/>
    <w:rsid w:val="0A442E89"/>
    <w:rsid w:val="0A447271"/>
    <w:rsid w:val="0A4505E1"/>
    <w:rsid w:val="0A464D49"/>
    <w:rsid w:val="0A470E56"/>
    <w:rsid w:val="0A4725AB"/>
    <w:rsid w:val="0A4733B1"/>
    <w:rsid w:val="0A4D0340"/>
    <w:rsid w:val="0A4E393A"/>
    <w:rsid w:val="0A4F1460"/>
    <w:rsid w:val="0A522CFE"/>
    <w:rsid w:val="0A524136"/>
    <w:rsid w:val="0A526C05"/>
    <w:rsid w:val="0A544CC8"/>
    <w:rsid w:val="0A560AD8"/>
    <w:rsid w:val="0A576E36"/>
    <w:rsid w:val="0A5800B9"/>
    <w:rsid w:val="0A5847B8"/>
    <w:rsid w:val="0A5A017E"/>
    <w:rsid w:val="0A5B42B0"/>
    <w:rsid w:val="0A5B6057"/>
    <w:rsid w:val="0A5E2B27"/>
    <w:rsid w:val="0A5E62A9"/>
    <w:rsid w:val="0A5F75AA"/>
    <w:rsid w:val="0A6128D4"/>
    <w:rsid w:val="0A621193"/>
    <w:rsid w:val="0A626A85"/>
    <w:rsid w:val="0A641C49"/>
    <w:rsid w:val="0A642E9D"/>
    <w:rsid w:val="0A650C83"/>
    <w:rsid w:val="0A664DCA"/>
    <w:rsid w:val="0A6842D0"/>
    <w:rsid w:val="0A6E171F"/>
    <w:rsid w:val="0A6F3F56"/>
    <w:rsid w:val="0A7315F2"/>
    <w:rsid w:val="0A740120"/>
    <w:rsid w:val="0A750201"/>
    <w:rsid w:val="0A7964DD"/>
    <w:rsid w:val="0A7A3D8A"/>
    <w:rsid w:val="0A7C6500"/>
    <w:rsid w:val="0A7D53C7"/>
    <w:rsid w:val="0A7E3051"/>
    <w:rsid w:val="0A805ABD"/>
    <w:rsid w:val="0A810A74"/>
    <w:rsid w:val="0A815ADF"/>
    <w:rsid w:val="0A822C37"/>
    <w:rsid w:val="0A8443A7"/>
    <w:rsid w:val="0A844848"/>
    <w:rsid w:val="0A892E62"/>
    <w:rsid w:val="0A8B65B5"/>
    <w:rsid w:val="0A8C4462"/>
    <w:rsid w:val="0A8F51C5"/>
    <w:rsid w:val="0A984AE3"/>
    <w:rsid w:val="0A9A4BC1"/>
    <w:rsid w:val="0A9A5EC7"/>
    <w:rsid w:val="0A9B6453"/>
    <w:rsid w:val="0A9C36B0"/>
    <w:rsid w:val="0A9C7E3E"/>
    <w:rsid w:val="0A9D041D"/>
    <w:rsid w:val="0A9D21CB"/>
    <w:rsid w:val="0A9E2254"/>
    <w:rsid w:val="0AA01CBB"/>
    <w:rsid w:val="0AA31575"/>
    <w:rsid w:val="0AA755DF"/>
    <w:rsid w:val="0AAA2B3A"/>
    <w:rsid w:val="0AAD0540"/>
    <w:rsid w:val="0AAE262A"/>
    <w:rsid w:val="0AAF710E"/>
    <w:rsid w:val="0AB32F29"/>
    <w:rsid w:val="0AB33DDC"/>
    <w:rsid w:val="0AB45767"/>
    <w:rsid w:val="0AB47515"/>
    <w:rsid w:val="0AB87005"/>
    <w:rsid w:val="0ABD286D"/>
    <w:rsid w:val="0AC260D6"/>
    <w:rsid w:val="0AC27C6A"/>
    <w:rsid w:val="0AC36E0E"/>
    <w:rsid w:val="0AC534D0"/>
    <w:rsid w:val="0AC73B01"/>
    <w:rsid w:val="0AC92FC0"/>
    <w:rsid w:val="0ACB0426"/>
    <w:rsid w:val="0ACC1A29"/>
    <w:rsid w:val="0ACE05D7"/>
    <w:rsid w:val="0ACF7E39"/>
    <w:rsid w:val="0AD100C7"/>
    <w:rsid w:val="0AD16319"/>
    <w:rsid w:val="0AD213F4"/>
    <w:rsid w:val="0AD26B8C"/>
    <w:rsid w:val="0AD35BED"/>
    <w:rsid w:val="0AD41965"/>
    <w:rsid w:val="0AD6392F"/>
    <w:rsid w:val="0AD81455"/>
    <w:rsid w:val="0AD82C3E"/>
    <w:rsid w:val="0ADA498F"/>
    <w:rsid w:val="0ADD3D79"/>
    <w:rsid w:val="0ADD5AB6"/>
    <w:rsid w:val="0ADE7ACE"/>
    <w:rsid w:val="0ADF279F"/>
    <w:rsid w:val="0AE14B98"/>
    <w:rsid w:val="0AE31DB7"/>
    <w:rsid w:val="0AE41BA8"/>
    <w:rsid w:val="0AE533B0"/>
    <w:rsid w:val="0AE62FEB"/>
    <w:rsid w:val="0AE63660"/>
    <w:rsid w:val="0AE71E58"/>
    <w:rsid w:val="0AE75B3C"/>
    <w:rsid w:val="0AEC4F01"/>
    <w:rsid w:val="0AEE2A27"/>
    <w:rsid w:val="0AEF5592"/>
    <w:rsid w:val="0AF20084"/>
    <w:rsid w:val="0AF3003D"/>
    <w:rsid w:val="0AFA761E"/>
    <w:rsid w:val="0AFC0FE7"/>
    <w:rsid w:val="0AFC225F"/>
    <w:rsid w:val="0AFF69E2"/>
    <w:rsid w:val="0B022976"/>
    <w:rsid w:val="0B0264D2"/>
    <w:rsid w:val="0B04049C"/>
    <w:rsid w:val="0B0510B1"/>
    <w:rsid w:val="0B065E57"/>
    <w:rsid w:val="0B0833F7"/>
    <w:rsid w:val="0B0A1C25"/>
    <w:rsid w:val="0B0A5387"/>
    <w:rsid w:val="0B0B182B"/>
    <w:rsid w:val="0B120D44"/>
    <w:rsid w:val="0B156202"/>
    <w:rsid w:val="0B181C44"/>
    <w:rsid w:val="0B183F48"/>
    <w:rsid w:val="0B1A1EFA"/>
    <w:rsid w:val="0B1A3A0F"/>
    <w:rsid w:val="0B1B09DE"/>
    <w:rsid w:val="0B1B7594"/>
    <w:rsid w:val="0B1F469F"/>
    <w:rsid w:val="0B2226D0"/>
    <w:rsid w:val="0B275F39"/>
    <w:rsid w:val="0B291CB1"/>
    <w:rsid w:val="0B297E78"/>
    <w:rsid w:val="0B2E5519"/>
    <w:rsid w:val="0B3004CF"/>
    <w:rsid w:val="0B303F56"/>
    <w:rsid w:val="0B304DED"/>
    <w:rsid w:val="0B310B66"/>
    <w:rsid w:val="0B333044"/>
    <w:rsid w:val="0B352404"/>
    <w:rsid w:val="0B357684"/>
    <w:rsid w:val="0B36585D"/>
    <w:rsid w:val="0B381EF4"/>
    <w:rsid w:val="0B3C7674"/>
    <w:rsid w:val="0B424EA7"/>
    <w:rsid w:val="0B46188A"/>
    <w:rsid w:val="0B472137"/>
    <w:rsid w:val="0B4C599F"/>
    <w:rsid w:val="0B4F390A"/>
    <w:rsid w:val="0B5360CB"/>
    <w:rsid w:val="0B584344"/>
    <w:rsid w:val="0B5929CD"/>
    <w:rsid w:val="0B5A4560"/>
    <w:rsid w:val="0B5A630E"/>
    <w:rsid w:val="0B5B6CD0"/>
    <w:rsid w:val="0B5E4A40"/>
    <w:rsid w:val="0B617DDE"/>
    <w:rsid w:val="0B650CF0"/>
    <w:rsid w:val="0B6545E2"/>
    <w:rsid w:val="0B662F05"/>
    <w:rsid w:val="0B673D67"/>
    <w:rsid w:val="0B676458"/>
    <w:rsid w:val="0B6947A3"/>
    <w:rsid w:val="0B696551"/>
    <w:rsid w:val="0B6B22C9"/>
    <w:rsid w:val="0B6D4294"/>
    <w:rsid w:val="0B6E5236"/>
    <w:rsid w:val="0B6E5916"/>
    <w:rsid w:val="0B70036B"/>
    <w:rsid w:val="0B73117E"/>
    <w:rsid w:val="0B732F2C"/>
    <w:rsid w:val="0B751CE7"/>
    <w:rsid w:val="0B776EC0"/>
    <w:rsid w:val="0B790F91"/>
    <w:rsid w:val="0B793715"/>
    <w:rsid w:val="0B7A70E8"/>
    <w:rsid w:val="0B7C0033"/>
    <w:rsid w:val="0B7D64C2"/>
    <w:rsid w:val="0B7F3FC7"/>
    <w:rsid w:val="0B81389B"/>
    <w:rsid w:val="0B813B2B"/>
    <w:rsid w:val="0B8200AD"/>
    <w:rsid w:val="0B83547B"/>
    <w:rsid w:val="0B845139"/>
    <w:rsid w:val="0B860EB1"/>
    <w:rsid w:val="0B8C2030"/>
    <w:rsid w:val="0B8C401E"/>
    <w:rsid w:val="0B8D2240"/>
    <w:rsid w:val="0B8F462B"/>
    <w:rsid w:val="0B8F663B"/>
    <w:rsid w:val="0B902219"/>
    <w:rsid w:val="0B916AA9"/>
    <w:rsid w:val="0B9510F4"/>
    <w:rsid w:val="0B9569C1"/>
    <w:rsid w:val="0B9A6148"/>
    <w:rsid w:val="0B9B091A"/>
    <w:rsid w:val="0B9C06D5"/>
    <w:rsid w:val="0B9C171C"/>
    <w:rsid w:val="0B9D4034"/>
    <w:rsid w:val="0BA24AC6"/>
    <w:rsid w:val="0BA5025F"/>
    <w:rsid w:val="0BA71DCE"/>
    <w:rsid w:val="0BA87886"/>
    <w:rsid w:val="0BA94BA0"/>
    <w:rsid w:val="0BAB6B6A"/>
    <w:rsid w:val="0BAC5AE6"/>
    <w:rsid w:val="0BB10484"/>
    <w:rsid w:val="0BB64A44"/>
    <w:rsid w:val="0BBA4FFF"/>
    <w:rsid w:val="0BBB50CC"/>
    <w:rsid w:val="0BBD73F3"/>
    <w:rsid w:val="0BC154D3"/>
    <w:rsid w:val="0BC1638D"/>
    <w:rsid w:val="0BC43EBB"/>
    <w:rsid w:val="0BC658E6"/>
    <w:rsid w:val="0BC77A0C"/>
    <w:rsid w:val="0BCC4FF5"/>
    <w:rsid w:val="0BCD4D32"/>
    <w:rsid w:val="0BD27BF6"/>
    <w:rsid w:val="0BD4614A"/>
    <w:rsid w:val="0BD47E6F"/>
    <w:rsid w:val="0BD53BE7"/>
    <w:rsid w:val="0BD81EA8"/>
    <w:rsid w:val="0BD87E45"/>
    <w:rsid w:val="0BDC0CB8"/>
    <w:rsid w:val="0BDC4F75"/>
    <w:rsid w:val="0BDD658F"/>
    <w:rsid w:val="0BE07E39"/>
    <w:rsid w:val="0BE163F6"/>
    <w:rsid w:val="0BE300B2"/>
    <w:rsid w:val="0BE318A5"/>
    <w:rsid w:val="0BE36304"/>
    <w:rsid w:val="0BE43357"/>
    <w:rsid w:val="0BE45BD8"/>
    <w:rsid w:val="0BE52789"/>
    <w:rsid w:val="0BE75834"/>
    <w:rsid w:val="0BE8056F"/>
    <w:rsid w:val="0BE8391A"/>
    <w:rsid w:val="0BE853EC"/>
    <w:rsid w:val="0BE91440"/>
    <w:rsid w:val="0BEB51B8"/>
    <w:rsid w:val="0BED7182"/>
    <w:rsid w:val="0BEE47BC"/>
    <w:rsid w:val="0BF105AE"/>
    <w:rsid w:val="0BF25AB6"/>
    <w:rsid w:val="0BF26547"/>
    <w:rsid w:val="0BF70CCA"/>
    <w:rsid w:val="0BF73B5D"/>
    <w:rsid w:val="0BF8196E"/>
    <w:rsid w:val="0BF82291"/>
    <w:rsid w:val="0BF978D5"/>
    <w:rsid w:val="0BFA364D"/>
    <w:rsid w:val="0BFA5365"/>
    <w:rsid w:val="0BFE313E"/>
    <w:rsid w:val="0BFF2556"/>
    <w:rsid w:val="0C006EB6"/>
    <w:rsid w:val="0C02693A"/>
    <w:rsid w:val="0C062F39"/>
    <w:rsid w:val="0C0B0BE5"/>
    <w:rsid w:val="0C0B13B7"/>
    <w:rsid w:val="0C0B7609"/>
    <w:rsid w:val="0C0C26B6"/>
    <w:rsid w:val="0C0D6CA1"/>
    <w:rsid w:val="0C0F70F9"/>
    <w:rsid w:val="0C142472"/>
    <w:rsid w:val="0C150B31"/>
    <w:rsid w:val="0C175FAD"/>
    <w:rsid w:val="0C19323C"/>
    <w:rsid w:val="0C1A3D35"/>
    <w:rsid w:val="0C1A5088"/>
    <w:rsid w:val="0C1D603F"/>
    <w:rsid w:val="0C1D6E19"/>
    <w:rsid w:val="0C1E1C0F"/>
    <w:rsid w:val="0C1F7D0B"/>
    <w:rsid w:val="0C236700"/>
    <w:rsid w:val="0C261666"/>
    <w:rsid w:val="0C2661F0"/>
    <w:rsid w:val="0C2671FD"/>
    <w:rsid w:val="0C272694"/>
    <w:rsid w:val="0C2A3F33"/>
    <w:rsid w:val="0C2A5D44"/>
    <w:rsid w:val="0C2A7A8F"/>
    <w:rsid w:val="0C2C6AB1"/>
    <w:rsid w:val="0C2F32F7"/>
    <w:rsid w:val="0C302E80"/>
    <w:rsid w:val="0C3107C2"/>
    <w:rsid w:val="0C323161"/>
    <w:rsid w:val="0C324B95"/>
    <w:rsid w:val="0C3703FE"/>
    <w:rsid w:val="0C38099A"/>
    <w:rsid w:val="0C394176"/>
    <w:rsid w:val="0C3B3C7D"/>
    <w:rsid w:val="0C3C5150"/>
    <w:rsid w:val="0C3D6360"/>
    <w:rsid w:val="0C3E3DDF"/>
    <w:rsid w:val="0C3E6914"/>
    <w:rsid w:val="0C3F4767"/>
    <w:rsid w:val="0C4336FC"/>
    <w:rsid w:val="0C457A29"/>
    <w:rsid w:val="0C464090"/>
    <w:rsid w:val="0C476893"/>
    <w:rsid w:val="0C48085D"/>
    <w:rsid w:val="0C4B299E"/>
    <w:rsid w:val="0C4F1BEB"/>
    <w:rsid w:val="0C500A67"/>
    <w:rsid w:val="0C51014B"/>
    <w:rsid w:val="0C517711"/>
    <w:rsid w:val="0C523A41"/>
    <w:rsid w:val="0C561531"/>
    <w:rsid w:val="0C572080"/>
    <w:rsid w:val="0C58550E"/>
    <w:rsid w:val="0C5965C6"/>
    <w:rsid w:val="0C5B2F56"/>
    <w:rsid w:val="0C607954"/>
    <w:rsid w:val="0C62403E"/>
    <w:rsid w:val="0C6805B7"/>
    <w:rsid w:val="0C684E57"/>
    <w:rsid w:val="0C6A07D3"/>
    <w:rsid w:val="0C6A2581"/>
    <w:rsid w:val="0C6C2CAA"/>
    <w:rsid w:val="0C732134"/>
    <w:rsid w:val="0C735F04"/>
    <w:rsid w:val="0C741F7C"/>
    <w:rsid w:val="0C776A4C"/>
    <w:rsid w:val="0C7B478E"/>
    <w:rsid w:val="0C7D0506"/>
    <w:rsid w:val="0C7D08F9"/>
    <w:rsid w:val="0C7D2040"/>
    <w:rsid w:val="0C7E54E8"/>
    <w:rsid w:val="0C7E7DDA"/>
    <w:rsid w:val="0C875D49"/>
    <w:rsid w:val="0C8801D3"/>
    <w:rsid w:val="0C892345"/>
    <w:rsid w:val="0C8A165D"/>
    <w:rsid w:val="0C8C24F7"/>
    <w:rsid w:val="0C8F1FE8"/>
    <w:rsid w:val="0C901826"/>
    <w:rsid w:val="0C910B71"/>
    <w:rsid w:val="0C9220A3"/>
    <w:rsid w:val="0C937D2A"/>
    <w:rsid w:val="0C9451E5"/>
    <w:rsid w:val="0C977B7C"/>
    <w:rsid w:val="0C9910B8"/>
    <w:rsid w:val="0C996E33"/>
    <w:rsid w:val="0C9B273A"/>
    <w:rsid w:val="0C9C64B3"/>
    <w:rsid w:val="0CA02447"/>
    <w:rsid w:val="0CA44101"/>
    <w:rsid w:val="0CA57A5D"/>
    <w:rsid w:val="0CA710DF"/>
    <w:rsid w:val="0CA737D5"/>
    <w:rsid w:val="0CA912C6"/>
    <w:rsid w:val="0CAB2EAE"/>
    <w:rsid w:val="0CAB5470"/>
    <w:rsid w:val="0CAE6912"/>
    <w:rsid w:val="0CAF4B26"/>
    <w:rsid w:val="0CB101B0"/>
    <w:rsid w:val="0CB24EF1"/>
    <w:rsid w:val="0CB547BF"/>
    <w:rsid w:val="0CB61B26"/>
    <w:rsid w:val="0CB952B6"/>
    <w:rsid w:val="0CB97065"/>
    <w:rsid w:val="0CBB102F"/>
    <w:rsid w:val="0CBB4B8B"/>
    <w:rsid w:val="0CBD0903"/>
    <w:rsid w:val="0CBD4DA7"/>
    <w:rsid w:val="0CC1275F"/>
    <w:rsid w:val="0CC223BD"/>
    <w:rsid w:val="0CC25F19"/>
    <w:rsid w:val="0CC450AB"/>
    <w:rsid w:val="0CC47EE3"/>
    <w:rsid w:val="0CC6752B"/>
    <w:rsid w:val="0CCC37D3"/>
    <w:rsid w:val="0CCC6D98"/>
    <w:rsid w:val="0CCE2B10"/>
    <w:rsid w:val="0CCF4ADA"/>
    <w:rsid w:val="0CD13DC2"/>
    <w:rsid w:val="0CD17737"/>
    <w:rsid w:val="0CD345CA"/>
    <w:rsid w:val="0CD409E5"/>
    <w:rsid w:val="0CD41789"/>
    <w:rsid w:val="0CD45018"/>
    <w:rsid w:val="0CD52EFD"/>
    <w:rsid w:val="0CD74D13"/>
    <w:rsid w:val="0CD81F86"/>
    <w:rsid w:val="0CD82256"/>
    <w:rsid w:val="0CDA42C6"/>
    <w:rsid w:val="0CDB0AB0"/>
    <w:rsid w:val="0CDC61FC"/>
    <w:rsid w:val="0CDE08D7"/>
    <w:rsid w:val="0CE00A95"/>
    <w:rsid w:val="0CE23547"/>
    <w:rsid w:val="0CE3668F"/>
    <w:rsid w:val="0CE57E5A"/>
    <w:rsid w:val="0CE64501"/>
    <w:rsid w:val="0CE916F8"/>
    <w:rsid w:val="0CE95B9C"/>
    <w:rsid w:val="0CEE6D0E"/>
    <w:rsid w:val="0CF06F2A"/>
    <w:rsid w:val="0CF167FE"/>
    <w:rsid w:val="0CF4009D"/>
    <w:rsid w:val="0CF46A58"/>
    <w:rsid w:val="0CF6215D"/>
    <w:rsid w:val="0CF956B3"/>
    <w:rsid w:val="0CFE2CC9"/>
    <w:rsid w:val="0CFF02A4"/>
    <w:rsid w:val="0D002EE5"/>
    <w:rsid w:val="0D0522AA"/>
    <w:rsid w:val="0D07075A"/>
    <w:rsid w:val="0D077DD0"/>
    <w:rsid w:val="0D0A77D4"/>
    <w:rsid w:val="0D0B154F"/>
    <w:rsid w:val="0D0C2BB8"/>
    <w:rsid w:val="0D0D21C8"/>
    <w:rsid w:val="0D0D71DD"/>
    <w:rsid w:val="0D0E5602"/>
    <w:rsid w:val="0D0E73B0"/>
    <w:rsid w:val="0D114EC2"/>
    <w:rsid w:val="0D1165E2"/>
    <w:rsid w:val="0D124146"/>
    <w:rsid w:val="0D14241D"/>
    <w:rsid w:val="0D192436"/>
    <w:rsid w:val="0D1967C1"/>
    <w:rsid w:val="0D222E5C"/>
    <w:rsid w:val="0D247A5D"/>
    <w:rsid w:val="0D2564A8"/>
    <w:rsid w:val="0D2A1D10"/>
    <w:rsid w:val="0D2C3CDA"/>
    <w:rsid w:val="0D2C5A88"/>
    <w:rsid w:val="0D2E116F"/>
    <w:rsid w:val="0D2E7276"/>
    <w:rsid w:val="0D3037CB"/>
    <w:rsid w:val="0D316B29"/>
    <w:rsid w:val="0D3633D5"/>
    <w:rsid w:val="0D374B59"/>
    <w:rsid w:val="0D376006"/>
    <w:rsid w:val="0D38142E"/>
    <w:rsid w:val="0D3A0D7E"/>
    <w:rsid w:val="0D3C216F"/>
    <w:rsid w:val="0D3C6F5D"/>
    <w:rsid w:val="0D3D1116"/>
    <w:rsid w:val="0D3D64FB"/>
    <w:rsid w:val="0D412327"/>
    <w:rsid w:val="0D413D34"/>
    <w:rsid w:val="0D424818"/>
    <w:rsid w:val="0D4252AC"/>
    <w:rsid w:val="0D434F46"/>
    <w:rsid w:val="0D442FA3"/>
    <w:rsid w:val="0D454563"/>
    <w:rsid w:val="0D464D9C"/>
    <w:rsid w:val="0D4728C2"/>
    <w:rsid w:val="0D4A0C72"/>
    <w:rsid w:val="0D501777"/>
    <w:rsid w:val="0D504E26"/>
    <w:rsid w:val="0D544925"/>
    <w:rsid w:val="0D570BD5"/>
    <w:rsid w:val="0D5D09B8"/>
    <w:rsid w:val="0D5D4732"/>
    <w:rsid w:val="0D5D4BB2"/>
    <w:rsid w:val="0D5E0A86"/>
    <w:rsid w:val="0D5E21A3"/>
    <w:rsid w:val="0D5F2FFD"/>
    <w:rsid w:val="0D611389"/>
    <w:rsid w:val="0D616CFA"/>
    <w:rsid w:val="0D6173F3"/>
    <w:rsid w:val="0D621C7D"/>
    <w:rsid w:val="0D6276FC"/>
    <w:rsid w:val="0D63594E"/>
    <w:rsid w:val="0D643474"/>
    <w:rsid w:val="0D662D48"/>
    <w:rsid w:val="0D692474"/>
    <w:rsid w:val="0D6A2A9E"/>
    <w:rsid w:val="0D6B035F"/>
    <w:rsid w:val="0D6B65B1"/>
    <w:rsid w:val="0D6C2329"/>
    <w:rsid w:val="0D6C6C9A"/>
    <w:rsid w:val="0D6E42F3"/>
    <w:rsid w:val="0D7336B7"/>
    <w:rsid w:val="0D753425"/>
    <w:rsid w:val="0D7567FF"/>
    <w:rsid w:val="0D774F56"/>
    <w:rsid w:val="0D782A7C"/>
    <w:rsid w:val="0D783438"/>
    <w:rsid w:val="0D7A2C98"/>
    <w:rsid w:val="0D7E21EB"/>
    <w:rsid w:val="0D814283"/>
    <w:rsid w:val="0D815DD4"/>
    <w:rsid w:val="0D8230BC"/>
    <w:rsid w:val="0D83471F"/>
    <w:rsid w:val="0D8633EB"/>
    <w:rsid w:val="0D865199"/>
    <w:rsid w:val="0D875D11"/>
    <w:rsid w:val="0D896A37"/>
    <w:rsid w:val="0D8A6546"/>
    <w:rsid w:val="0D8B01D7"/>
    <w:rsid w:val="0D8C0FCA"/>
    <w:rsid w:val="0D8D0EE8"/>
    <w:rsid w:val="0D8F5718"/>
    <w:rsid w:val="0D901516"/>
    <w:rsid w:val="0D907DC5"/>
    <w:rsid w:val="0D9367E2"/>
    <w:rsid w:val="0D95336B"/>
    <w:rsid w:val="0D957AD2"/>
    <w:rsid w:val="0D9770C0"/>
    <w:rsid w:val="0D991370"/>
    <w:rsid w:val="0D9A50E8"/>
    <w:rsid w:val="0D9C676A"/>
    <w:rsid w:val="0D9D7722"/>
    <w:rsid w:val="0DA10224"/>
    <w:rsid w:val="0DA80278"/>
    <w:rsid w:val="0DA83630"/>
    <w:rsid w:val="0DAA710C"/>
    <w:rsid w:val="0DAD7F6B"/>
    <w:rsid w:val="0DAE7BC8"/>
    <w:rsid w:val="0DAE7C66"/>
    <w:rsid w:val="0DAF0B93"/>
    <w:rsid w:val="0DB002FE"/>
    <w:rsid w:val="0DB37EE2"/>
    <w:rsid w:val="0DB53CD0"/>
    <w:rsid w:val="0DB550F1"/>
    <w:rsid w:val="0DB7071E"/>
    <w:rsid w:val="0DB74672"/>
    <w:rsid w:val="0DB927EB"/>
    <w:rsid w:val="0DBA1696"/>
    <w:rsid w:val="0DBF1EA9"/>
    <w:rsid w:val="0DC12235"/>
    <w:rsid w:val="0DC14423"/>
    <w:rsid w:val="0DC341F9"/>
    <w:rsid w:val="0DC41017"/>
    <w:rsid w:val="0DC4692C"/>
    <w:rsid w:val="0DC836E2"/>
    <w:rsid w:val="0DC83A03"/>
    <w:rsid w:val="0DCB34F3"/>
    <w:rsid w:val="0DCB534C"/>
    <w:rsid w:val="0DCD726B"/>
    <w:rsid w:val="0DCF4D92"/>
    <w:rsid w:val="0DD17282"/>
    <w:rsid w:val="0DD24882"/>
    <w:rsid w:val="0DD40F69"/>
    <w:rsid w:val="0DD54716"/>
    <w:rsid w:val="0DD83A93"/>
    <w:rsid w:val="0DD86F39"/>
    <w:rsid w:val="0DDA2A5B"/>
    <w:rsid w:val="0DDE4FD5"/>
    <w:rsid w:val="0DE10621"/>
    <w:rsid w:val="0DE57B95"/>
    <w:rsid w:val="0DEB5944"/>
    <w:rsid w:val="0DEC29E9"/>
    <w:rsid w:val="0DEE2D3E"/>
    <w:rsid w:val="0DEE3D1F"/>
    <w:rsid w:val="0DF02F5A"/>
    <w:rsid w:val="0DF07B5F"/>
    <w:rsid w:val="0DF24C0B"/>
    <w:rsid w:val="0DFA5B87"/>
    <w:rsid w:val="0DFA626A"/>
    <w:rsid w:val="0DFC545B"/>
    <w:rsid w:val="0DFF4DD7"/>
    <w:rsid w:val="0E0013EF"/>
    <w:rsid w:val="0E002B47"/>
    <w:rsid w:val="0E056A05"/>
    <w:rsid w:val="0E06277D"/>
    <w:rsid w:val="0E0A1FE1"/>
    <w:rsid w:val="0E0A401C"/>
    <w:rsid w:val="0E0C716E"/>
    <w:rsid w:val="0E0D1416"/>
    <w:rsid w:val="0E0F1632"/>
    <w:rsid w:val="0E0F5C2B"/>
    <w:rsid w:val="0E100F06"/>
    <w:rsid w:val="0E1142E2"/>
    <w:rsid w:val="0E1409F6"/>
    <w:rsid w:val="0E15476E"/>
    <w:rsid w:val="0E167785"/>
    <w:rsid w:val="0E1B20C0"/>
    <w:rsid w:val="0E1C71F1"/>
    <w:rsid w:val="0E1D7754"/>
    <w:rsid w:val="0E1E59E1"/>
    <w:rsid w:val="0E20367E"/>
    <w:rsid w:val="0E2449B2"/>
    <w:rsid w:val="0E2531DC"/>
    <w:rsid w:val="0E2634B0"/>
    <w:rsid w:val="0E2A646C"/>
    <w:rsid w:val="0E2B5D40"/>
    <w:rsid w:val="0E2D7E5C"/>
    <w:rsid w:val="0E2E1A88"/>
    <w:rsid w:val="0E2F3E86"/>
    <w:rsid w:val="0E303356"/>
    <w:rsid w:val="0E3043DA"/>
    <w:rsid w:val="0E3177FA"/>
    <w:rsid w:val="0E341EF9"/>
    <w:rsid w:val="0E3453D2"/>
    <w:rsid w:val="0E364E11"/>
    <w:rsid w:val="0E3A41D5"/>
    <w:rsid w:val="0E3B5283"/>
    <w:rsid w:val="0E3C1CFB"/>
    <w:rsid w:val="0E3C7F4D"/>
    <w:rsid w:val="0E3E3CC5"/>
    <w:rsid w:val="0E3E6584"/>
    <w:rsid w:val="0E3F1103"/>
    <w:rsid w:val="0E3F3D73"/>
    <w:rsid w:val="0E415563"/>
    <w:rsid w:val="0E440BB0"/>
    <w:rsid w:val="0E450A6C"/>
    <w:rsid w:val="0E462B7A"/>
    <w:rsid w:val="0E464928"/>
    <w:rsid w:val="0E480ADD"/>
    <w:rsid w:val="0E4868F2"/>
    <w:rsid w:val="0E491A74"/>
    <w:rsid w:val="0E497997"/>
    <w:rsid w:val="0E4A08BC"/>
    <w:rsid w:val="0E4B63E2"/>
    <w:rsid w:val="0E4D215A"/>
    <w:rsid w:val="0E4D5CB6"/>
    <w:rsid w:val="0E4F7C80"/>
    <w:rsid w:val="0E5148C8"/>
    <w:rsid w:val="0E531C1A"/>
    <w:rsid w:val="0E536883"/>
    <w:rsid w:val="0E5928AD"/>
    <w:rsid w:val="0E59465B"/>
    <w:rsid w:val="0E5A03D3"/>
    <w:rsid w:val="0E5A3CCE"/>
    <w:rsid w:val="0E5A6511"/>
    <w:rsid w:val="0E5C231B"/>
    <w:rsid w:val="0E5C239D"/>
    <w:rsid w:val="0E5C5471"/>
    <w:rsid w:val="0E5D3CF9"/>
    <w:rsid w:val="0E5D7D83"/>
    <w:rsid w:val="0E615C1C"/>
    <w:rsid w:val="0E615E65"/>
    <w:rsid w:val="0E646B50"/>
    <w:rsid w:val="0E664FCA"/>
    <w:rsid w:val="0E670643"/>
    <w:rsid w:val="0E6D0107"/>
    <w:rsid w:val="0E6D6C08"/>
    <w:rsid w:val="0E711068"/>
    <w:rsid w:val="0E721BC1"/>
    <w:rsid w:val="0E72571D"/>
    <w:rsid w:val="0E73034D"/>
    <w:rsid w:val="0E7422F3"/>
    <w:rsid w:val="0E7518DB"/>
    <w:rsid w:val="0E7519F5"/>
    <w:rsid w:val="0E7552CA"/>
    <w:rsid w:val="0E76345F"/>
    <w:rsid w:val="0E772D33"/>
    <w:rsid w:val="0E792F4F"/>
    <w:rsid w:val="0E7B082E"/>
    <w:rsid w:val="0E7B3DFB"/>
    <w:rsid w:val="0E7C47EE"/>
    <w:rsid w:val="0E7C4D1C"/>
    <w:rsid w:val="0E813BB2"/>
    <w:rsid w:val="0E83604E"/>
    <w:rsid w:val="0E837214"/>
    <w:rsid w:val="0E85509F"/>
    <w:rsid w:val="0E862EB6"/>
    <w:rsid w:val="0E887A5E"/>
    <w:rsid w:val="0E897A79"/>
    <w:rsid w:val="0E8B545A"/>
    <w:rsid w:val="0E8B67DF"/>
    <w:rsid w:val="0E8C4A31"/>
    <w:rsid w:val="0E8E1229"/>
    <w:rsid w:val="0E9122AD"/>
    <w:rsid w:val="0E92496E"/>
    <w:rsid w:val="0E96765D"/>
    <w:rsid w:val="0E9733D5"/>
    <w:rsid w:val="0E990EFC"/>
    <w:rsid w:val="0E9A3809"/>
    <w:rsid w:val="0E9A417F"/>
    <w:rsid w:val="0E9C5859"/>
    <w:rsid w:val="0E9D51A2"/>
    <w:rsid w:val="0E9D650F"/>
    <w:rsid w:val="0E9E26C1"/>
    <w:rsid w:val="0E9E2D8F"/>
    <w:rsid w:val="0E9F103A"/>
    <w:rsid w:val="0EA004DC"/>
    <w:rsid w:val="0EA24254"/>
    <w:rsid w:val="0EA30C97"/>
    <w:rsid w:val="0EA55AF2"/>
    <w:rsid w:val="0EA57424"/>
    <w:rsid w:val="0EA67FFC"/>
    <w:rsid w:val="0EA70693"/>
    <w:rsid w:val="0EA901AC"/>
    <w:rsid w:val="0EA9769E"/>
    <w:rsid w:val="0EAB3395"/>
    <w:rsid w:val="0EAC6E81"/>
    <w:rsid w:val="0EAD12BB"/>
    <w:rsid w:val="0EAD49A7"/>
    <w:rsid w:val="0EAD70A3"/>
    <w:rsid w:val="0EAE0E4B"/>
    <w:rsid w:val="0EB40AB8"/>
    <w:rsid w:val="0EB618BF"/>
    <w:rsid w:val="0EB67C4C"/>
    <w:rsid w:val="0EB67D00"/>
    <w:rsid w:val="0EB75826"/>
    <w:rsid w:val="0EB85E42"/>
    <w:rsid w:val="0EBC0FD8"/>
    <w:rsid w:val="0EBC4BEA"/>
    <w:rsid w:val="0EBD108E"/>
    <w:rsid w:val="0EBD3BA3"/>
    <w:rsid w:val="0EBE0E90"/>
    <w:rsid w:val="0EBE6716"/>
    <w:rsid w:val="0EBE7FB6"/>
    <w:rsid w:val="0EBF56C9"/>
    <w:rsid w:val="0EC248F6"/>
    <w:rsid w:val="0EC266A4"/>
    <w:rsid w:val="0EC3241C"/>
    <w:rsid w:val="0EC543A5"/>
    <w:rsid w:val="0EC642E0"/>
    <w:rsid w:val="0EC928F0"/>
    <w:rsid w:val="0EC95C12"/>
    <w:rsid w:val="0ECA37AB"/>
    <w:rsid w:val="0ECA57E3"/>
    <w:rsid w:val="0ECB1AE3"/>
    <w:rsid w:val="0ECB608D"/>
    <w:rsid w:val="0ECB7EDB"/>
    <w:rsid w:val="0ECC5383"/>
    <w:rsid w:val="0ECD4A78"/>
    <w:rsid w:val="0ECE2256"/>
    <w:rsid w:val="0ECF31C5"/>
    <w:rsid w:val="0ECF491D"/>
    <w:rsid w:val="0ED10695"/>
    <w:rsid w:val="0ED13090"/>
    <w:rsid w:val="0ED15076"/>
    <w:rsid w:val="0ED230C4"/>
    <w:rsid w:val="0ED62150"/>
    <w:rsid w:val="0ED84277"/>
    <w:rsid w:val="0EDD528C"/>
    <w:rsid w:val="0EDE337E"/>
    <w:rsid w:val="0EDE6320"/>
    <w:rsid w:val="0EDF19AC"/>
    <w:rsid w:val="0EE27DCA"/>
    <w:rsid w:val="0EE32E72"/>
    <w:rsid w:val="0EE57607"/>
    <w:rsid w:val="0EE72938"/>
    <w:rsid w:val="0EE859DF"/>
    <w:rsid w:val="0EEA1757"/>
    <w:rsid w:val="0EEC3721"/>
    <w:rsid w:val="0EF127ED"/>
    <w:rsid w:val="0EF14CBA"/>
    <w:rsid w:val="0EF15A6A"/>
    <w:rsid w:val="0EF16044"/>
    <w:rsid w:val="0EF44384"/>
    <w:rsid w:val="0EF56A7A"/>
    <w:rsid w:val="0EF651CE"/>
    <w:rsid w:val="0EF70ACF"/>
    <w:rsid w:val="0EF720B4"/>
    <w:rsid w:val="0EF72787"/>
    <w:rsid w:val="0EF820C6"/>
    <w:rsid w:val="0EF82770"/>
    <w:rsid w:val="0EFB3964"/>
    <w:rsid w:val="0EFC31F9"/>
    <w:rsid w:val="0EFC767B"/>
    <w:rsid w:val="0EFF584A"/>
    <w:rsid w:val="0F000F7B"/>
    <w:rsid w:val="0F0071CD"/>
    <w:rsid w:val="0F026AA1"/>
    <w:rsid w:val="0F0304DC"/>
    <w:rsid w:val="0F040A6B"/>
    <w:rsid w:val="0F070C31"/>
    <w:rsid w:val="0F0A7305"/>
    <w:rsid w:val="0F0F5662"/>
    <w:rsid w:val="0F0F7410"/>
    <w:rsid w:val="0F13775A"/>
    <w:rsid w:val="0F1467D4"/>
    <w:rsid w:val="0F1862C4"/>
    <w:rsid w:val="0F1A154F"/>
    <w:rsid w:val="0F1B5DB5"/>
    <w:rsid w:val="0F1F58A5"/>
    <w:rsid w:val="0F2033CB"/>
    <w:rsid w:val="0F2053E3"/>
    <w:rsid w:val="0F227143"/>
    <w:rsid w:val="0F291932"/>
    <w:rsid w:val="0F2B2C04"/>
    <w:rsid w:val="0F2C59D5"/>
    <w:rsid w:val="0F2C7FC2"/>
    <w:rsid w:val="0F2F1860"/>
    <w:rsid w:val="0F3155D8"/>
    <w:rsid w:val="0F32116B"/>
    <w:rsid w:val="0F39623B"/>
    <w:rsid w:val="0F3A48B5"/>
    <w:rsid w:val="0F3A76D2"/>
    <w:rsid w:val="0F3D3F7D"/>
    <w:rsid w:val="0F3F5F47"/>
    <w:rsid w:val="0F3F7CF5"/>
    <w:rsid w:val="0F4075C9"/>
    <w:rsid w:val="0F423341"/>
    <w:rsid w:val="0F4378C9"/>
    <w:rsid w:val="0F451083"/>
    <w:rsid w:val="0F454247"/>
    <w:rsid w:val="0F470958"/>
    <w:rsid w:val="0F4942EC"/>
    <w:rsid w:val="0F4A27C8"/>
    <w:rsid w:val="0F4B6378"/>
    <w:rsid w:val="0F4D5CE6"/>
    <w:rsid w:val="0F4E618A"/>
    <w:rsid w:val="0F51040B"/>
    <w:rsid w:val="0F5117D6"/>
    <w:rsid w:val="0F520134"/>
    <w:rsid w:val="0F547445"/>
    <w:rsid w:val="0F557595"/>
    <w:rsid w:val="0F5750C0"/>
    <w:rsid w:val="0F5A4B2F"/>
    <w:rsid w:val="0F5A4E63"/>
    <w:rsid w:val="0F5B2655"/>
    <w:rsid w:val="0F5B4403"/>
    <w:rsid w:val="0F5D461F"/>
    <w:rsid w:val="0F5F45FE"/>
    <w:rsid w:val="0F6103B3"/>
    <w:rsid w:val="0F61477B"/>
    <w:rsid w:val="0F616436"/>
    <w:rsid w:val="0F6239E3"/>
    <w:rsid w:val="0F6304EA"/>
    <w:rsid w:val="0F663AD7"/>
    <w:rsid w:val="0F672D6D"/>
    <w:rsid w:val="0F67724C"/>
    <w:rsid w:val="0F694D72"/>
    <w:rsid w:val="0F6C03BE"/>
    <w:rsid w:val="0F6C234B"/>
    <w:rsid w:val="0F6C4862"/>
    <w:rsid w:val="0F6C6610"/>
    <w:rsid w:val="0F6E5A2D"/>
    <w:rsid w:val="0F706100"/>
    <w:rsid w:val="0F710378"/>
    <w:rsid w:val="0F717D09"/>
    <w:rsid w:val="0F742A3A"/>
    <w:rsid w:val="0F7554C5"/>
    <w:rsid w:val="0F757FCC"/>
    <w:rsid w:val="0F766DCA"/>
    <w:rsid w:val="0F796ABC"/>
    <w:rsid w:val="0F7A0AA7"/>
    <w:rsid w:val="0F7A6146"/>
    <w:rsid w:val="0F7C60F1"/>
    <w:rsid w:val="0F7D6A6F"/>
    <w:rsid w:val="0F7F6343"/>
    <w:rsid w:val="0F81030D"/>
    <w:rsid w:val="0F825F2A"/>
    <w:rsid w:val="0F8370F0"/>
    <w:rsid w:val="0F842A93"/>
    <w:rsid w:val="0F855BBA"/>
    <w:rsid w:val="0F8B5B5D"/>
    <w:rsid w:val="0F917E25"/>
    <w:rsid w:val="0F931DEF"/>
    <w:rsid w:val="0F9628F7"/>
    <w:rsid w:val="0F985657"/>
    <w:rsid w:val="0F987ED3"/>
    <w:rsid w:val="0F9A112B"/>
    <w:rsid w:val="0F9A317D"/>
    <w:rsid w:val="0F9B1874"/>
    <w:rsid w:val="0F9D68CC"/>
    <w:rsid w:val="0F9F0794"/>
    <w:rsid w:val="0F9F2542"/>
    <w:rsid w:val="0FA1275E"/>
    <w:rsid w:val="0FA44CBD"/>
    <w:rsid w:val="0FA638D0"/>
    <w:rsid w:val="0FA77648"/>
    <w:rsid w:val="0FAA3621"/>
    <w:rsid w:val="0FAB2A2E"/>
    <w:rsid w:val="0FAC7ECC"/>
    <w:rsid w:val="0FAE3D20"/>
    <w:rsid w:val="0FAF7A34"/>
    <w:rsid w:val="0FB110C5"/>
    <w:rsid w:val="0FB31FBB"/>
    <w:rsid w:val="0FB35FED"/>
    <w:rsid w:val="0FB46D1F"/>
    <w:rsid w:val="0FB56209"/>
    <w:rsid w:val="0FB6788B"/>
    <w:rsid w:val="0FB71F81"/>
    <w:rsid w:val="0FB9556D"/>
    <w:rsid w:val="0FBA10E4"/>
    <w:rsid w:val="0FBA737B"/>
    <w:rsid w:val="0FBC0859"/>
    <w:rsid w:val="0FBD21EC"/>
    <w:rsid w:val="0FBE5D4A"/>
    <w:rsid w:val="0FC401FA"/>
    <w:rsid w:val="0FC4644C"/>
    <w:rsid w:val="0FC71A98"/>
    <w:rsid w:val="0FC71AE8"/>
    <w:rsid w:val="0FC827AB"/>
    <w:rsid w:val="0FC854C0"/>
    <w:rsid w:val="0FC85F3C"/>
    <w:rsid w:val="0FC95811"/>
    <w:rsid w:val="0FCC70AF"/>
    <w:rsid w:val="0FCD35A2"/>
    <w:rsid w:val="0FD04DF1"/>
    <w:rsid w:val="0FD50659"/>
    <w:rsid w:val="0FD5687F"/>
    <w:rsid w:val="0FD61879"/>
    <w:rsid w:val="0FD65776"/>
    <w:rsid w:val="0FD6625E"/>
    <w:rsid w:val="0FD83CA6"/>
    <w:rsid w:val="0FDA5C70"/>
    <w:rsid w:val="0FDA7A1E"/>
    <w:rsid w:val="0FDE750E"/>
    <w:rsid w:val="0FE211AE"/>
    <w:rsid w:val="0FE22FD9"/>
    <w:rsid w:val="0FE32D76"/>
    <w:rsid w:val="0FE34B24"/>
    <w:rsid w:val="0FE36911"/>
    <w:rsid w:val="0FE45E64"/>
    <w:rsid w:val="0FE753DD"/>
    <w:rsid w:val="0FE90C4C"/>
    <w:rsid w:val="0FEF3D8F"/>
    <w:rsid w:val="0FF112FA"/>
    <w:rsid w:val="0FF24D67"/>
    <w:rsid w:val="0FF420EE"/>
    <w:rsid w:val="0FF4703C"/>
    <w:rsid w:val="0FF65FA6"/>
    <w:rsid w:val="0FF74128"/>
    <w:rsid w:val="0FF765E0"/>
    <w:rsid w:val="0FF857A4"/>
    <w:rsid w:val="0FF905A1"/>
    <w:rsid w:val="0FF9152F"/>
    <w:rsid w:val="0FFC0270"/>
    <w:rsid w:val="0FFF3E78"/>
    <w:rsid w:val="10054422"/>
    <w:rsid w:val="10080920"/>
    <w:rsid w:val="10090303"/>
    <w:rsid w:val="1009510B"/>
    <w:rsid w:val="10096E60"/>
    <w:rsid w:val="100A6779"/>
    <w:rsid w:val="100B407B"/>
    <w:rsid w:val="100B4351"/>
    <w:rsid w:val="100B4A3B"/>
    <w:rsid w:val="100D4AC2"/>
    <w:rsid w:val="100E1475"/>
    <w:rsid w:val="100F1C88"/>
    <w:rsid w:val="101048D0"/>
    <w:rsid w:val="101271B8"/>
    <w:rsid w:val="101360D5"/>
    <w:rsid w:val="10141182"/>
    <w:rsid w:val="10142F05"/>
    <w:rsid w:val="10142F30"/>
    <w:rsid w:val="101430A6"/>
    <w:rsid w:val="10152804"/>
    <w:rsid w:val="1015285D"/>
    <w:rsid w:val="10163A89"/>
    <w:rsid w:val="101655D3"/>
    <w:rsid w:val="101A2510"/>
    <w:rsid w:val="101C0036"/>
    <w:rsid w:val="101D790A"/>
    <w:rsid w:val="102173FB"/>
    <w:rsid w:val="10220856"/>
    <w:rsid w:val="10241B3B"/>
    <w:rsid w:val="10246EEB"/>
    <w:rsid w:val="10256653"/>
    <w:rsid w:val="10264659"/>
    <w:rsid w:val="10280789"/>
    <w:rsid w:val="102815F2"/>
    <w:rsid w:val="102B2A64"/>
    <w:rsid w:val="102C0B4D"/>
    <w:rsid w:val="102D544D"/>
    <w:rsid w:val="103074C0"/>
    <w:rsid w:val="10321608"/>
    <w:rsid w:val="1032785A"/>
    <w:rsid w:val="1033098C"/>
    <w:rsid w:val="103435D2"/>
    <w:rsid w:val="1034712E"/>
    <w:rsid w:val="10391C79"/>
    <w:rsid w:val="103A226A"/>
    <w:rsid w:val="103C4234"/>
    <w:rsid w:val="103D3274"/>
    <w:rsid w:val="103E7FAD"/>
    <w:rsid w:val="103F3D25"/>
    <w:rsid w:val="1041119F"/>
    <w:rsid w:val="104430E9"/>
    <w:rsid w:val="104538B1"/>
    <w:rsid w:val="10490AE4"/>
    <w:rsid w:val="10497BE6"/>
    <w:rsid w:val="104A554C"/>
    <w:rsid w:val="104A5783"/>
    <w:rsid w:val="104B26C9"/>
    <w:rsid w:val="104E30CC"/>
    <w:rsid w:val="10507CE0"/>
    <w:rsid w:val="10563548"/>
    <w:rsid w:val="10576864"/>
    <w:rsid w:val="1058599F"/>
    <w:rsid w:val="105C6685"/>
    <w:rsid w:val="105E0514"/>
    <w:rsid w:val="105E07A9"/>
    <w:rsid w:val="105E2585"/>
    <w:rsid w:val="10612472"/>
    <w:rsid w:val="10614F35"/>
    <w:rsid w:val="1062271D"/>
    <w:rsid w:val="106359E0"/>
    <w:rsid w:val="10635C65"/>
    <w:rsid w:val="106519DD"/>
    <w:rsid w:val="10674AD4"/>
    <w:rsid w:val="10685F1C"/>
    <w:rsid w:val="106869B3"/>
    <w:rsid w:val="106A0F9F"/>
    <w:rsid w:val="106C2D6C"/>
    <w:rsid w:val="106D2640"/>
    <w:rsid w:val="106D2F64"/>
    <w:rsid w:val="106D43EE"/>
    <w:rsid w:val="106F460A"/>
    <w:rsid w:val="10706F86"/>
    <w:rsid w:val="10725EA8"/>
    <w:rsid w:val="1074626C"/>
    <w:rsid w:val="10755836"/>
    <w:rsid w:val="10783395"/>
    <w:rsid w:val="107845A2"/>
    <w:rsid w:val="107B4DB0"/>
    <w:rsid w:val="107C6ED1"/>
    <w:rsid w:val="107E2A9F"/>
    <w:rsid w:val="107E484D"/>
    <w:rsid w:val="10831E63"/>
    <w:rsid w:val="10843C8D"/>
    <w:rsid w:val="10847DC9"/>
    <w:rsid w:val="10863702"/>
    <w:rsid w:val="10874CCB"/>
    <w:rsid w:val="1088291F"/>
    <w:rsid w:val="108856CC"/>
    <w:rsid w:val="1088747A"/>
    <w:rsid w:val="108A2161"/>
    <w:rsid w:val="108C3244"/>
    <w:rsid w:val="108C6F6A"/>
    <w:rsid w:val="108D2CE2"/>
    <w:rsid w:val="108D4A90"/>
    <w:rsid w:val="108F03D6"/>
    <w:rsid w:val="1091064D"/>
    <w:rsid w:val="1092654A"/>
    <w:rsid w:val="1094266F"/>
    <w:rsid w:val="10944070"/>
    <w:rsid w:val="10947BCD"/>
    <w:rsid w:val="109B369A"/>
    <w:rsid w:val="109C4CD3"/>
    <w:rsid w:val="109F497A"/>
    <w:rsid w:val="109F4D22"/>
    <w:rsid w:val="10A00428"/>
    <w:rsid w:val="10A36E64"/>
    <w:rsid w:val="10A5627E"/>
    <w:rsid w:val="10A5781E"/>
    <w:rsid w:val="10A66CA6"/>
    <w:rsid w:val="10A7370D"/>
    <w:rsid w:val="10A73DA4"/>
    <w:rsid w:val="10A80A87"/>
    <w:rsid w:val="10A83678"/>
    <w:rsid w:val="10AA3690"/>
    <w:rsid w:val="10AB744C"/>
    <w:rsid w:val="10AD6EE0"/>
    <w:rsid w:val="10AF34A1"/>
    <w:rsid w:val="10AF3F7D"/>
    <w:rsid w:val="10B04BD8"/>
    <w:rsid w:val="10B1077E"/>
    <w:rsid w:val="10B22749"/>
    <w:rsid w:val="10B2460D"/>
    <w:rsid w:val="10B63710"/>
    <w:rsid w:val="10B77D5F"/>
    <w:rsid w:val="10B820FF"/>
    <w:rsid w:val="10B97633"/>
    <w:rsid w:val="10BB15FD"/>
    <w:rsid w:val="10BC2ED4"/>
    <w:rsid w:val="10BE10ED"/>
    <w:rsid w:val="10BE3EF0"/>
    <w:rsid w:val="10BE733F"/>
    <w:rsid w:val="10C04FDB"/>
    <w:rsid w:val="10C06C14"/>
    <w:rsid w:val="10C1045E"/>
    <w:rsid w:val="10C10F94"/>
    <w:rsid w:val="10C63849"/>
    <w:rsid w:val="10C83053"/>
    <w:rsid w:val="10CA1840"/>
    <w:rsid w:val="10CB1B8A"/>
    <w:rsid w:val="10CB7366"/>
    <w:rsid w:val="10CF7EC4"/>
    <w:rsid w:val="10D0124D"/>
    <w:rsid w:val="10D12BCF"/>
    <w:rsid w:val="10D206F5"/>
    <w:rsid w:val="10D36E14"/>
    <w:rsid w:val="10D5083B"/>
    <w:rsid w:val="10DE353E"/>
    <w:rsid w:val="10E24D48"/>
    <w:rsid w:val="10E548CC"/>
    <w:rsid w:val="10E64760"/>
    <w:rsid w:val="10E675D1"/>
    <w:rsid w:val="10E741A0"/>
    <w:rsid w:val="10E8699D"/>
    <w:rsid w:val="10EC7A09"/>
    <w:rsid w:val="10ED0727"/>
    <w:rsid w:val="10F10820"/>
    <w:rsid w:val="10F13271"/>
    <w:rsid w:val="10F22B45"/>
    <w:rsid w:val="10F34909"/>
    <w:rsid w:val="10F44B0F"/>
    <w:rsid w:val="10F517BF"/>
    <w:rsid w:val="10F6043B"/>
    <w:rsid w:val="10F77BCB"/>
    <w:rsid w:val="10FB3DF5"/>
    <w:rsid w:val="10FD34C3"/>
    <w:rsid w:val="110106AC"/>
    <w:rsid w:val="11011608"/>
    <w:rsid w:val="110246B3"/>
    <w:rsid w:val="11026ADD"/>
    <w:rsid w:val="11034D52"/>
    <w:rsid w:val="11036B00"/>
    <w:rsid w:val="11037CFB"/>
    <w:rsid w:val="11046A4D"/>
    <w:rsid w:val="11056D1C"/>
    <w:rsid w:val="110765F0"/>
    <w:rsid w:val="110B0882"/>
    <w:rsid w:val="110B481B"/>
    <w:rsid w:val="110D3A01"/>
    <w:rsid w:val="110D76A1"/>
    <w:rsid w:val="110E732F"/>
    <w:rsid w:val="110F7B9B"/>
    <w:rsid w:val="1113048E"/>
    <w:rsid w:val="11131439"/>
    <w:rsid w:val="111337AF"/>
    <w:rsid w:val="11140D0D"/>
    <w:rsid w:val="11171CD9"/>
    <w:rsid w:val="111840DD"/>
    <w:rsid w:val="111948B3"/>
    <w:rsid w:val="111B305C"/>
    <w:rsid w:val="111C0F5F"/>
    <w:rsid w:val="111C2F7A"/>
    <w:rsid w:val="11205A7B"/>
    <w:rsid w:val="112278CE"/>
    <w:rsid w:val="11244998"/>
    <w:rsid w:val="112453F4"/>
    <w:rsid w:val="1128185F"/>
    <w:rsid w:val="112847B9"/>
    <w:rsid w:val="112A22DF"/>
    <w:rsid w:val="112A334E"/>
    <w:rsid w:val="112B7445"/>
    <w:rsid w:val="112C1239"/>
    <w:rsid w:val="112F00F8"/>
    <w:rsid w:val="11306AB2"/>
    <w:rsid w:val="11311B3E"/>
    <w:rsid w:val="11333889"/>
    <w:rsid w:val="11365128"/>
    <w:rsid w:val="11382C4E"/>
    <w:rsid w:val="113847BC"/>
    <w:rsid w:val="11391A49"/>
    <w:rsid w:val="113A092C"/>
    <w:rsid w:val="113E3C4A"/>
    <w:rsid w:val="113F5A4D"/>
    <w:rsid w:val="1140061F"/>
    <w:rsid w:val="11405FA6"/>
    <w:rsid w:val="11407C56"/>
    <w:rsid w:val="114258A5"/>
    <w:rsid w:val="114333A1"/>
    <w:rsid w:val="11446C83"/>
    <w:rsid w:val="114514C4"/>
    <w:rsid w:val="114A0BD3"/>
    <w:rsid w:val="114A472F"/>
    <w:rsid w:val="114A583F"/>
    <w:rsid w:val="114B0F5C"/>
    <w:rsid w:val="114B589A"/>
    <w:rsid w:val="114C494B"/>
    <w:rsid w:val="114C734E"/>
    <w:rsid w:val="114C73CD"/>
    <w:rsid w:val="114D3AB0"/>
    <w:rsid w:val="114F7F97"/>
    <w:rsid w:val="11535CDA"/>
    <w:rsid w:val="11537E11"/>
    <w:rsid w:val="1158509E"/>
    <w:rsid w:val="115A6023"/>
    <w:rsid w:val="115D20C9"/>
    <w:rsid w:val="115D5200"/>
    <w:rsid w:val="115E56ED"/>
    <w:rsid w:val="11603E8A"/>
    <w:rsid w:val="116160A7"/>
    <w:rsid w:val="11625F1D"/>
    <w:rsid w:val="116457F1"/>
    <w:rsid w:val="11665CA1"/>
    <w:rsid w:val="116752E1"/>
    <w:rsid w:val="11683CF4"/>
    <w:rsid w:val="11692E07"/>
    <w:rsid w:val="11693CD2"/>
    <w:rsid w:val="116A4174"/>
    <w:rsid w:val="116A4DD1"/>
    <w:rsid w:val="116B3C90"/>
    <w:rsid w:val="116B6410"/>
    <w:rsid w:val="1170021C"/>
    <w:rsid w:val="11702D08"/>
    <w:rsid w:val="11717F0E"/>
    <w:rsid w:val="1173012A"/>
    <w:rsid w:val="11755C50"/>
    <w:rsid w:val="11785740"/>
    <w:rsid w:val="1179579B"/>
    <w:rsid w:val="117B0240"/>
    <w:rsid w:val="117B1F5B"/>
    <w:rsid w:val="117B2B3A"/>
    <w:rsid w:val="117D6F95"/>
    <w:rsid w:val="11800C72"/>
    <w:rsid w:val="118127A2"/>
    <w:rsid w:val="1184215C"/>
    <w:rsid w:val="11845A35"/>
    <w:rsid w:val="11854E69"/>
    <w:rsid w:val="118A2EAF"/>
    <w:rsid w:val="118B5473"/>
    <w:rsid w:val="118C102C"/>
    <w:rsid w:val="118D22F1"/>
    <w:rsid w:val="118D57F0"/>
    <w:rsid w:val="118F0D5F"/>
    <w:rsid w:val="118F0E00"/>
    <w:rsid w:val="11900A5F"/>
    <w:rsid w:val="11927D7E"/>
    <w:rsid w:val="11952F20"/>
    <w:rsid w:val="119B46B6"/>
    <w:rsid w:val="119C142F"/>
    <w:rsid w:val="119D1E1C"/>
    <w:rsid w:val="119D51A7"/>
    <w:rsid w:val="119D7C88"/>
    <w:rsid w:val="119F0BF7"/>
    <w:rsid w:val="119F24E9"/>
    <w:rsid w:val="119F538C"/>
    <w:rsid w:val="11AA336F"/>
    <w:rsid w:val="11AB4E6A"/>
    <w:rsid w:val="11AB78C4"/>
    <w:rsid w:val="11AC0F46"/>
    <w:rsid w:val="11AD2AE2"/>
    <w:rsid w:val="11AE2F10"/>
    <w:rsid w:val="11AF0D5D"/>
    <w:rsid w:val="11B04EDA"/>
    <w:rsid w:val="11B12A00"/>
    <w:rsid w:val="11B25ED3"/>
    <w:rsid w:val="11B52E1D"/>
    <w:rsid w:val="11B53925"/>
    <w:rsid w:val="11BB73DB"/>
    <w:rsid w:val="11BD1DCA"/>
    <w:rsid w:val="11BD25EC"/>
    <w:rsid w:val="11BD3153"/>
    <w:rsid w:val="11BE5D2B"/>
    <w:rsid w:val="11BF6ECB"/>
    <w:rsid w:val="11C0559D"/>
    <w:rsid w:val="11C32D8C"/>
    <w:rsid w:val="11C40985"/>
    <w:rsid w:val="11C71052"/>
    <w:rsid w:val="11C73FD2"/>
    <w:rsid w:val="11CA4FBD"/>
    <w:rsid w:val="11CB1987"/>
    <w:rsid w:val="11CB7FF4"/>
    <w:rsid w:val="11CC4DF9"/>
    <w:rsid w:val="11CC7143"/>
    <w:rsid w:val="11CD0378"/>
    <w:rsid w:val="11CE5360"/>
    <w:rsid w:val="11D014BF"/>
    <w:rsid w:val="11D230A2"/>
    <w:rsid w:val="11D26878"/>
    <w:rsid w:val="11D36947"/>
    <w:rsid w:val="11D5049D"/>
    <w:rsid w:val="11D53EFD"/>
    <w:rsid w:val="11D64439"/>
    <w:rsid w:val="11D72467"/>
    <w:rsid w:val="11D77775"/>
    <w:rsid w:val="11DB182B"/>
    <w:rsid w:val="11DC37CF"/>
    <w:rsid w:val="11DC5CCF"/>
    <w:rsid w:val="11DC6528"/>
    <w:rsid w:val="11DD7458"/>
    <w:rsid w:val="11DE6982"/>
    <w:rsid w:val="11DF131B"/>
    <w:rsid w:val="11E3294C"/>
    <w:rsid w:val="11E42DD6"/>
    <w:rsid w:val="11ED534F"/>
    <w:rsid w:val="11EE5EA3"/>
    <w:rsid w:val="11F0177A"/>
    <w:rsid w:val="11F03528"/>
    <w:rsid w:val="11F10D34"/>
    <w:rsid w:val="11F113CC"/>
    <w:rsid w:val="11F1409D"/>
    <w:rsid w:val="11F207E9"/>
    <w:rsid w:val="11F33375"/>
    <w:rsid w:val="11F456DF"/>
    <w:rsid w:val="11F50B3F"/>
    <w:rsid w:val="11F91FB9"/>
    <w:rsid w:val="11FA6155"/>
    <w:rsid w:val="11FA7F03"/>
    <w:rsid w:val="11FC011F"/>
    <w:rsid w:val="11FC1ECD"/>
    <w:rsid w:val="11FC212B"/>
    <w:rsid w:val="11FE3E97"/>
    <w:rsid w:val="11FF67A7"/>
    <w:rsid w:val="120622F5"/>
    <w:rsid w:val="120B2110"/>
    <w:rsid w:val="120D5AE0"/>
    <w:rsid w:val="120E1DE2"/>
    <w:rsid w:val="120E3819"/>
    <w:rsid w:val="120F09FC"/>
    <w:rsid w:val="1212514E"/>
    <w:rsid w:val="121A2353"/>
    <w:rsid w:val="121C32C6"/>
    <w:rsid w:val="121E25B3"/>
    <w:rsid w:val="121E62E8"/>
    <w:rsid w:val="12200C31"/>
    <w:rsid w:val="12211934"/>
    <w:rsid w:val="12242408"/>
    <w:rsid w:val="12260CF8"/>
    <w:rsid w:val="12282CC2"/>
    <w:rsid w:val="122904EB"/>
    <w:rsid w:val="122D02D9"/>
    <w:rsid w:val="122E3138"/>
    <w:rsid w:val="122F6829"/>
    <w:rsid w:val="12305059"/>
    <w:rsid w:val="12307DC9"/>
    <w:rsid w:val="1233763F"/>
    <w:rsid w:val="12372F05"/>
    <w:rsid w:val="123832FA"/>
    <w:rsid w:val="12386C7D"/>
    <w:rsid w:val="123C7A7C"/>
    <w:rsid w:val="123D6042"/>
    <w:rsid w:val="123E1F71"/>
    <w:rsid w:val="123E24E6"/>
    <w:rsid w:val="123F000C"/>
    <w:rsid w:val="123F67F5"/>
    <w:rsid w:val="12405394"/>
    <w:rsid w:val="12413D84"/>
    <w:rsid w:val="12422A03"/>
    <w:rsid w:val="12490E8B"/>
    <w:rsid w:val="124B7969"/>
    <w:rsid w:val="124D292C"/>
    <w:rsid w:val="124F49AB"/>
    <w:rsid w:val="124F67EA"/>
    <w:rsid w:val="12521885"/>
    <w:rsid w:val="1255782F"/>
    <w:rsid w:val="125910CE"/>
    <w:rsid w:val="125A4E46"/>
    <w:rsid w:val="125C0BBE"/>
    <w:rsid w:val="125C6E10"/>
    <w:rsid w:val="125D1D1D"/>
    <w:rsid w:val="125E2855"/>
    <w:rsid w:val="125F2E4C"/>
    <w:rsid w:val="125F420A"/>
    <w:rsid w:val="126201EE"/>
    <w:rsid w:val="12635AA8"/>
    <w:rsid w:val="12641821"/>
    <w:rsid w:val="12655CC4"/>
    <w:rsid w:val="126637EB"/>
    <w:rsid w:val="12674668"/>
    <w:rsid w:val="12681311"/>
    <w:rsid w:val="126836C5"/>
    <w:rsid w:val="126836F8"/>
    <w:rsid w:val="126C10E4"/>
    <w:rsid w:val="126C75D4"/>
    <w:rsid w:val="126D2DCB"/>
    <w:rsid w:val="1272218F"/>
    <w:rsid w:val="12750005"/>
    <w:rsid w:val="127557DC"/>
    <w:rsid w:val="127745C0"/>
    <w:rsid w:val="12791770"/>
    <w:rsid w:val="127C4DBC"/>
    <w:rsid w:val="127E28E2"/>
    <w:rsid w:val="127E6D86"/>
    <w:rsid w:val="12800D34"/>
    <w:rsid w:val="128061E8"/>
    <w:rsid w:val="1281041C"/>
    <w:rsid w:val="12833A99"/>
    <w:rsid w:val="1283614B"/>
    <w:rsid w:val="12837EF9"/>
    <w:rsid w:val="12863E8D"/>
    <w:rsid w:val="128A572B"/>
    <w:rsid w:val="128C5CE8"/>
    <w:rsid w:val="128D6FC9"/>
    <w:rsid w:val="128E0A5B"/>
    <w:rsid w:val="12902616"/>
    <w:rsid w:val="12946825"/>
    <w:rsid w:val="12954D9A"/>
    <w:rsid w:val="12971BF6"/>
    <w:rsid w:val="129739A4"/>
    <w:rsid w:val="129A3494"/>
    <w:rsid w:val="129D5521"/>
    <w:rsid w:val="129E47C8"/>
    <w:rsid w:val="129F1C9F"/>
    <w:rsid w:val="12A10CC7"/>
    <w:rsid w:val="12A165D1"/>
    <w:rsid w:val="12A276F3"/>
    <w:rsid w:val="12A72BA8"/>
    <w:rsid w:val="12A80A5E"/>
    <w:rsid w:val="12AB7EAF"/>
    <w:rsid w:val="12AF41F6"/>
    <w:rsid w:val="12AF56BF"/>
    <w:rsid w:val="12B10F0A"/>
    <w:rsid w:val="12B332B2"/>
    <w:rsid w:val="12B427A8"/>
    <w:rsid w:val="12B42B57"/>
    <w:rsid w:val="12B5426A"/>
    <w:rsid w:val="12B66520"/>
    <w:rsid w:val="12B75DF4"/>
    <w:rsid w:val="12B808FF"/>
    <w:rsid w:val="12BB56C5"/>
    <w:rsid w:val="12BC340B"/>
    <w:rsid w:val="12BC350D"/>
    <w:rsid w:val="12BE3627"/>
    <w:rsid w:val="12BF6266"/>
    <w:rsid w:val="12C06586"/>
    <w:rsid w:val="12C12B6B"/>
    <w:rsid w:val="12C1789F"/>
    <w:rsid w:val="12C23E06"/>
    <w:rsid w:val="12C423BB"/>
    <w:rsid w:val="12C64289"/>
    <w:rsid w:val="12C908B0"/>
    <w:rsid w:val="12CB40E7"/>
    <w:rsid w:val="12CC7AF2"/>
    <w:rsid w:val="12D16100"/>
    <w:rsid w:val="12D46659"/>
    <w:rsid w:val="12D469A6"/>
    <w:rsid w:val="12D52BBB"/>
    <w:rsid w:val="12D91AB0"/>
    <w:rsid w:val="12DB1D83"/>
    <w:rsid w:val="12DB2B5A"/>
    <w:rsid w:val="12DB4F51"/>
    <w:rsid w:val="12DC3AAD"/>
    <w:rsid w:val="12DE5A77"/>
    <w:rsid w:val="12E22503"/>
    <w:rsid w:val="12E30CB0"/>
    <w:rsid w:val="12E341F0"/>
    <w:rsid w:val="12E41E90"/>
    <w:rsid w:val="12E666D9"/>
    <w:rsid w:val="12E7492B"/>
    <w:rsid w:val="12EA61CA"/>
    <w:rsid w:val="12EE1ADD"/>
    <w:rsid w:val="12F157AA"/>
    <w:rsid w:val="12F228BE"/>
    <w:rsid w:val="12F47161"/>
    <w:rsid w:val="12F6691D"/>
    <w:rsid w:val="12F86B39"/>
    <w:rsid w:val="12FA5F7A"/>
    <w:rsid w:val="12FB2711"/>
    <w:rsid w:val="12FB3BF3"/>
    <w:rsid w:val="12FD47F1"/>
    <w:rsid w:val="12FE1614"/>
    <w:rsid w:val="12FE33D8"/>
    <w:rsid w:val="13016512"/>
    <w:rsid w:val="13023513"/>
    <w:rsid w:val="130448B5"/>
    <w:rsid w:val="13053004"/>
    <w:rsid w:val="130628D8"/>
    <w:rsid w:val="13073731"/>
    <w:rsid w:val="130A252D"/>
    <w:rsid w:val="130C25E4"/>
    <w:rsid w:val="130F79DE"/>
    <w:rsid w:val="13101D7B"/>
    <w:rsid w:val="131359A0"/>
    <w:rsid w:val="1313688A"/>
    <w:rsid w:val="13143247"/>
    <w:rsid w:val="13161C63"/>
    <w:rsid w:val="131B2338"/>
    <w:rsid w:val="13223BB5"/>
    <w:rsid w:val="13225964"/>
    <w:rsid w:val="1322661D"/>
    <w:rsid w:val="1323487D"/>
    <w:rsid w:val="1326175A"/>
    <w:rsid w:val="13267C5A"/>
    <w:rsid w:val="13277494"/>
    <w:rsid w:val="13280AA0"/>
    <w:rsid w:val="13294F44"/>
    <w:rsid w:val="132C233E"/>
    <w:rsid w:val="132D0D24"/>
    <w:rsid w:val="132D74D9"/>
    <w:rsid w:val="1330410F"/>
    <w:rsid w:val="13311A6A"/>
    <w:rsid w:val="1331212A"/>
    <w:rsid w:val="13337CD2"/>
    <w:rsid w:val="13346A08"/>
    <w:rsid w:val="13357582"/>
    <w:rsid w:val="133631BD"/>
    <w:rsid w:val="13366423"/>
    <w:rsid w:val="133840DC"/>
    <w:rsid w:val="13390EFF"/>
    <w:rsid w:val="1339491C"/>
    <w:rsid w:val="13397DFA"/>
    <w:rsid w:val="133B2505"/>
    <w:rsid w:val="133D09EF"/>
    <w:rsid w:val="133F0CC2"/>
    <w:rsid w:val="13451652"/>
    <w:rsid w:val="13474D98"/>
    <w:rsid w:val="13477178"/>
    <w:rsid w:val="13487497"/>
    <w:rsid w:val="134A0155"/>
    <w:rsid w:val="134A17F3"/>
    <w:rsid w:val="134B0615"/>
    <w:rsid w:val="134C0C32"/>
    <w:rsid w:val="134C29E0"/>
    <w:rsid w:val="134C465E"/>
    <w:rsid w:val="134E6759"/>
    <w:rsid w:val="134F24D1"/>
    <w:rsid w:val="134F2532"/>
    <w:rsid w:val="13506035"/>
    <w:rsid w:val="13520B45"/>
    <w:rsid w:val="13531FC1"/>
    <w:rsid w:val="13541895"/>
    <w:rsid w:val="13541944"/>
    <w:rsid w:val="13545D39"/>
    <w:rsid w:val="1354691D"/>
    <w:rsid w:val="13550B77"/>
    <w:rsid w:val="13551B9B"/>
    <w:rsid w:val="13561AB1"/>
    <w:rsid w:val="135670F6"/>
    <w:rsid w:val="13573133"/>
    <w:rsid w:val="135B34E3"/>
    <w:rsid w:val="135D2137"/>
    <w:rsid w:val="135D2E40"/>
    <w:rsid w:val="135E1891"/>
    <w:rsid w:val="135E6CC9"/>
    <w:rsid w:val="136311C6"/>
    <w:rsid w:val="13645F7C"/>
    <w:rsid w:val="13651CF4"/>
    <w:rsid w:val="136769CE"/>
    <w:rsid w:val="13682577"/>
    <w:rsid w:val="136917E4"/>
    <w:rsid w:val="136C4E31"/>
    <w:rsid w:val="136C4F1B"/>
    <w:rsid w:val="136E6DFB"/>
    <w:rsid w:val="136E7B00"/>
    <w:rsid w:val="136F66CF"/>
    <w:rsid w:val="13732930"/>
    <w:rsid w:val="137353C8"/>
    <w:rsid w:val="13741D88"/>
    <w:rsid w:val="13765CAF"/>
    <w:rsid w:val="13770803"/>
    <w:rsid w:val="1377213E"/>
    <w:rsid w:val="13781A27"/>
    <w:rsid w:val="137837D5"/>
    <w:rsid w:val="13795061"/>
    <w:rsid w:val="1379754E"/>
    <w:rsid w:val="137B486A"/>
    <w:rsid w:val="137B780E"/>
    <w:rsid w:val="137C4778"/>
    <w:rsid w:val="137E7D41"/>
    <w:rsid w:val="137F022B"/>
    <w:rsid w:val="138145CD"/>
    <w:rsid w:val="13824654"/>
    <w:rsid w:val="13826402"/>
    <w:rsid w:val="13827B36"/>
    <w:rsid w:val="138917E1"/>
    <w:rsid w:val="138E124B"/>
    <w:rsid w:val="139046CA"/>
    <w:rsid w:val="139240E2"/>
    <w:rsid w:val="1392658B"/>
    <w:rsid w:val="13951726"/>
    <w:rsid w:val="13961EAE"/>
    <w:rsid w:val="13963C5C"/>
    <w:rsid w:val="139879D4"/>
    <w:rsid w:val="1399374C"/>
    <w:rsid w:val="139A6FEE"/>
    <w:rsid w:val="13A51FA6"/>
    <w:rsid w:val="13A63124"/>
    <w:rsid w:val="13A704B8"/>
    <w:rsid w:val="13A91BE1"/>
    <w:rsid w:val="13A97E33"/>
    <w:rsid w:val="13AC27BF"/>
    <w:rsid w:val="13AE394C"/>
    <w:rsid w:val="13AE5926"/>
    <w:rsid w:val="13B0402A"/>
    <w:rsid w:val="13B10508"/>
    <w:rsid w:val="13B6550A"/>
    <w:rsid w:val="13B80076"/>
    <w:rsid w:val="13BB36C2"/>
    <w:rsid w:val="13BB5D85"/>
    <w:rsid w:val="13BD38DE"/>
    <w:rsid w:val="13C133CE"/>
    <w:rsid w:val="13C20EF5"/>
    <w:rsid w:val="13C41506"/>
    <w:rsid w:val="13C55879"/>
    <w:rsid w:val="13C6214E"/>
    <w:rsid w:val="13CA5B76"/>
    <w:rsid w:val="13CD3795"/>
    <w:rsid w:val="13CE1845"/>
    <w:rsid w:val="13CE5AEB"/>
    <w:rsid w:val="13D01FE1"/>
    <w:rsid w:val="13D11283"/>
    <w:rsid w:val="13D12EE6"/>
    <w:rsid w:val="13D6592F"/>
    <w:rsid w:val="13D6674E"/>
    <w:rsid w:val="13D83121"/>
    <w:rsid w:val="13DB7DE4"/>
    <w:rsid w:val="13E343B5"/>
    <w:rsid w:val="13E40E3A"/>
    <w:rsid w:val="13E6414D"/>
    <w:rsid w:val="13E708C8"/>
    <w:rsid w:val="13E7131E"/>
    <w:rsid w:val="13E76BAD"/>
    <w:rsid w:val="13EB55B2"/>
    <w:rsid w:val="13ED0798"/>
    <w:rsid w:val="13ED41C3"/>
    <w:rsid w:val="13EE6D48"/>
    <w:rsid w:val="13EF0F7A"/>
    <w:rsid w:val="13EF5009"/>
    <w:rsid w:val="13EF733F"/>
    <w:rsid w:val="13F13588"/>
    <w:rsid w:val="13F15053"/>
    <w:rsid w:val="13F15336"/>
    <w:rsid w:val="13F26A5D"/>
    <w:rsid w:val="13F310AE"/>
    <w:rsid w:val="13F42D63"/>
    <w:rsid w:val="13F71C11"/>
    <w:rsid w:val="13F84775"/>
    <w:rsid w:val="13FE243D"/>
    <w:rsid w:val="13FE3CF3"/>
    <w:rsid w:val="140109C5"/>
    <w:rsid w:val="140130E1"/>
    <w:rsid w:val="140358CC"/>
    <w:rsid w:val="1404150D"/>
    <w:rsid w:val="14042896"/>
    <w:rsid w:val="14067033"/>
    <w:rsid w:val="140708B4"/>
    <w:rsid w:val="140B63F8"/>
    <w:rsid w:val="140C06F3"/>
    <w:rsid w:val="140E4591"/>
    <w:rsid w:val="14103A0E"/>
    <w:rsid w:val="14107076"/>
    <w:rsid w:val="14153FA6"/>
    <w:rsid w:val="141644DF"/>
    <w:rsid w:val="14172FEE"/>
    <w:rsid w:val="14186D67"/>
    <w:rsid w:val="141B23B3"/>
    <w:rsid w:val="14213E6D"/>
    <w:rsid w:val="14221993"/>
    <w:rsid w:val="1422518E"/>
    <w:rsid w:val="1423740E"/>
    <w:rsid w:val="1424570B"/>
    <w:rsid w:val="14261483"/>
    <w:rsid w:val="142629F8"/>
    <w:rsid w:val="142715F4"/>
    <w:rsid w:val="142B0848"/>
    <w:rsid w:val="142B3E44"/>
    <w:rsid w:val="14315D1E"/>
    <w:rsid w:val="14327E28"/>
    <w:rsid w:val="143315A9"/>
    <w:rsid w:val="143437A0"/>
    <w:rsid w:val="1437543F"/>
    <w:rsid w:val="143864A8"/>
    <w:rsid w:val="14396509"/>
    <w:rsid w:val="143A4A16"/>
    <w:rsid w:val="143A69E7"/>
    <w:rsid w:val="143C2C5E"/>
    <w:rsid w:val="143C5C15"/>
    <w:rsid w:val="143C667D"/>
    <w:rsid w:val="143E5554"/>
    <w:rsid w:val="143E7602"/>
    <w:rsid w:val="143F42F3"/>
    <w:rsid w:val="1440211B"/>
    <w:rsid w:val="144235AD"/>
    <w:rsid w:val="14445DAD"/>
    <w:rsid w:val="144613FF"/>
    <w:rsid w:val="144A60B5"/>
    <w:rsid w:val="144D0B1F"/>
    <w:rsid w:val="144D6A10"/>
    <w:rsid w:val="144E2788"/>
    <w:rsid w:val="145204CA"/>
    <w:rsid w:val="1457152C"/>
    <w:rsid w:val="1457788F"/>
    <w:rsid w:val="145811BA"/>
    <w:rsid w:val="14581832"/>
    <w:rsid w:val="14587163"/>
    <w:rsid w:val="145C3DC9"/>
    <w:rsid w:val="145C4B81"/>
    <w:rsid w:val="145C4EA5"/>
    <w:rsid w:val="1460514F"/>
    <w:rsid w:val="1461426A"/>
    <w:rsid w:val="14627FE2"/>
    <w:rsid w:val="14661880"/>
    <w:rsid w:val="14671FC7"/>
    <w:rsid w:val="146855F8"/>
    <w:rsid w:val="14694988"/>
    <w:rsid w:val="146975C2"/>
    <w:rsid w:val="146A1092"/>
    <w:rsid w:val="146A3C47"/>
    <w:rsid w:val="146B6E96"/>
    <w:rsid w:val="146E6986"/>
    <w:rsid w:val="14703544"/>
    <w:rsid w:val="14713B1A"/>
    <w:rsid w:val="1471771F"/>
    <w:rsid w:val="147246C9"/>
    <w:rsid w:val="14771E08"/>
    <w:rsid w:val="14775EAC"/>
    <w:rsid w:val="1478624B"/>
    <w:rsid w:val="14790BC6"/>
    <w:rsid w:val="147A1DAC"/>
    <w:rsid w:val="147C7728"/>
    <w:rsid w:val="1481068F"/>
    <w:rsid w:val="14863CD0"/>
    <w:rsid w:val="14864E52"/>
    <w:rsid w:val="14883EEC"/>
    <w:rsid w:val="14887C58"/>
    <w:rsid w:val="148937C0"/>
    <w:rsid w:val="148A7B06"/>
    <w:rsid w:val="148B1916"/>
    <w:rsid w:val="148B7538"/>
    <w:rsid w:val="148D505F"/>
    <w:rsid w:val="148F2B2A"/>
    <w:rsid w:val="148F7B34"/>
    <w:rsid w:val="14907B98"/>
    <w:rsid w:val="14930FDE"/>
    <w:rsid w:val="14952165"/>
    <w:rsid w:val="149847F3"/>
    <w:rsid w:val="14991C55"/>
    <w:rsid w:val="149938CF"/>
    <w:rsid w:val="1499566D"/>
    <w:rsid w:val="14997EA7"/>
    <w:rsid w:val="149A15E5"/>
    <w:rsid w:val="149A59CD"/>
    <w:rsid w:val="149B2A75"/>
    <w:rsid w:val="149B4BD7"/>
    <w:rsid w:val="149E54BE"/>
    <w:rsid w:val="14A0063C"/>
    <w:rsid w:val="14A172DA"/>
    <w:rsid w:val="14A30D26"/>
    <w:rsid w:val="14A31D6F"/>
    <w:rsid w:val="14A405FA"/>
    <w:rsid w:val="14A423A8"/>
    <w:rsid w:val="14A70991"/>
    <w:rsid w:val="14AA3E63"/>
    <w:rsid w:val="14AA7406"/>
    <w:rsid w:val="14AB2509"/>
    <w:rsid w:val="14AB7030"/>
    <w:rsid w:val="14AC43E3"/>
    <w:rsid w:val="14AD3953"/>
    <w:rsid w:val="14B36B97"/>
    <w:rsid w:val="14B545B5"/>
    <w:rsid w:val="14B73BDC"/>
    <w:rsid w:val="14B83F65"/>
    <w:rsid w:val="14BA5262"/>
    <w:rsid w:val="14BA5FFE"/>
    <w:rsid w:val="14BB30B9"/>
    <w:rsid w:val="14BC5944"/>
    <w:rsid w:val="14C706B7"/>
    <w:rsid w:val="14C8253B"/>
    <w:rsid w:val="14C93AD0"/>
    <w:rsid w:val="14C94861"/>
    <w:rsid w:val="14CC04C1"/>
    <w:rsid w:val="14CD20BB"/>
    <w:rsid w:val="14CD484B"/>
    <w:rsid w:val="14CD7B51"/>
    <w:rsid w:val="14D1163B"/>
    <w:rsid w:val="14D81391"/>
    <w:rsid w:val="14DB4192"/>
    <w:rsid w:val="14DC5FE6"/>
    <w:rsid w:val="14DD2C3C"/>
    <w:rsid w:val="14DE309C"/>
    <w:rsid w:val="14DF1632"/>
    <w:rsid w:val="14E0519F"/>
    <w:rsid w:val="14E07884"/>
    <w:rsid w:val="14E26A5A"/>
    <w:rsid w:val="14E36318"/>
    <w:rsid w:val="14E36920"/>
    <w:rsid w:val="14E36CDF"/>
    <w:rsid w:val="14E46C49"/>
    <w:rsid w:val="14E530ED"/>
    <w:rsid w:val="14ED3A5E"/>
    <w:rsid w:val="14EF3B79"/>
    <w:rsid w:val="14F00DA7"/>
    <w:rsid w:val="14F07E2D"/>
    <w:rsid w:val="14F4241F"/>
    <w:rsid w:val="14F610BC"/>
    <w:rsid w:val="14F74B0F"/>
    <w:rsid w:val="14F757F3"/>
    <w:rsid w:val="14F94BD2"/>
    <w:rsid w:val="14FC019F"/>
    <w:rsid w:val="14FE49E3"/>
    <w:rsid w:val="15011C23"/>
    <w:rsid w:val="15023C9F"/>
    <w:rsid w:val="15033573"/>
    <w:rsid w:val="1504465D"/>
    <w:rsid w:val="15052F07"/>
    <w:rsid w:val="1505553D"/>
    <w:rsid w:val="15090991"/>
    <w:rsid w:val="150A2B53"/>
    <w:rsid w:val="150B04AE"/>
    <w:rsid w:val="150D37B9"/>
    <w:rsid w:val="150D619F"/>
    <w:rsid w:val="150E142C"/>
    <w:rsid w:val="150E24A2"/>
    <w:rsid w:val="150F1F18"/>
    <w:rsid w:val="150F3AF8"/>
    <w:rsid w:val="151417DA"/>
    <w:rsid w:val="151614F8"/>
    <w:rsid w:val="15170DCC"/>
    <w:rsid w:val="151C5E80"/>
    <w:rsid w:val="151D5D66"/>
    <w:rsid w:val="15214481"/>
    <w:rsid w:val="15223DDE"/>
    <w:rsid w:val="152466FE"/>
    <w:rsid w:val="152754B3"/>
    <w:rsid w:val="152827AD"/>
    <w:rsid w:val="152A4FA3"/>
    <w:rsid w:val="152C2AC9"/>
    <w:rsid w:val="15301967"/>
    <w:rsid w:val="15316332"/>
    <w:rsid w:val="1532259A"/>
    <w:rsid w:val="15327E0A"/>
    <w:rsid w:val="153411E3"/>
    <w:rsid w:val="1534197E"/>
    <w:rsid w:val="1537146E"/>
    <w:rsid w:val="1537321C"/>
    <w:rsid w:val="15383ECE"/>
    <w:rsid w:val="153B0F5F"/>
    <w:rsid w:val="153B2503"/>
    <w:rsid w:val="153B4ABB"/>
    <w:rsid w:val="154047C7"/>
    <w:rsid w:val="1543281D"/>
    <w:rsid w:val="15436065"/>
    <w:rsid w:val="15436924"/>
    <w:rsid w:val="15437E13"/>
    <w:rsid w:val="15472D06"/>
    <w:rsid w:val="15475B55"/>
    <w:rsid w:val="1548367B"/>
    <w:rsid w:val="154871D8"/>
    <w:rsid w:val="154D0922"/>
    <w:rsid w:val="154F0566"/>
    <w:rsid w:val="154F4BAC"/>
    <w:rsid w:val="154F556F"/>
    <w:rsid w:val="15525D7C"/>
    <w:rsid w:val="15545B7C"/>
    <w:rsid w:val="155500FD"/>
    <w:rsid w:val="15554854"/>
    <w:rsid w:val="1557566D"/>
    <w:rsid w:val="155838BF"/>
    <w:rsid w:val="15586086"/>
    <w:rsid w:val="155913E5"/>
    <w:rsid w:val="15593193"/>
    <w:rsid w:val="155F416A"/>
    <w:rsid w:val="15610284"/>
    <w:rsid w:val="15610F04"/>
    <w:rsid w:val="15634011"/>
    <w:rsid w:val="15655FDB"/>
    <w:rsid w:val="15665CE0"/>
    <w:rsid w:val="15671D54"/>
    <w:rsid w:val="15695ACC"/>
    <w:rsid w:val="156A1844"/>
    <w:rsid w:val="156A6FFB"/>
    <w:rsid w:val="156B6B98"/>
    <w:rsid w:val="156C55BC"/>
    <w:rsid w:val="156F29B6"/>
    <w:rsid w:val="157020F5"/>
    <w:rsid w:val="15761FDD"/>
    <w:rsid w:val="1578068C"/>
    <w:rsid w:val="157D3325"/>
    <w:rsid w:val="157E0E4B"/>
    <w:rsid w:val="157E175C"/>
    <w:rsid w:val="15804BC3"/>
    <w:rsid w:val="15816779"/>
    <w:rsid w:val="1582093B"/>
    <w:rsid w:val="15826B8D"/>
    <w:rsid w:val="158346B4"/>
    <w:rsid w:val="15855A9A"/>
    <w:rsid w:val="1585667E"/>
    <w:rsid w:val="15857907"/>
    <w:rsid w:val="15864176"/>
    <w:rsid w:val="15891CCA"/>
    <w:rsid w:val="15896E6F"/>
    <w:rsid w:val="158D7E72"/>
    <w:rsid w:val="158E0F5C"/>
    <w:rsid w:val="158E5532"/>
    <w:rsid w:val="158E5DDC"/>
    <w:rsid w:val="158F12AA"/>
    <w:rsid w:val="158F2EB6"/>
    <w:rsid w:val="158F3B02"/>
    <w:rsid w:val="15914E0E"/>
    <w:rsid w:val="15916DD0"/>
    <w:rsid w:val="159863B1"/>
    <w:rsid w:val="15995C85"/>
    <w:rsid w:val="1599780A"/>
    <w:rsid w:val="159B19FD"/>
    <w:rsid w:val="159B739B"/>
    <w:rsid w:val="159F47F7"/>
    <w:rsid w:val="15A136FE"/>
    <w:rsid w:val="15A24750"/>
    <w:rsid w:val="15A32164"/>
    <w:rsid w:val="15A44D56"/>
    <w:rsid w:val="15A5462A"/>
    <w:rsid w:val="15A81E72"/>
    <w:rsid w:val="15AC4023"/>
    <w:rsid w:val="15AC59B8"/>
    <w:rsid w:val="15AE6359"/>
    <w:rsid w:val="15B2693A"/>
    <w:rsid w:val="15BB5BFB"/>
    <w:rsid w:val="15BC1522"/>
    <w:rsid w:val="15BC62DC"/>
    <w:rsid w:val="15BD1974"/>
    <w:rsid w:val="15BF6214"/>
    <w:rsid w:val="15C03212"/>
    <w:rsid w:val="15C076B6"/>
    <w:rsid w:val="15C20D70"/>
    <w:rsid w:val="15C26F8A"/>
    <w:rsid w:val="15C51CEA"/>
    <w:rsid w:val="15C54CCC"/>
    <w:rsid w:val="15C55311"/>
    <w:rsid w:val="15C64B71"/>
    <w:rsid w:val="15CA4029"/>
    <w:rsid w:val="15CB7091"/>
    <w:rsid w:val="15CC7E09"/>
    <w:rsid w:val="15CD42D2"/>
    <w:rsid w:val="15D03626"/>
    <w:rsid w:val="15D05B4B"/>
    <w:rsid w:val="15D16DBD"/>
    <w:rsid w:val="15D54F0F"/>
    <w:rsid w:val="15D763D2"/>
    <w:rsid w:val="15D8055B"/>
    <w:rsid w:val="15D9012F"/>
    <w:rsid w:val="15D936D8"/>
    <w:rsid w:val="15D942D4"/>
    <w:rsid w:val="15DA2525"/>
    <w:rsid w:val="15DA4DF7"/>
    <w:rsid w:val="15DB6A2B"/>
    <w:rsid w:val="15DC22DB"/>
    <w:rsid w:val="15DE18EA"/>
    <w:rsid w:val="15DE5404"/>
    <w:rsid w:val="15DF46C2"/>
    <w:rsid w:val="15E14721"/>
    <w:rsid w:val="15E30624"/>
    <w:rsid w:val="15E340C4"/>
    <w:rsid w:val="15E36823"/>
    <w:rsid w:val="15E46F00"/>
    <w:rsid w:val="15E55E62"/>
    <w:rsid w:val="15E60CC4"/>
    <w:rsid w:val="15E82A65"/>
    <w:rsid w:val="15EC2259"/>
    <w:rsid w:val="15EE4223"/>
    <w:rsid w:val="15EE7D7F"/>
    <w:rsid w:val="15EF58A5"/>
    <w:rsid w:val="15F03B4B"/>
    <w:rsid w:val="15F07F9B"/>
    <w:rsid w:val="15F555B1"/>
    <w:rsid w:val="15F61D5B"/>
    <w:rsid w:val="15F72D2D"/>
    <w:rsid w:val="15F73F35"/>
    <w:rsid w:val="15F86E50"/>
    <w:rsid w:val="15FA6724"/>
    <w:rsid w:val="15FB06EE"/>
    <w:rsid w:val="15FB142D"/>
    <w:rsid w:val="15FD6214"/>
    <w:rsid w:val="16013575"/>
    <w:rsid w:val="16016383"/>
    <w:rsid w:val="1603227A"/>
    <w:rsid w:val="16055ED7"/>
    <w:rsid w:val="16077E34"/>
    <w:rsid w:val="16087E1D"/>
    <w:rsid w:val="160B6B83"/>
    <w:rsid w:val="160C28FB"/>
    <w:rsid w:val="160C2AD8"/>
    <w:rsid w:val="160C3C19"/>
    <w:rsid w:val="160D3A15"/>
    <w:rsid w:val="16113A6D"/>
    <w:rsid w:val="161148F5"/>
    <w:rsid w:val="16123E4A"/>
    <w:rsid w:val="1612565D"/>
    <w:rsid w:val="1615355E"/>
    <w:rsid w:val="16191495"/>
    <w:rsid w:val="16191DE4"/>
    <w:rsid w:val="161C63F6"/>
    <w:rsid w:val="161C70E7"/>
    <w:rsid w:val="161E24A9"/>
    <w:rsid w:val="162017FF"/>
    <w:rsid w:val="162079EE"/>
    <w:rsid w:val="162548AC"/>
    <w:rsid w:val="16257519"/>
    <w:rsid w:val="162B4D52"/>
    <w:rsid w:val="162E0AC3"/>
    <w:rsid w:val="16311141"/>
    <w:rsid w:val="163273DD"/>
    <w:rsid w:val="163B5BE8"/>
    <w:rsid w:val="163D52D2"/>
    <w:rsid w:val="163F05DA"/>
    <w:rsid w:val="16406B7A"/>
    <w:rsid w:val="164107F7"/>
    <w:rsid w:val="16414353"/>
    <w:rsid w:val="164200CB"/>
    <w:rsid w:val="16421E79"/>
    <w:rsid w:val="164363D3"/>
    <w:rsid w:val="16445BF1"/>
    <w:rsid w:val="1646143B"/>
    <w:rsid w:val="16461969"/>
    <w:rsid w:val="1647748F"/>
    <w:rsid w:val="1648166E"/>
    <w:rsid w:val="164B3423"/>
    <w:rsid w:val="164C2E2F"/>
    <w:rsid w:val="164D2EC6"/>
    <w:rsid w:val="164D719B"/>
    <w:rsid w:val="164E4CC1"/>
    <w:rsid w:val="16501CD2"/>
    <w:rsid w:val="1651030E"/>
    <w:rsid w:val="16531A7E"/>
    <w:rsid w:val="165322D8"/>
    <w:rsid w:val="16565924"/>
    <w:rsid w:val="16585B40"/>
    <w:rsid w:val="165F0C7D"/>
    <w:rsid w:val="165F1AD4"/>
    <w:rsid w:val="165F74B1"/>
    <w:rsid w:val="16604E4B"/>
    <w:rsid w:val="16611A92"/>
    <w:rsid w:val="166149F5"/>
    <w:rsid w:val="166242C9"/>
    <w:rsid w:val="166418B6"/>
    <w:rsid w:val="1664609D"/>
    <w:rsid w:val="16651CBB"/>
    <w:rsid w:val="16680598"/>
    <w:rsid w:val="166B7621"/>
    <w:rsid w:val="166D4AA9"/>
    <w:rsid w:val="16702E8A"/>
    <w:rsid w:val="16712302"/>
    <w:rsid w:val="16721F60"/>
    <w:rsid w:val="1674297A"/>
    <w:rsid w:val="16751BBC"/>
    <w:rsid w:val="16764296"/>
    <w:rsid w:val="16772455"/>
    <w:rsid w:val="16774218"/>
    <w:rsid w:val="16783AEC"/>
    <w:rsid w:val="16797F90"/>
    <w:rsid w:val="167A1613"/>
    <w:rsid w:val="167B6882"/>
    <w:rsid w:val="167C2ACC"/>
    <w:rsid w:val="167C5922"/>
    <w:rsid w:val="16807AD5"/>
    <w:rsid w:val="16810BF3"/>
    <w:rsid w:val="16811A83"/>
    <w:rsid w:val="16816E45"/>
    <w:rsid w:val="16837567"/>
    <w:rsid w:val="16846BF2"/>
    <w:rsid w:val="16871D16"/>
    <w:rsid w:val="168849A2"/>
    <w:rsid w:val="16885CB3"/>
    <w:rsid w:val="16893F4C"/>
    <w:rsid w:val="16895CFA"/>
    <w:rsid w:val="168B7CC4"/>
    <w:rsid w:val="168E28FE"/>
    <w:rsid w:val="16901E14"/>
    <w:rsid w:val="16927B48"/>
    <w:rsid w:val="1695025A"/>
    <w:rsid w:val="169614AA"/>
    <w:rsid w:val="169628AB"/>
    <w:rsid w:val="16971F1A"/>
    <w:rsid w:val="16976668"/>
    <w:rsid w:val="16976FC7"/>
    <w:rsid w:val="16984BC5"/>
    <w:rsid w:val="169A1CB5"/>
    <w:rsid w:val="169A3664"/>
    <w:rsid w:val="169A3A63"/>
    <w:rsid w:val="169A7298"/>
    <w:rsid w:val="169C77DB"/>
    <w:rsid w:val="169E0637"/>
    <w:rsid w:val="169E24F5"/>
    <w:rsid w:val="169E522B"/>
    <w:rsid w:val="16A010A3"/>
    <w:rsid w:val="16A06B6F"/>
    <w:rsid w:val="16A15FC9"/>
    <w:rsid w:val="16A20B69"/>
    <w:rsid w:val="16A448E1"/>
    <w:rsid w:val="16A511D2"/>
    <w:rsid w:val="16A668AC"/>
    <w:rsid w:val="16A824BF"/>
    <w:rsid w:val="16A8720C"/>
    <w:rsid w:val="16A87E83"/>
    <w:rsid w:val="16A91EF8"/>
    <w:rsid w:val="16A97F2F"/>
    <w:rsid w:val="16AC655B"/>
    <w:rsid w:val="16AE6A37"/>
    <w:rsid w:val="16B014D8"/>
    <w:rsid w:val="16B31EFC"/>
    <w:rsid w:val="16B36606"/>
    <w:rsid w:val="16B75ADF"/>
    <w:rsid w:val="16BC7E7D"/>
    <w:rsid w:val="16BE2C18"/>
    <w:rsid w:val="16BE3BF5"/>
    <w:rsid w:val="16BF62F2"/>
    <w:rsid w:val="16C30828"/>
    <w:rsid w:val="16C3745D"/>
    <w:rsid w:val="16C525E6"/>
    <w:rsid w:val="16C805D0"/>
    <w:rsid w:val="16C86822"/>
    <w:rsid w:val="16C91D12"/>
    <w:rsid w:val="16CB4564"/>
    <w:rsid w:val="16CB47E1"/>
    <w:rsid w:val="16CB6312"/>
    <w:rsid w:val="16CB6A52"/>
    <w:rsid w:val="16CE195E"/>
    <w:rsid w:val="16CF0202"/>
    <w:rsid w:val="16CF39A2"/>
    <w:rsid w:val="16D276A1"/>
    <w:rsid w:val="16D43419"/>
    <w:rsid w:val="16D63B63"/>
    <w:rsid w:val="16D67BA2"/>
    <w:rsid w:val="16D76A65"/>
    <w:rsid w:val="16D90A2F"/>
    <w:rsid w:val="16DB7EC5"/>
    <w:rsid w:val="16DF3B6C"/>
    <w:rsid w:val="16E10B4F"/>
    <w:rsid w:val="16E46FA9"/>
    <w:rsid w:val="16E50BEA"/>
    <w:rsid w:val="16E66CA8"/>
    <w:rsid w:val="16E675C6"/>
    <w:rsid w:val="16E75A7B"/>
    <w:rsid w:val="16EA2C3C"/>
    <w:rsid w:val="16EB0762"/>
    <w:rsid w:val="16EB50D3"/>
    <w:rsid w:val="16F051DD"/>
    <w:rsid w:val="16F708DB"/>
    <w:rsid w:val="16FA41E7"/>
    <w:rsid w:val="16FB1ABE"/>
    <w:rsid w:val="16FE2070"/>
    <w:rsid w:val="16FE2244"/>
    <w:rsid w:val="1700420E"/>
    <w:rsid w:val="170101CD"/>
    <w:rsid w:val="170476D9"/>
    <w:rsid w:val="17051824"/>
    <w:rsid w:val="17065DD7"/>
    <w:rsid w:val="17077DE3"/>
    <w:rsid w:val="170850BA"/>
    <w:rsid w:val="170A0BE8"/>
    <w:rsid w:val="170A508C"/>
    <w:rsid w:val="170F26A3"/>
    <w:rsid w:val="171001C9"/>
    <w:rsid w:val="17173305"/>
    <w:rsid w:val="17175F2B"/>
    <w:rsid w:val="17176F8B"/>
    <w:rsid w:val="17187F07"/>
    <w:rsid w:val="171B2DF6"/>
    <w:rsid w:val="171C7E04"/>
    <w:rsid w:val="171E4694"/>
    <w:rsid w:val="171F5FB4"/>
    <w:rsid w:val="1720040C"/>
    <w:rsid w:val="17237EFC"/>
    <w:rsid w:val="17252BCD"/>
    <w:rsid w:val="17253971"/>
    <w:rsid w:val="1726179A"/>
    <w:rsid w:val="172F4AF3"/>
    <w:rsid w:val="172F5A56"/>
    <w:rsid w:val="17312619"/>
    <w:rsid w:val="173329E7"/>
    <w:rsid w:val="17342109"/>
    <w:rsid w:val="17343050"/>
    <w:rsid w:val="173739A8"/>
    <w:rsid w:val="173C0C98"/>
    <w:rsid w:val="173C4B1A"/>
    <w:rsid w:val="173C581F"/>
    <w:rsid w:val="17424826"/>
    <w:rsid w:val="174560C4"/>
    <w:rsid w:val="17465999"/>
    <w:rsid w:val="174927D9"/>
    <w:rsid w:val="174B2FAF"/>
    <w:rsid w:val="174C1201"/>
    <w:rsid w:val="174F484D"/>
    <w:rsid w:val="174F4F59"/>
    <w:rsid w:val="174F6F43"/>
    <w:rsid w:val="17517F08"/>
    <w:rsid w:val="17525B6D"/>
    <w:rsid w:val="17587820"/>
    <w:rsid w:val="1759391E"/>
    <w:rsid w:val="175956CC"/>
    <w:rsid w:val="175B1444"/>
    <w:rsid w:val="175D340E"/>
    <w:rsid w:val="175F4D4A"/>
    <w:rsid w:val="176302F9"/>
    <w:rsid w:val="17637A14"/>
    <w:rsid w:val="1767603B"/>
    <w:rsid w:val="176A65CA"/>
    <w:rsid w:val="176F6C9D"/>
    <w:rsid w:val="17701D14"/>
    <w:rsid w:val="17710C68"/>
    <w:rsid w:val="177274B9"/>
    <w:rsid w:val="17735226"/>
    <w:rsid w:val="177366E8"/>
    <w:rsid w:val="177469CA"/>
    <w:rsid w:val="17752C9A"/>
    <w:rsid w:val="17762919"/>
    <w:rsid w:val="17773D99"/>
    <w:rsid w:val="177925CE"/>
    <w:rsid w:val="177D794F"/>
    <w:rsid w:val="177E15D6"/>
    <w:rsid w:val="177E5132"/>
    <w:rsid w:val="177F0146"/>
    <w:rsid w:val="177F6079"/>
    <w:rsid w:val="177F70F6"/>
    <w:rsid w:val="17800EAB"/>
    <w:rsid w:val="17816BE0"/>
    <w:rsid w:val="1787048B"/>
    <w:rsid w:val="17871B5B"/>
    <w:rsid w:val="178B3EE4"/>
    <w:rsid w:val="178C2434"/>
    <w:rsid w:val="178C5AA1"/>
    <w:rsid w:val="178D0129"/>
    <w:rsid w:val="178E4F82"/>
    <w:rsid w:val="178F7340"/>
    <w:rsid w:val="17904242"/>
    <w:rsid w:val="1791130A"/>
    <w:rsid w:val="1791758D"/>
    <w:rsid w:val="17935082"/>
    <w:rsid w:val="17976034"/>
    <w:rsid w:val="17992C31"/>
    <w:rsid w:val="179A1F6A"/>
    <w:rsid w:val="179E57D5"/>
    <w:rsid w:val="17A032FB"/>
    <w:rsid w:val="17A07B9B"/>
    <w:rsid w:val="17A10E21"/>
    <w:rsid w:val="17A252C5"/>
    <w:rsid w:val="17A34B99"/>
    <w:rsid w:val="17A54DB5"/>
    <w:rsid w:val="17A60298"/>
    <w:rsid w:val="17A67F95"/>
    <w:rsid w:val="17A87CFD"/>
    <w:rsid w:val="17AA23CB"/>
    <w:rsid w:val="17AC1CA0"/>
    <w:rsid w:val="17AC28BB"/>
    <w:rsid w:val="17AD3A70"/>
    <w:rsid w:val="17AF28D5"/>
    <w:rsid w:val="17AF6670"/>
    <w:rsid w:val="17AF79E2"/>
    <w:rsid w:val="17B04C7F"/>
    <w:rsid w:val="17B27959"/>
    <w:rsid w:val="17B55A1E"/>
    <w:rsid w:val="17B943BD"/>
    <w:rsid w:val="17C0574B"/>
    <w:rsid w:val="17C16A5A"/>
    <w:rsid w:val="17C355CF"/>
    <w:rsid w:val="17C36FE9"/>
    <w:rsid w:val="17CE60BA"/>
    <w:rsid w:val="17CF436F"/>
    <w:rsid w:val="17D11706"/>
    <w:rsid w:val="17D13A71"/>
    <w:rsid w:val="17D2722C"/>
    <w:rsid w:val="17D336D0"/>
    <w:rsid w:val="17D42F93"/>
    <w:rsid w:val="17D42FA4"/>
    <w:rsid w:val="17D47448"/>
    <w:rsid w:val="17D66D1D"/>
    <w:rsid w:val="17D74D2F"/>
    <w:rsid w:val="17D9680D"/>
    <w:rsid w:val="17D97D8E"/>
    <w:rsid w:val="17DB2585"/>
    <w:rsid w:val="17DC6246"/>
    <w:rsid w:val="17DF02C7"/>
    <w:rsid w:val="17DF1C59"/>
    <w:rsid w:val="17E31439"/>
    <w:rsid w:val="17E458DD"/>
    <w:rsid w:val="17E4768B"/>
    <w:rsid w:val="17E51656"/>
    <w:rsid w:val="17E52F87"/>
    <w:rsid w:val="17E551B2"/>
    <w:rsid w:val="17E72CD8"/>
    <w:rsid w:val="17E76BCD"/>
    <w:rsid w:val="17F109E4"/>
    <w:rsid w:val="17F12FD3"/>
    <w:rsid w:val="17F13B56"/>
    <w:rsid w:val="17F13D5F"/>
    <w:rsid w:val="17F27FF5"/>
    <w:rsid w:val="17F35B20"/>
    <w:rsid w:val="17F403CC"/>
    <w:rsid w:val="17F66A50"/>
    <w:rsid w:val="17F83137"/>
    <w:rsid w:val="17FF6917"/>
    <w:rsid w:val="1800023D"/>
    <w:rsid w:val="180059CF"/>
    <w:rsid w:val="18023FB5"/>
    <w:rsid w:val="180326C3"/>
    <w:rsid w:val="18032FC8"/>
    <w:rsid w:val="180366E6"/>
    <w:rsid w:val="18046B42"/>
    <w:rsid w:val="18047D2E"/>
    <w:rsid w:val="1807337A"/>
    <w:rsid w:val="180A2E6A"/>
    <w:rsid w:val="180C273E"/>
    <w:rsid w:val="180C6BE2"/>
    <w:rsid w:val="180D44C3"/>
    <w:rsid w:val="180E64B6"/>
    <w:rsid w:val="180F3B62"/>
    <w:rsid w:val="18114C4E"/>
    <w:rsid w:val="18116D37"/>
    <w:rsid w:val="18137F71"/>
    <w:rsid w:val="1814050E"/>
    <w:rsid w:val="18170000"/>
    <w:rsid w:val="1817657D"/>
    <w:rsid w:val="181810E3"/>
    <w:rsid w:val="18187335"/>
    <w:rsid w:val="181C333C"/>
    <w:rsid w:val="181D0DEF"/>
    <w:rsid w:val="181D2B9D"/>
    <w:rsid w:val="181E11A3"/>
    <w:rsid w:val="181E2A6D"/>
    <w:rsid w:val="181F05D8"/>
    <w:rsid w:val="1820314D"/>
    <w:rsid w:val="182061EA"/>
    <w:rsid w:val="18221F62"/>
    <w:rsid w:val="18235ACC"/>
    <w:rsid w:val="182405E3"/>
    <w:rsid w:val="1824217E"/>
    <w:rsid w:val="18245CDA"/>
    <w:rsid w:val="18283B9D"/>
    <w:rsid w:val="18283C1C"/>
    <w:rsid w:val="18291542"/>
    <w:rsid w:val="182A5643"/>
    <w:rsid w:val="182B52BA"/>
    <w:rsid w:val="182C1032"/>
    <w:rsid w:val="182F2998"/>
    <w:rsid w:val="1830158E"/>
    <w:rsid w:val="183121A5"/>
    <w:rsid w:val="18371EB1"/>
    <w:rsid w:val="1838392C"/>
    <w:rsid w:val="183B7811"/>
    <w:rsid w:val="183C05AC"/>
    <w:rsid w:val="183C74C7"/>
    <w:rsid w:val="183D4A87"/>
    <w:rsid w:val="183D6D9C"/>
    <w:rsid w:val="183F2B14"/>
    <w:rsid w:val="18404355"/>
    <w:rsid w:val="1841083E"/>
    <w:rsid w:val="1841128F"/>
    <w:rsid w:val="1841346A"/>
    <w:rsid w:val="18435F1B"/>
    <w:rsid w:val="1844315D"/>
    <w:rsid w:val="184620F4"/>
    <w:rsid w:val="184B770B"/>
    <w:rsid w:val="18504D21"/>
    <w:rsid w:val="18544FDE"/>
    <w:rsid w:val="18561C0B"/>
    <w:rsid w:val="18574301"/>
    <w:rsid w:val="18575DED"/>
    <w:rsid w:val="18582E29"/>
    <w:rsid w:val="185A53BA"/>
    <w:rsid w:val="185F7C6A"/>
    <w:rsid w:val="18602A8A"/>
    <w:rsid w:val="1862221E"/>
    <w:rsid w:val="18636BFE"/>
    <w:rsid w:val="186500A0"/>
    <w:rsid w:val="18654FE6"/>
    <w:rsid w:val="18682758"/>
    <w:rsid w:val="186848A3"/>
    <w:rsid w:val="18690202"/>
    <w:rsid w:val="186B3909"/>
    <w:rsid w:val="186B56B7"/>
    <w:rsid w:val="186C37DA"/>
    <w:rsid w:val="186E1AD6"/>
    <w:rsid w:val="186E33F9"/>
    <w:rsid w:val="187A3B4C"/>
    <w:rsid w:val="187C78C4"/>
    <w:rsid w:val="187D188E"/>
    <w:rsid w:val="187D363C"/>
    <w:rsid w:val="187F1162"/>
    <w:rsid w:val="187F7BAC"/>
    <w:rsid w:val="18835113"/>
    <w:rsid w:val="188B5D59"/>
    <w:rsid w:val="188E4F62"/>
    <w:rsid w:val="18925339"/>
    <w:rsid w:val="1893346E"/>
    <w:rsid w:val="18933FED"/>
    <w:rsid w:val="189746FE"/>
    <w:rsid w:val="189C7F66"/>
    <w:rsid w:val="189D127B"/>
    <w:rsid w:val="189F624C"/>
    <w:rsid w:val="189F7A56"/>
    <w:rsid w:val="18A10126"/>
    <w:rsid w:val="18A1732B"/>
    <w:rsid w:val="18A3059A"/>
    <w:rsid w:val="18A34F8C"/>
    <w:rsid w:val="18A46014"/>
    <w:rsid w:val="18A612A6"/>
    <w:rsid w:val="18A6651D"/>
    <w:rsid w:val="18A77031"/>
    <w:rsid w:val="18AB1F57"/>
    <w:rsid w:val="18AD46B7"/>
    <w:rsid w:val="18AE37F5"/>
    <w:rsid w:val="18AF5EEB"/>
    <w:rsid w:val="18B04D03"/>
    <w:rsid w:val="18B13582"/>
    <w:rsid w:val="18B1529D"/>
    <w:rsid w:val="18B1693F"/>
    <w:rsid w:val="18B51028"/>
    <w:rsid w:val="18B65F6B"/>
    <w:rsid w:val="18B90B18"/>
    <w:rsid w:val="18BA0EA0"/>
    <w:rsid w:val="18BA4890"/>
    <w:rsid w:val="18BC587B"/>
    <w:rsid w:val="18BD7EDC"/>
    <w:rsid w:val="18BF1EA7"/>
    <w:rsid w:val="18BF3C55"/>
    <w:rsid w:val="18C1177B"/>
    <w:rsid w:val="18C203D4"/>
    <w:rsid w:val="18C30E0C"/>
    <w:rsid w:val="18C80D5B"/>
    <w:rsid w:val="18C85647"/>
    <w:rsid w:val="18C90FE6"/>
    <w:rsid w:val="18C96881"/>
    <w:rsid w:val="18CC1221"/>
    <w:rsid w:val="18CC634B"/>
    <w:rsid w:val="18CD115B"/>
    <w:rsid w:val="18CE20EA"/>
    <w:rsid w:val="18CE25D0"/>
    <w:rsid w:val="18CF402A"/>
    <w:rsid w:val="18D22DC9"/>
    <w:rsid w:val="18D25671"/>
    <w:rsid w:val="18D314AE"/>
    <w:rsid w:val="18D40D35"/>
    <w:rsid w:val="18D420D1"/>
    <w:rsid w:val="18D53478"/>
    <w:rsid w:val="18DA283C"/>
    <w:rsid w:val="18DA45EA"/>
    <w:rsid w:val="18DE27A9"/>
    <w:rsid w:val="18DF60A5"/>
    <w:rsid w:val="18E17F1E"/>
    <w:rsid w:val="18E37943"/>
    <w:rsid w:val="18E42A69"/>
    <w:rsid w:val="18E436BB"/>
    <w:rsid w:val="18E47BF9"/>
    <w:rsid w:val="18E90CD1"/>
    <w:rsid w:val="18E91F2A"/>
    <w:rsid w:val="18EA6B8D"/>
    <w:rsid w:val="18EB4A4A"/>
    <w:rsid w:val="18EE08EE"/>
    <w:rsid w:val="18EE5D7A"/>
    <w:rsid w:val="18F27B86"/>
    <w:rsid w:val="18F953B8"/>
    <w:rsid w:val="18FA3E5B"/>
    <w:rsid w:val="18FB667D"/>
    <w:rsid w:val="18FC0A05"/>
    <w:rsid w:val="18FC27B3"/>
    <w:rsid w:val="18FC4BE1"/>
    <w:rsid w:val="19004E1D"/>
    <w:rsid w:val="1901601B"/>
    <w:rsid w:val="19031D93"/>
    <w:rsid w:val="19033B41"/>
    <w:rsid w:val="19053D5D"/>
    <w:rsid w:val="19081158"/>
    <w:rsid w:val="19082714"/>
    <w:rsid w:val="19082DB8"/>
    <w:rsid w:val="190938C6"/>
    <w:rsid w:val="190A3122"/>
    <w:rsid w:val="190B6E9A"/>
    <w:rsid w:val="190D16C1"/>
    <w:rsid w:val="190D676E"/>
    <w:rsid w:val="190E3286"/>
    <w:rsid w:val="190F0738"/>
    <w:rsid w:val="190F553C"/>
    <w:rsid w:val="1912647A"/>
    <w:rsid w:val="19137AFC"/>
    <w:rsid w:val="19143FA0"/>
    <w:rsid w:val="19156F2D"/>
    <w:rsid w:val="191744B5"/>
    <w:rsid w:val="1917583F"/>
    <w:rsid w:val="191823D8"/>
    <w:rsid w:val="19193365"/>
    <w:rsid w:val="191B532F"/>
    <w:rsid w:val="191B5B43"/>
    <w:rsid w:val="191C4C03"/>
    <w:rsid w:val="191D1E58"/>
    <w:rsid w:val="191E6BCD"/>
    <w:rsid w:val="19201FB1"/>
    <w:rsid w:val="1921046B"/>
    <w:rsid w:val="1921125B"/>
    <w:rsid w:val="19212219"/>
    <w:rsid w:val="192341E3"/>
    <w:rsid w:val="19263689"/>
    <w:rsid w:val="19265A82"/>
    <w:rsid w:val="192835A8"/>
    <w:rsid w:val="19291327"/>
    <w:rsid w:val="192B4FB9"/>
    <w:rsid w:val="192C753C"/>
    <w:rsid w:val="192C7F84"/>
    <w:rsid w:val="192E0495"/>
    <w:rsid w:val="192E1B6B"/>
    <w:rsid w:val="19341F4D"/>
    <w:rsid w:val="19342BF6"/>
    <w:rsid w:val="19350C09"/>
    <w:rsid w:val="19355CC5"/>
    <w:rsid w:val="19365552"/>
    <w:rsid w:val="19371A3D"/>
    <w:rsid w:val="193D412E"/>
    <w:rsid w:val="193E726F"/>
    <w:rsid w:val="19417F19"/>
    <w:rsid w:val="194244B9"/>
    <w:rsid w:val="1942562A"/>
    <w:rsid w:val="19425AF0"/>
    <w:rsid w:val="19426379"/>
    <w:rsid w:val="1943718F"/>
    <w:rsid w:val="19495285"/>
    <w:rsid w:val="19501615"/>
    <w:rsid w:val="19516938"/>
    <w:rsid w:val="19516FA3"/>
    <w:rsid w:val="195271C6"/>
    <w:rsid w:val="19571BA8"/>
    <w:rsid w:val="195720DF"/>
    <w:rsid w:val="1957287E"/>
    <w:rsid w:val="19595E57"/>
    <w:rsid w:val="195B397D"/>
    <w:rsid w:val="195D451A"/>
    <w:rsid w:val="195D7782"/>
    <w:rsid w:val="195E521C"/>
    <w:rsid w:val="195F2D42"/>
    <w:rsid w:val="195F4C1B"/>
    <w:rsid w:val="196160D9"/>
    <w:rsid w:val="19622FEC"/>
    <w:rsid w:val="19623E38"/>
    <w:rsid w:val="196467E6"/>
    <w:rsid w:val="19650A6E"/>
    <w:rsid w:val="196547FC"/>
    <w:rsid w:val="19660F71"/>
    <w:rsid w:val="19670574"/>
    <w:rsid w:val="1968609A"/>
    <w:rsid w:val="196B3EFF"/>
    <w:rsid w:val="196D1903"/>
    <w:rsid w:val="196E336A"/>
    <w:rsid w:val="196F6531"/>
    <w:rsid w:val="196F7429"/>
    <w:rsid w:val="19704F4F"/>
    <w:rsid w:val="19715028"/>
    <w:rsid w:val="19730B8E"/>
    <w:rsid w:val="1974673C"/>
    <w:rsid w:val="197467ED"/>
    <w:rsid w:val="197473EF"/>
    <w:rsid w:val="19762565"/>
    <w:rsid w:val="197A0B66"/>
    <w:rsid w:val="197A4B1B"/>
    <w:rsid w:val="197B7947"/>
    <w:rsid w:val="198033E4"/>
    <w:rsid w:val="19810F0A"/>
    <w:rsid w:val="19813839"/>
    <w:rsid w:val="19832ED4"/>
    <w:rsid w:val="19861875"/>
    <w:rsid w:val="19866520"/>
    <w:rsid w:val="19873D97"/>
    <w:rsid w:val="198A24AF"/>
    <w:rsid w:val="198B401E"/>
    <w:rsid w:val="198B6ABB"/>
    <w:rsid w:val="198C5AFB"/>
    <w:rsid w:val="198D3D53"/>
    <w:rsid w:val="198D79C6"/>
    <w:rsid w:val="198E4358"/>
    <w:rsid w:val="199649B5"/>
    <w:rsid w:val="199858F1"/>
    <w:rsid w:val="199C5D44"/>
    <w:rsid w:val="199D21E8"/>
    <w:rsid w:val="199D2716"/>
    <w:rsid w:val="199D3F96"/>
    <w:rsid w:val="19A370D2"/>
    <w:rsid w:val="19A5109C"/>
    <w:rsid w:val="19A54BF8"/>
    <w:rsid w:val="19AB4126"/>
    <w:rsid w:val="19AC1CEB"/>
    <w:rsid w:val="19AD4A52"/>
    <w:rsid w:val="19B021B4"/>
    <w:rsid w:val="19B25567"/>
    <w:rsid w:val="19B27315"/>
    <w:rsid w:val="19B41B3F"/>
    <w:rsid w:val="19B43431"/>
    <w:rsid w:val="19B60BB4"/>
    <w:rsid w:val="19B7492C"/>
    <w:rsid w:val="19B757BD"/>
    <w:rsid w:val="19B962C5"/>
    <w:rsid w:val="19BB08C0"/>
    <w:rsid w:val="19BD4915"/>
    <w:rsid w:val="19BF2128"/>
    <w:rsid w:val="19C05ED6"/>
    <w:rsid w:val="19C178AC"/>
    <w:rsid w:val="19C21C4E"/>
    <w:rsid w:val="19C257AA"/>
    <w:rsid w:val="19CC73B8"/>
    <w:rsid w:val="19CE7A11"/>
    <w:rsid w:val="19D153BE"/>
    <w:rsid w:val="19D373F3"/>
    <w:rsid w:val="19D5589C"/>
    <w:rsid w:val="19D84FCE"/>
    <w:rsid w:val="19DD2002"/>
    <w:rsid w:val="19DD25E4"/>
    <w:rsid w:val="19E020D4"/>
    <w:rsid w:val="19E03E83"/>
    <w:rsid w:val="19E17618"/>
    <w:rsid w:val="19E341FE"/>
    <w:rsid w:val="19E576EB"/>
    <w:rsid w:val="19E67981"/>
    <w:rsid w:val="19E7161A"/>
    <w:rsid w:val="19E71F68"/>
    <w:rsid w:val="19E73463"/>
    <w:rsid w:val="19E930C7"/>
    <w:rsid w:val="19EB41A9"/>
    <w:rsid w:val="19EC0A79"/>
    <w:rsid w:val="19ED1DD0"/>
    <w:rsid w:val="19ED4732"/>
    <w:rsid w:val="19EE2F51"/>
    <w:rsid w:val="19F33BB6"/>
    <w:rsid w:val="19F44C70"/>
    <w:rsid w:val="19F72770"/>
    <w:rsid w:val="19F8741E"/>
    <w:rsid w:val="19F93196"/>
    <w:rsid w:val="19F94F44"/>
    <w:rsid w:val="19FE07AD"/>
    <w:rsid w:val="1A041DA9"/>
    <w:rsid w:val="1A045DC3"/>
    <w:rsid w:val="1A07140F"/>
    <w:rsid w:val="1A073B05"/>
    <w:rsid w:val="1A074445"/>
    <w:rsid w:val="1A081F8F"/>
    <w:rsid w:val="1A083498"/>
    <w:rsid w:val="1A08351B"/>
    <w:rsid w:val="1A0A1CBD"/>
    <w:rsid w:val="1A0A7151"/>
    <w:rsid w:val="1A0A7435"/>
    <w:rsid w:val="1A0C4C78"/>
    <w:rsid w:val="1A10076A"/>
    <w:rsid w:val="1A110CE0"/>
    <w:rsid w:val="1A136006"/>
    <w:rsid w:val="1A1747BF"/>
    <w:rsid w:val="1A192F2D"/>
    <w:rsid w:val="1A197394"/>
    <w:rsid w:val="1A1C0ECE"/>
    <w:rsid w:val="1A1C66C0"/>
    <w:rsid w:val="1A1E1EC6"/>
    <w:rsid w:val="1A1F69B1"/>
    <w:rsid w:val="1A204BC7"/>
    <w:rsid w:val="1A22449B"/>
    <w:rsid w:val="1A2477A4"/>
    <w:rsid w:val="1A253F8B"/>
    <w:rsid w:val="1A270D56"/>
    <w:rsid w:val="1A27385F"/>
    <w:rsid w:val="1A2B77F4"/>
    <w:rsid w:val="1A2D3B86"/>
    <w:rsid w:val="1A2D627F"/>
    <w:rsid w:val="1A2E6AFD"/>
    <w:rsid w:val="1A310B82"/>
    <w:rsid w:val="1A3140BD"/>
    <w:rsid w:val="1A3356E6"/>
    <w:rsid w:val="1A3441CE"/>
    <w:rsid w:val="1A3504ED"/>
    <w:rsid w:val="1A352420"/>
    <w:rsid w:val="1A3A3315"/>
    <w:rsid w:val="1A3A3E91"/>
    <w:rsid w:val="1A3D3083"/>
    <w:rsid w:val="1A411187"/>
    <w:rsid w:val="1A420699"/>
    <w:rsid w:val="1A42393B"/>
    <w:rsid w:val="1A426F09"/>
    <w:rsid w:val="1A442663"/>
    <w:rsid w:val="1A4607CD"/>
    <w:rsid w:val="1A470709"/>
    <w:rsid w:val="1A473F02"/>
    <w:rsid w:val="1A4802BE"/>
    <w:rsid w:val="1A4A39F2"/>
    <w:rsid w:val="1A4C62E6"/>
    <w:rsid w:val="1A4F6C0B"/>
    <w:rsid w:val="1A4F77D9"/>
    <w:rsid w:val="1A501008"/>
    <w:rsid w:val="1A530AF8"/>
    <w:rsid w:val="1A560936"/>
    <w:rsid w:val="1A571703"/>
    <w:rsid w:val="1A58440A"/>
    <w:rsid w:val="1A5B175B"/>
    <w:rsid w:val="1A613F84"/>
    <w:rsid w:val="1A627289"/>
    <w:rsid w:val="1A642D06"/>
    <w:rsid w:val="1A644242"/>
    <w:rsid w:val="1A6524B5"/>
    <w:rsid w:val="1A6625D6"/>
    <w:rsid w:val="1A66478F"/>
    <w:rsid w:val="1A66520B"/>
    <w:rsid w:val="1A691B7F"/>
    <w:rsid w:val="1A6A7BF0"/>
    <w:rsid w:val="1A6C6037"/>
    <w:rsid w:val="1A6F3D4A"/>
    <w:rsid w:val="1A6F40DD"/>
    <w:rsid w:val="1A702114"/>
    <w:rsid w:val="1A72188D"/>
    <w:rsid w:val="1A7235BA"/>
    <w:rsid w:val="1A724E6B"/>
    <w:rsid w:val="1A75281D"/>
    <w:rsid w:val="1A771DB3"/>
    <w:rsid w:val="1A772A39"/>
    <w:rsid w:val="1A774681"/>
    <w:rsid w:val="1A782DD5"/>
    <w:rsid w:val="1A7C336C"/>
    <w:rsid w:val="1A7F088E"/>
    <w:rsid w:val="1A8011C2"/>
    <w:rsid w:val="1A812238"/>
    <w:rsid w:val="1A82318C"/>
    <w:rsid w:val="1A8567D8"/>
    <w:rsid w:val="1A862C7C"/>
    <w:rsid w:val="1A87275F"/>
    <w:rsid w:val="1A8769F4"/>
    <w:rsid w:val="1A8A5FB8"/>
    <w:rsid w:val="1A8C400A"/>
    <w:rsid w:val="1A903AFB"/>
    <w:rsid w:val="1A907469"/>
    <w:rsid w:val="1A912989"/>
    <w:rsid w:val="1A932CC2"/>
    <w:rsid w:val="1A9659CD"/>
    <w:rsid w:val="1A9737B0"/>
    <w:rsid w:val="1A9767BE"/>
    <w:rsid w:val="1A9A38F7"/>
    <w:rsid w:val="1A9B78F0"/>
    <w:rsid w:val="1A9D7FC6"/>
    <w:rsid w:val="1A9F3D3E"/>
    <w:rsid w:val="1AA01A6C"/>
    <w:rsid w:val="1AA2738A"/>
    <w:rsid w:val="1AA317EB"/>
    <w:rsid w:val="1AA43102"/>
    <w:rsid w:val="1AA475E6"/>
    <w:rsid w:val="1AA61228"/>
    <w:rsid w:val="1AA72BF2"/>
    <w:rsid w:val="1AA953E2"/>
    <w:rsid w:val="1AA9696A"/>
    <w:rsid w:val="1AAA5041"/>
    <w:rsid w:val="1AAB0F89"/>
    <w:rsid w:val="1AAB623F"/>
    <w:rsid w:val="1AAD45DE"/>
    <w:rsid w:val="1AAF48FE"/>
    <w:rsid w:val="1AB07DF4"/>
    <w:rsid w:val="1AB134A8"/>
    <w:rsid w:val="1AB42096"/>
    <w:rsid w:val="1AB62E35"/>
    <w:rsid w:val="1AB64BE3"/>
    <w:rsid w:val="1AB6606F"/>
    <w:rsid w:val="1AB9425D"/>
    <w:rsid w:val="1ABB634B"/>
    <w:rsid w:val="1ABD2416"/>
    <w:rsid w:val="1ABD41C4"/>
    <w:rsid w:val="1ABD5F72"/>
    <w:rsid w:val="1ABE0A08"/>
    <w:rsid w:val="1AC35D1F"/>
    <w:rsid w:val="1AC36604"/>
    <w:rsid w:val="1AC45552"/>
    <w:rsid w:val="1AC704E3"/>
    <w:rsid w:val="1AC71995"/>
    <w:rsid w:val="1AC76DF0"/>
    <w:rsid w:val="1AC83294"/>
    <w:rsid w:val="1ACB4B33"/>
    <w:rsid w:val="1ACE017F"/>
    <w:rsid w:val="1ACF4B27"/>
    <w:rsid w:val="1AD033F7"/>
    <w:rsid w:val="1AD47D19"/>
    <w:rsid w:val="1AD734D7"/>
    <w:rsid w:val="1ADA4D76"/>
    <w:rsid w:val="1ADC645E"/>
    <w:rsid w:val="1ADC6D40"/>
    <w:rsid w:val="1ADD73D0"/>
    <w:rsid w:val="1ADF05DE"/>
    <w:rsid w:val="1ADF313F"/>
    <w:rsid w:val="1AE03964"/>
    <w:rsid w:val="1AE04F3D"/>
    <w:rsid w:val="1AE2574F"/>
    <w:rsid w:val="1AE34B25"/>
    <w:rsid w:val="1AE43832"/>
    <w:rsid w:val="1AE87493"/>
    <w:rsid w:val="1AEA79DF"/>
    <w:rsid w:val="1AED2CFB"/>
    <w:rsid w:val="1AEF5BE1"/>
    <w:rsid w:val="1AF13C5B"/>
    <w:rsid w:val="1AF16011"/>
    <w:rsid w:val="1AF23E6D"/>
    <w:rsid w:val="1AF35E37"/>
    <w:rsid w:val="1AF40883"/>
    <w:rsid w:val="1AFA3634"/>
    <w:rsid w:val="1AFC2F3E"/>
    <w:rsid w:val="1AFC7C25"/>
    <w:rsid w:val="1AFF2A2E"/>
    <w:rsid w:val="1AFF47DC"/>
    <w:rsid w:val="1B0159B4"/>
    <w:rsid w:val="1B0214D5"/>
    <w:rsid w:val="1B0267BC"/>
    <w:rsid w:val="1B0457B9"/>
    <w:rsid w:val="1B046F80"/>
    <w:rsid w:val="1B0623E5"/>
    <w:rsid w:val="1B064314"/>
    <w:rsid w:val="1B0810CA"/>
    <w:rsid w:val="1B091FFE"/>
    <w:rsid w:val="1B09347E"/>
    <w:rsid w:val="1B0B3181"/>
    <w:rsid w:val="1B0D17E8"/>
    <w:rsid w:val="1B0D3938"/>
    <w:rsid w:val="1B0E4A1F"/>
    <w:rsid w:val="1B0F0EC3"/>
    <w:rsid w:val="1B100797"/>
    <w:rsid w:val="1B142CFD"/>
    <w:rsid w:val="1B151CB6"/>
    <w:rsid w:val="1B157F7A"/>
    <w:rsid w:val="1B1B1D13"/>
    <w:rsid w:val="1B1C0EEA"/>
    <w:rsid w:val="1B1E102C"/>
    <w:rsid w:val="1B1F6C2C"/>
    <w:rsid w:val="1B214753"/>
    <w:rsid w:val="1B233100"/>
    <w:rsid w:val="1B234B55"/>
    <w:rsid w:val="1B253579"/>
    <w:rsid w:val="1B293607"/>
    <w:rsid w:val="1B2A7AAB"/>
    <w:rsid w:val="1B2C41B8"/>
    <w:rsid w:val="1B2D46D3"/>
    <w:rsid w:val="1B302147"/>
    <w:rsid w:val="1B317922"/>
    <w:rsid w:val="1B32070E"/>
    <w:rsid w:val="1B324BB2"/>
    <w:rsid w:val="1B3267B5"/>
    <w:rsid w:val="1B326960"/>
    <w:rsid w:val="1B331237"/>
    <w:rsid w:val="1B3A4EF8"/>
    <w:rsid w:val="1B3A5814"/>
    <w:rsid w:val="1B3B1CB8"/>
    <w:rsid w:val="1B3C158C"/>
    <w:rsid w:val="1B3F1B4C"/>
    <w:rsid w:val="1B40161D"/>
    <w:rsid w:val="1B432B77"/>
    <w:rsid w:val="1B441859"/>
    <w:rsid w:val="1B4570ED"/>
    <w:rsid w:val="1B46240B"/>
    <w:rsid w:val="1B482463"/>
    <w:rsid w:val="1B485A2B"/>
    <w:rsid w:val="1B486183"/>
    <w:rsid w:val="1B487A29"/>
    <w:rsid w:val="1B497C64"/>
    <w:rsid w:val="1B4A2589"/>
    <w:rsid w:val="1B4D19EC"/>
    <w:rsid w:val="1B4E0A71"/>
    <w:rsid w:val="1B4E306E"/>
    <w:rsid w:val="1B5002CC"/>
    <w:rsid w:val="1B530684"/>
    <w:rsid w:val="1B5468D6"/>
    <w:rsid w:val="1B550590"/>
    <w:rsid w:val="1B5774DC"/>
    <w:rsid w:val="1B5B5EB7"/>
    <w:rsid w:val="1B5C165F"/>
    <w:rsid w:val="1B5C1C2F"/>
    <w:rsid w:val="1B5C39DD"/>
    <w:rsid w:val="1B5C578B"/>
    <w:rsid w:val="1B5D1330"/>
    <w:rsid w:val="1B5E4DAB"/>
    <w:rsid w:val="1B5F0027"/>
    <w:rsid w:val="1B610FF3"/>
    <w:rsid w:val="1B624E40"/>
    <w:rsid w:val="1B632FBD"/>
    <w:rsid w:val="1B6606B1"/>
    <w:rsid w:val="1B673BD4"/>
    <w:rsid w:val="1B6A60FA"/>
    <w:rsid w:val="1B774450"/>
    <w:rsid w:val="1B776A68"/>
    <w:rsid w:val="1B7927E1"/>
    <w:rsid w:val="1B7E392F"/>
    <w:rsid w:val="1B7E7DF7"/>
    <w:rsid w:val="1B7F346B"/>
    <w:rsid w:val="1B80591D"/>
    <w:rsid w:val="1B832C79"/>
    <w:rsid w:val="1B851185"/>
    <w:rsid w:val="1B854CE1"/>
    <w:rsid w:val="1B87029B"/>
    <w:rsid w:val="1B8C0A3B"/>
    <w:rsid w:val="1B9238A2"/>
    <w:rsid w:val="1B961967"/>
    <w:rsid w:val="1B965141"/>
    <w:rsid w:val="1B965C31"/>
    <w:rsid w:val="1B9A0480"/>
    <w:rsid w:val="1B9F1AF3"/>
    <w:rsid w:val="1B9F6E09"/>
    <w:rsid w:val="1BA01B1B"/>
    <w:rsid w:val="1BA15047"/>
    <w:rsid w:val="1BA37416"/>
    <w:rsid w:val="1BA3785E"/>
    <w:rsid w:val="1BA53A1D"/>
    <w:rsid w:val="1BA809D0"/>
    <w:rsid w:val="1BA95D80"/>
    <w:rsid w:val="1BAB671A"/>
    <w:rsid w:val="1BAE5697"/>
    <w:rsid w:val="1BAF0C32"/>
    <w:rsid w:val="1BB24E9C"/>
    <w:rsid w:val="1BB83309"/>
    <w:rsid w:val="1BB870C9"/>
    <w:rsid w:val="1BBB2D19"/>
    <w:rsid w:val="1BBB7DD1"/>
    <w:rsid w:val="1BC157A5"/>
    <w:rsid w:val="1BC34805"/>
    <w:rsid w:val="1BC53330"/>
    <w:rsid w:val="1BC577D4"/>
    <w:rsid w:val="1BC82E20"/>
    <w:rsid w:val="1BCA719E"/>
    <w:rsid w:val="1BCC389F"/>
    <w:rsid w:val="1BCF2540"/>
    <w:rsid w:val="1BD11D54"/>
    <w:rsid w:val="1BD179A0"/>
    <w:rsid w:val="1BD23C9F"/>
    <w:rsid w:val="1BD32128"/>
    <w:rsid w:val="1BD407DB"/>
    <w:rsid w:val="1BD72F5A"/>
    <w:rsid w:val="1BDB2B53"/>
    <w:rsid w:val="1BDB6FF7"/>
    <w:rsid w:val="1BDC711D"/>
    <w:rsid w:val="1BDE2644"/>
    <w:rsid w:val="1BE0426C"/>
    <w:rsid w:val="1BE47CBF"/>
    <w:rsid w:val="1BE53B78"/>
    <w:rsid w:val="1BE55780"/>
    <w:rsid w:val="1BE851CD"/>
    <w:rsid w:val="1BE943D9"/>
    <w:rsid w:val="1BEA2D97"/>
    <w:rsid w:val="1BEC6B0F"/>
    <w:rsid w:val="1BED0AD9"/>
    <w:rsid w:val="1BEF65FF"/>
    <w:rsid w:val="1BF34341"/>
    <w:rsid w:val="1BF709A5"/>
    <w:rsid w:val="1BF72F6B"/>
    <w:rsid w:val="1BF8028F"/>
    <w:rsid w:val="1BF81957"/>
    <w:rsid w:val="1BF93324"/>
    <w:rsid w:val="1BF956CF"/>
    <w:rsid w:val="1BFB53A5"/>
    <w:rsid w:val="1BFE569F"/>
    <w:rsid w:val="1BFE6842"/>
    <w:rsid w:val="1C006A5E"/>
    <w:rsid w:val="1C02002B"/>
    <w:rsid w:val="1C02123D"/>
    <w:rsid w:val="1C025193"/>
    <w:rsid w:val="1C026332"/>
    <w:rsid w:val="1C0302FC"/>
    <w:rsid w:val="1C061FFB"/>
    <w:rsid w:val="1C073510"/>
    <w:rsid w:val="1C084051"/>
    <w:rsid w:val="1C085539"/>
    <w:rsid w:val="1C087ECB"/>
    <w:rsid w:val="1C0E522C"/>
    <w:rsid w:val="1C0F43BE"/>
    <w:rsid w:val="1C0F6CA1"/>
    <w:rsid w:val="1C1026B9"/>
    <w:rsid w:val="1C131164"/>
    <w:rsid w:val="1C140CED"/>
    <w:rsid w:val="1C16002F"/>
    <w:rsid w:val="1C166281"/>
    <w:rsid w:val="1C1720A5"/>
    <w:rsid w:val="1C1D0281"/>
    <w:rsid w:val="1C1D386A"/>
    <w:rsid w:val="1C205A62"/>
    <w:rsid w:val="1C2111FC"/>
    <w:rsid w:val="1C24274C"/>
    <w:rsid w:val="1C242ED4"/>
    <w:rsid w:val="1C255548"/>
    <w:rsid w:val="1C2819CA"/>
    <w:rsid w:val="1C2821C3"/>
    <w:rsid w:val="1C2A7637"/>
    <w:rsid w:val="1C2D2C87"/>
    <w:rsid w:val="1C2D677D"/>
    <w:rsid w:val="1C2E35CB"/>
    <w:rsid w:val="1C302A4A"/>
    <w:rsid w:val="1C3109C5"/>
    <w:rsid w:val="1C334686"/>
    <w:rsid w:val="1C33473D"/>
    <w:rsid w:val="1C346708"/>
    <w:rsid w:val="1C3A4D1B"/>
    <w:rsid w:val="1C3D3A8E"/>
    <w:rsid w:val="1C3E2CD2"/>
    <w:rsid w:val="1C432CF0"/>
    <w:rsid w:val="1C4A7CD9"/>
    <w:rsid w:val="1C4E154C"/>
    <w:rsid w:val="1C4F52EF"/>
    <w:rsid w:val="1C4F709D"/>
    <w:rsid w:val="1C56667E"/>
    <w:rsid w:val="1C5D682E"/>
    <w:rsid w:val="1C5D7A0C"/>
    <w:rsid w:val="1C5E4C0E"/>
    <w:rsid w:val="1C5E7925"/>
    <w:rsid w:val="1C5F3784"/>
    <w:rsid w:val="1C5F51F8"/>
    <w:rsid w:val="1C625023"/>
    <w:rsid w:val="1C6326B9"/>
    <w:rsid w:val="1C643ECD"/>
    <w:rsid w:val="1C64788A"/>
    <w:rsid w:val="1C661E9C"/>
    <w:rsid w:val="1C664CAD"/>
    <w:rsid w:val="1C6719D0"/>
    <w:rsid w:val="1C672639"/>
    <w:rsid w:val="1C6838DC"/>
    <w:rsid w:val="1C685EFD"/>
    <w:rsid w:val="1C6A6E4B"/>
    <w:rsid w:val="1C6F00C6"/>
    <w:rsid w:val="1C6F1D1B"/>
    <w:rsid w:val="1C7134B8"/>
    <w:rsid w:val="1C724519"/>
    <w:rsid w:val="1C736FA4"/>
    <w:rsid w:val="1C737230"/>
    <w:rsid w:val="1C7510DE"/>
    <w:rsid w:val="1C76287C"/>
    <w:rsid w:val="1C782A98"/>
    <w:rsid w:val="1C7A6810"/>
    <w:rsid w:val="1C7B2A39"/>
    <w:rsid w:val="1C7D3C0B"/>
    <w:rsid w:val="1C7F3887"/>
    <w:rsid w:val="1C7F6DFE"/>
    <w:rsid w:val="1C8256C5"/>
    <w:rsid w:val="1C843F95"/>
    <w:rsid w:val="1C8926CB"/>
    <w:rsid w:val="1C8A7260"/>
    <w:rsid w:val="1C8E2CE8"/>
    <w:rsid w:val="1C9043F8"/>
    <w:rsid w:val="1C916200"/>
    <w:rsid w:val="1C917D64"/>
    <w:rsid w:val="1C923918"/>
    <w:rsid w:val="1C93342E"/>
    <w:rsid w:val="1C942153"/>
    <w:rsid w:val="1C96250C"/>
    <w:rsid w:val="1C962F1E"/>
    <w:rsid w:val="1C9630A4"/>
    <w:rsid w:val="1C964CCC"/>
    <w:rsid w:val="1C97330C"/>
    <w:rsid w:val="1C9A3110"/>
    <w:rsid w:val="1C9B0535"/>
    <w:rsid w:val="1C9B0567"/>
    <w:rsid w:val="1C9B0AC0"/>
    <w:rsid w:val="1C9D1DBA"/>
    <w:rsid w:val="1C9E6CDF"/>
    <w:rsid w:val="1CA04E75"/>
    <w:rsid w:val="1CA13D9D"/>
    <w:rsid w:val="1CA4388D"/>
    <w:rsid w:val="1CA43FED"/>
    <w:rsid w:val="1CA53161"/>
    <w:rsid w:val="1CA56926"/>
    <w:rsid w:val="1CA62EB3"/>
    <w:rsid w:val="1CA707BF"/>
    <w:rsid w:val="1CA76EDA"/>
    <w:rsid w:val="1CAA0173"/>
    <w:rsid w:val="1CAA3544"/>
    <w:rsid w:val="1CAA5EE9"/>
    <w:rsid w:val="1CAB4C1C"/>
    <w:rsid w:val="1CAD1AE1"/>
    <w:rsid w:val="1CAD7A87"/>
    <w:rsid w:val="1CB25FAA"/>
    <w:rsid w:val="1CB338D9"/>
    <w:rsid w:val="1CB36908"/>
    <w:rsid w:val="1CB37FA5"/>
    <w:rsid w:val="1CB5606A"/>
    <w:rsid w:val="1CB87339"/>
    <w:rsid w:val="1CBB51D5"/>
    <w:rsid w:val="1CBB5EDD"/>
    <w:rsid w:val="1CBF7301"/>
    <w:rsid w:val="1CC3372C"/>
    <w:rsid w:val="1CC8217B"/>
    <w:rsid w:val="1CC96E50"/>
    <w:rsid w:val="1CCC06EE"/>
    <w:rsid w:val="1CCC2A44"/>
    <w:rsid w:val="1CCE4466"/>
    <w:rsid w:val="1CD03790"/>
    <w:rsid w:val="1CD06B9D"/>
    <w:rsid w:val="1CD35F20"/>
    <w:rsid w:val="1CD87093"/>
    <w:rsid w:val="1CDC5062"/>
    <w:rsid w:val="1CDC6E23"/>
    <w:rsid w:val="1CDD6D9F"/>
    <w:rsid w:val="1CDF02CF"/>
    <w:rsid w:val="1CE05E31"/>
    <w:rsid w:val="1CE1063D"/>
    <w:rsid w:val="1CE41EDC"/>
    <w:rsid w:val="1CE45CCE"/>
    <w:rsid w:val="1CE90655"/>
    <w:rsid w:val="1CE93393"/>
    <w:rsid w:val="1CE95744"/>
    <w:rsid w:val="1CEB14BC"/>
    <w:rsid w:val="1CF00444"/>
    <w:rsid w:val="1CF04C7C"/>
    <w:rsid w:val="1CF13015"/>
    <w:rsid w:val="1CF33ECD"/>
    <w:rsid w:val="1CF94725"/>
    <w:rsid w:val="1CFA16FF"/>
    <w:rsid w:val="1CFB061C"/>
    <w:rsid w:val="1CFD070F"/>
    <w:rsid w:val="1CFD4C6D"/>
    <w:rsid w:val="1CFD4D4B"/>
    <w:rsid w:val="1CFF1337"/>
    <w:rsid w:val="1D091A88"/>
    <w:rsid w:val="1D0B1CD5"/>
    <w:rsid w:val="1D0E0A79"/>
    <w:rsid w:val="1D1125A5"/>
    <w:rsid w:val="1D143F49"/>
    <w:rsid w:val="1D1502E7"/>
    <w:rsid w:val="1D1671DE"/>
    <w:rsid w:val="1D173DDA"/>
    <w:rsid w:val="1D185B35"/>
    <w:rsid w:val="1D190711"/>
    <w:rsid w:val="1D1A3B4F"/>
    <w:rsid w:val="1D1C5902"/>
    <w:rsid w:val="1D1D719C"/>
    <w:rsid w:val="1D1E36F3"/>
    <w:rsid w:val="1D2247B2"/>
    <w:rsid w:val="1D24677C"/>
    <w:rsid w:val="1D26331A"/>
    <w:rsid w:val="1D2837A8"/>
    <w:rsid w:val="1D293D92"/>
    <w:rsid w:val="1D2A43F7"/>
    <w:rsid w:val="1D2B18B9"/>
    <w:rsid w:val="1D2D5631"/>
    <w:rsid w:val="1D303373"/>
    <w:rsid w:val="1D312BE6"/>
    <w:rsid w:val="1D322C47"/>
    <w:rsid w:val="1D33076D"/>
    <w:rsid w:val="1D3429E0"/>
    <w:rsid w:val="1D3441F3"/>
    <w:rsid w:val="1D387419"/>
    <w:rsid w:val="1D3B4890"/>
    <w:rsid w:val="1D3C54E7"/>
    <w:rsid w:val="1D3C5874"/>
    <w:rsid w:val="1D3D36DF"/>
    <w:rsid w:val="1D3E15EC"/>
    <w:rsid w:val="1D425EBC"/>
    <w:rsid w:val="1D437C0D"/>
    <w:rsid w:val="1D44297A"/>
    <w:rsid w:val="1D491D3F"/>
    <w:rsid w:val="1D497B99"/>
    <w:rsid w:val="1D4B3D09"/>
    <w:rsid w:val="1D4C2241"/>
    <w:rsid w:val="1D4E1BDE"/>
    <w:rsid w:val="1D4E30E0"/>
    <w:rsid w:val="1D4F4C41"/>
    <w:rsid w:val="1D5030CD"/>
    <w:rsid w:val="1D5321A9"/>
    <w:rsid w:val="1D5801D4"/>
    <w:rsid w:val="1D5A463C"/>
    <w:rsid w:val="1D5F6196"/>
    <w:rsid w:val="1D6132A5"/>
    <w:rsid w:val="1D614C1E"/>
    <w:rsid w:val="1D632E00"/>
    <w:rsid w:val="1D67720C"/>
    <w:rsid w:val="1D682B0D"/>
    <w:rsid w:val="1D687C86"/>
    <w:rsid w:val="1D6911CF"/>
    <w:rsid w:val="1D6927AB"/>
    <w:rsid w:val="1D6B43AB"/>
    <w:rsid w:val="1D6C2A09"/>
    <w:rsid w:val="1D6C6AF4"/>
    <w:rsid w:val="1D6E134B"/>
    <w:rsid w:val="1D6E7AAB"/>
    <w:rsid w:val="1D6F2FF8"/>
    <w:rsid w:val="1D7019C1"/>
    <w:rsid w:val="1D725739"/>
    <w:rsid w:val="1D76522A"/>
    <w:rsid w:val="1D790876"/>
    <w:rsid w:val="1D793EF4"/>
    <w:rsid w:val="1D7A293C"/>
    <w:rsid w:val="1D7E4AF6"/>
    <w:rsid w:val="1D7F39B2"/>
    <w:rsid w:val="1D804168"/>
    <w:rsid w:val="1D81190C"/>
    <w:rsid w:val="1D851A78"/>
    <w:rsid w:val="1D85546D"/>
    <w:rsid w:val="1D8A1128"/>
    <w:rsid w:val="1D8B72D4"/>
    <w:rsid w:val="1D8D2573"/>
    <w:rsid w:val="1D8D60CF"/>
    <w:rsid w:val="1D8E56D5"/>
    <w:rsid w:val="1D8F0099"/>
    <w:rsid w:val="1D90796E"/>
    <w:rsid w:val="1D9236E6"/>
    <w:rsid w:val="1D925CFF"/>
    <w:rsid w:val="1D967931"/>
    <w:rsid w:val="1D985909"/>
    <w:rsid w:val="1D994A74"/>
    <w:rsid w:val="1D995349"/>
    <w:rsid w:val="1D9C4564"/>
    <w:rsid w:val="1D9E652E"/>
    <w:rsid w:val="1D9F4B4C"/>
    <w:rsid w:val="1DA122FD"/>
    <w:rsid w:val="1DA17DCD"/>
    <w:rsid w:val="1DA33B45"/>
    <w:rsid w:val="1DA67191"/>
    <w:rsid w:val="1DA776A0"/>
    <w:rsid w:val="1DAE2D0C"/>
    <w:rsid w:val="1DAF6371"/>
    <w:rsid w:val="1DB00010"/>
    <w:rsid w:val="1DB21FDA"/>
    <w:rsid w:val="1DB45709"/>
    <w:rsid w:val="1DB75092"/>
    <w:rsid w:val="1DB7754F"/>
    <w:rsid w:val="1DB84A87"/>
    <w:rsid w:val="1DB91C37"/>
    <w:rsid w:val="1DBF7109"/>
    <w:rsid w:val="1DC05FDD"/>
    <w:rsid w:val="1DC15D79"/>
    <w:rsid w:val="1DC3418A"/>
    <w:rsid w:val="1DC3491C"/>
    <w:rsid w:val="1DC52A30"/>
    <w:rsid w:val="1DC6339A"/>
    <w:rsid w:val="1DC75A85"/>
    <w:rsid w:val="1DC835AB"/>
    <w:rsid w:val="1DC85359"/>
    <w:rsid w:val="1DCA10D2"/>
    <w:rsid w:val="1DCB4E4A"/>
    <w:rsid w:val="1DCB4F6F"/>
    <w:rsid w:val="1DCC1AFC"/>
    <w:rsid w:val="1DCF493A"/>
    <w:rsid w:val="1DD261D8"/>
    <w:rsid w:val="1DD45AAC"/>
    <w:rsid w:val="1DD5007E"/>
    <w:rsid w:val="1DD6053A"/>
    <w:rsid w:val="1DD618AA"/>
    <w:rsid w:val="1DD726C7"/>
    <w:rsid w:val="1DDA4851"/>
    <w:rsid w:val="1DDA52C0"/>
    <w:rsid w:val="1DDC2BB3"/>
    <w:rsid w:val="1DDD4649"/>
    <w:rsid w:val="1DE27252"/>
    <w:rsid w:val="1DE32193"/>
    <w:rsid w:val="1DE43BB6"/>
    <w:rsid w:val="1DE46AA5"/>
    <w:rsid w:val="1DE51620"/>
    <w:rsid w:val="1DE55F0B"/>
    <w:rsid w:val="1DE83FDC"/>
    <w:rsid w:val="1DE95ADE"/>
    <w:rsid w:val="1DEA4577"/>
    <w:rsid w:val="1DEA486A"/>
    <w:rsid w:val="1DEC54EC"/>
    <w:rsid w:val="1DEC729A"/>
    <w:rsid w:val="1DED77AD"/>
    <w:rsid w:val="1DF20628"/>
    <w:rsid w:val="1DF26DDC"/>
    <w:rsid w:val="1DF3687A"/>
    <w:rsid w:val="1DF60118"/>
    <w:rsid w:val="1DF65F1C"/>
    <w:rsid w:val="1DF90A8F"/>
    <w:rsid w:val="1DF90FDC"/>
    <w:rsid w:val="1DF919B7"/>
    <w:rsid w:val="1DFA67DA"/>
    <w:rsid w:val="1DFB1313"/>
    <w:rsid w:val="1DFC5003"/>
    <w:rsid w:val="1DFC6257"/>
    <w:rsid w:val="1DFC762E"/>
    <w:rsid w:val="1DFE1E76"/>
    <w:rsid w:val="1E026FE7"/>
    <w:rsid w:val="1E032835"/>
    <w:rsid w:val="1E0345E3"/>
    <w:rsid w:val="1E05210A"/>
    <w:rsid w:val="1E0841A9"/>
    <w:rsid w:val="1E087E4C"/>
    <w:rsid w:val="1E0B5246"/>
    <w:rsid w:val="1E0D7210"/>
    <w:rsid w:val="1E0E55AD"/>
    <w:rsid w:val="1E0E593A"/>
    <w:rsid w:val="1E106D28"/>
    <w:rsid w:val="1E1265D5"/>
    <w:rsid w:val="1E126A33"/>
    <w:rsid w:val="1E141EBA"/>
    <w:rsid w:val="1E150636"/>
    <w:rsid w:val="1E151191"/>
    <w:rsid w:val="1E151DDA"/>
    <w:rsid w:val="1E171E3D"/>
    <w:rsid w:val="1E18008F"/>
    <w:rsid w:val="1E181231"/>
    <w:rsid w:val="1E1B7B7F"/>
    <w:rsid w:val="1E1F0017"/>
    <w:rsid w:val="1E1F09F2"/>
    <w:rsid w:val="1E225689"/>
    <w:rsid w:val="1E262E23"/>
    <w:rsid w:val="1E283262"/>
    <w:rsid w:val="1E28404A"/>
    <w:rsid w:val="1E2A3231"/>
    <w:rsid w:val="1E2A6014"/>
    <w:rsid w:val="1E2B1334"/>
    <w:rsid w:val="1E2C58E8"/>
    <w:rsid w:val="1E2D6C02"/>
    <w:rsid w:val="1E2E2D35"/>
    <w:rsid w:val="1E2F7187"/>
    <w:rsid w:val="1E320949"/>
    <w:rsid w:val="1E34479D"/>
    <w:rsid w:val="1E34675E"/>
    <w:rsid w:val="1E35462D"/>
    <w:rsid w:val="1E35762A"/>
    <w:rsid w:val="1E357683"/>
    <w:rsid w:val="1E3649B9"/>
    <w:rsid w:val="1E3B2491"/>
    <w:rsid w:val="1E3D6B80"/>
    <w:rsid w:val="1E401394"/>
    <w:rsid w:val="1E403142"/>
    <w:rsid w:val="1E406160"/>
    <w:rsid w:val="1E431A43"/>
    <w:rsid w:val="1E4600EF"/>
    <w:rsid w:val="1E496C6E"/>
    <w:rsid w:val="1E497904"/>
    <w:rsid w:val="1E4A3FC0"/>
    <w:rsid w:val="1E4C04A4"/>
    <w:rsid w:val="1E521E5C"/>
    <w:rsid w:val="1E577144"/>
    <w:rsid w:val="1E583A6C"/>
    <w:rsid w:val="1E592455"/>
    <w:rsid w:val="1E596D23"/>
    <w:rsid w:val="1E5B61CE"/>
    <w:rsid w:val="1E5B7F7C"/>
    <w:rsid w:val="1E5D79F0"/>
    <w:rsid w:val="1E5E181A"/>
    <w:rsid w:val="1E5E2438"/>
    <w:rsid w:val="1E601A36"/>
    <w:rsid w:val="1E617294"/>
    <w:rsid w:val="1E635082"/>
    <w:rsid w:val="1E636E30"/>
    <w:rsid w:val="1E6431DD"/>
    <w:rsid w:val="1E644CF8"/>
    <w:rsid w:val="1E676920"/>
    <w:rsid w:val="1E677B8F"/>
    <w:rsid w:val="1E692697"/>
    <w:rsid w:val="1E696B3C"/>
    <w:rsid w:val="1E6A6411"/>
    <w:rsid w:val="1E6B40F2"/>
    <w:rsid w:val="1E6C2840"/>
    <w:rsid w:val="1E6E0BE1"/>
    <w:rsid w:val="1E700CF5"/>
    <w:rsid w:val="1E702999"/>
    <w:rsid w:val="1E713253"/>
    <w:rsid w:val="1E731769"/>
    <w:rsid w:val="1E73629B"/>
    <w:rsid w:val="1E7528FA"/>
    <w:rsid w:val="1E761259"/>
    <w:rsid w:val="1E7617B9"/>
    <w:rsid w:val="1E770411"/>
    <w:rsid w:val="1E786D7F"/>
    <w:rsid w:val="1E7A2231"/>
    <w:rsid w:val="1E7A2AF8"/>
    <w:rsid w:val="1E7A43DA"/>
    <w:rsid w:val="1E7B315B"/>
    <w:rsid w:val="1E7D7EF2"/>
    <w:rsid w:val="1E7F01D5"/>
    <w:rsid w:val="1E7F66E8"/>
    <w:rsid w:val="1E801FD6"/>
    <w:rsid w:val="1E845724"/>
    <w:rsid w:val="1E854569"/>
    <w:rsid w:val="1E8A0861"/>
    <w:rsid w:val="1E8A2563"/>
    <w:rsid w:val="1E8F51B8"/>
    <w:rsid w:val="1E91399D"/>
    <w:rsid w:val="1E917E41"/>
    <w:rsid w:val="1E9320A8"/>
    <w:rsid w:val="1E966C19"/>
    <w:rsid w:val="1E986F3B"/>
    <w:rsid w:val="1E9A6CF6"/>
    <w:rsid w:val="1E9B0CC0"/>
    <w:rsid w:val="1E9E60BA"/>
    <w:rsid w:val="1E9F255E"/>
    <w:rsid w:val="1EA03936"/>
    <w:rsid w:val="1EA23DFC"/>
    <w:rsid w:val="1EA27503"/>
    <w:rsid w:val="1EA638ED"/>
    <w:rsid w:val="1EA83DA3"/>
    <w:rsid w:val="1EA917EC"/>
    <w:rsid w:val="1EAE27A1"/>
    <w:rsid w:val="1EAF2384"/>
    <w:rsid w:val="1EB06519"/>
    <w:rsid w:val="1EB32214"/>
    <w:rsid w:val="1EB41214"/>
    <w:rsid w:val="1EB63404"/>
    <w:rsid w:val="1EB853CE"/>
    <w:rsid w:val="1EBA1146"/>
    <w:rsid w:val="1EBB44D8"/>
    <w:rsid w:val="1EBF050A"/>
    <w:rsid w:val="1EC12278"/>
    <w:rsid w:val="1EC34A5C"/>
    <w:rsid w:val="1EC43D73"/>
    <w:rsid w:val="1EC45B21"/>
    <w:rsid w:val="1ECA35DD"/>
    <w:rsid w:val="1ECB5101"/>
    <w:rsid w:val="1ECC2C27"/>
    <w:rsid w:val="1ECC70CB"/>
    <w:rsid w:val="1ECE2E43"/>
    <w:rsid w:val="1ED02718"/>
    <w:rsid w:val="1ED1023E"/>
    <w:rsid w:val="1ED470A1"/>
    <w:rsid w:val="1ED52987"/>
    <w:rsid w:val="1ED53801"/>
    <w:rsid w:val="1ED57D2E"/>
    <w:rsid w:val="1EDA5344"/>
    <w:rsid w:val="1EDF6DFF"/>
    <w:rsid w:val="1EE125FE"/>
    <w:rsid w:val="1EE17239"/>
    <w:rsid w:val="1EE2069D"/>
    <w:rsid w:val="1EE22423"/>
    <w:rsid w:val="1EE32181"/>
    <w:rsid w:val="1EE461C3"/>
    <w:rsid w:val="1EE5322F"/>
    <w:rsid w:val="1EE53CE9"/>
    <w:rsid w:val="1EE83214"/>
    <w:rsid w:val="1EEA12FF"/>
    <w:rsid w:val="1EEB7551"/>
    <w:rsid w:val="1EEC5078"/>
    <w:rsid w:val="1EF009BC"/>
    <w:rsid w:val="1EF02233"/>
    <w:rsid w:val="1EF108E0"/>
    <w:rsid w:val="1EF526EC"/>
    <w:rsid w:val="1EFB1C1F"/>
    <w:rsid w:val="1EFE7882"/>
    <w:rsid w:val="1EFF4DAB"/>
    <w:rsid w:val="1F013D5C"/>
    <w:rsid w:val="1F0423C1"/>
    <w:rsid w:val="1F077A8B"/>
    <w:rsid w:val="1F096531"/>
    <w:rsid w:val="1F0B7BF4"/>
    <w:rsid w:val="1F0C571A"/>
    <w:rsid w:val="1F0D04BB"/>
    <w:rsid w:val="1F0E3240"/>
    <w:rsid w:val="1F0F5E9E"/>
    <w:rsid w:val="1F100D66"/>
    <w:rsid w:val="1F101E80"/>
    <w:rsid w:val="1F1153A7"/>
    <w:rsid w:val="1F134CFA"/>
    <w:rsid w:val="1F137535"/>
    <w:rsid w:val="1F170346"/>
    <w:rsid w:val="1F175BE1"/>
    <w:rsid w:val="1F185E6D"/>
    <w:rsid w:val="1F1B4ACC"/>
    <w:rsid w:val="1F1C3BAF"/>
    <w:rsid w:val="1F1C5CCF"/>
    <w:rsid w:val="1F220A99"/>
    <w:rsid w:val="1F253549"/>
    <w:rsid w:val="1F2667DB"/>
    <w:rsid w:val="1F2B1A26"/>
    <w:rsid w:val="1F2E287D"/>
    <w:rsid w:val="1F2E4862"/>
    <w:rsid w:val="1F2E5F36"/>
    <w:rsid w:val="1F2E743E"/>
    <w:rsid w:val="1F2F72FC"/>
    <w:rsid w:val="1F301408"/>
    <w:rsid w:val="1F304B40"/>
    <w:rsid w:val="1F31660C"/>
    <w:rsid w:val="1F32224A"/>
    <w:rsid w:val="1F3347CC"/>
    <w:rsid w:val="1F341D2C"/>
    <w:rsid w:val="1F3802BD"/>
    <w:rsid w:val="1F3A4035"/>
    <w:rsid w:val="1F3D33EE"/>
    <w:rsid w:val="1F3D3B25"/>
    <w:rsid w:val="1F3F56A7"/>
    <w:rsid w:val="1F414A7D"/>
    <w:rsid w:val="1F4161F7"/>
    <w:rsid w:val="1F416751"/>
    <w:rsid w:val="1F452862"/>
    <w:rsid w:val="1F4935E3"/>
    <w:rsid w:val="1F49419A"/>
    <w:rsid w:val="1F4B3D6C"/>
    <w:rsid w:val="1F4C22C9"/>
    <w:rsid w:val="1F4D1FBA"/>
    <w:rsid w:val="1F4E2D3C"/>
    <w:rsid w:val="1F533349"/>
    <w:rsid w:val="1F5570C1"/>
    <w:rsid w:val="1F567166"/>
    <w:rsid w:val="1F585029"/>
    <w:rsid w:val="1F5B7668"/>
    <w:rsid w:val="1F5C21FD"/>
    <w:rsid w:val="1F602B3B"/>
    <w:rsid w:val="1F61604A"/>
    <w:rsid w:val="1F662D0B"/>
    <w:rsid w:val="1F692E10"/>
    <w:rsid w:val="1F6A0705"/>
    <w:rsid w:val="1F6B0E21"/>
    <w:rsid w:val="1F6B1723"/>
    <w:rsid w:val="1F6B2440"/>
    <w:rsid w:val="1F6B41EE"/>
    <w:rsid w:val="1F6B6630"/>
    <w:rsid w:val="1F6C010F"/>
    <w:rsid w:val="1F6E33A5"/>
    <w:rsid w:val="1F6E3CDF"/>
    <w:rsid w:val="1F721A21"/>
    <w:rsid w:val="1F72557D"/>
    <w:rsid w:val="1F72763E"/>
    <w:rsid w:val="1F736607"/>
    <w:rsid w:val="1F737547"/>
    <w:rsid w:val="1F7402AD"/>
    <w:rsid w:val="1F751511"/>
    <w:rsid w:val="1F775840"/>
    <w:rsid w:val="1F784B5D"/>
    <w:rsid w:val="1F792DAF"/>
    <w:rsid w:val="1F7F5EEC"/>
    <w:rsid w:val="1F804AF5"/>
    <w:rsid w:val="1F815CBB"/>
    <w:rsid w:val="1F8319D3"/>
    <w:rsid w:val="1F8452B0"/>
    <w:rsid w:val="1F861028"/>
    <w:rsid w:val="1F86727A"/>
    <w:rsid w:val="1F8B2AE2"/>
    <w:rsid w:val="1F903C55"/>
    <w:rsid w:val="1F90593D"/>
    <w:rsid w:val="1F925C1F"/>
    <w:rsid w:val="1F9325A8"/>
    <w:rsid w:val="1F933745"/>
    <w:rsid w:val="1F9359D8"/>
    <w:rsid w:val="1F941997"/>
    <w:rsid w:val="1F947BE9"/>
    <w:rsid w:val="1F973C7B"/>
    <w:rsid w:val="1F985EC1"/>
    <w:rsid w:val="1F9862E1"/>
    <w:rsid w:val="1F993599"/>
    <w:rsid w:val="1F9951FF"/>
    <w:rsid w:val="1F9D164D"/>
    <w:rsid w:val="1FA12F0E"/>
    <w:rsid w:val="1FA2506E"/>
    <w:rsid w:val="1FA505FD"/>
    <w:rsid w:val="1FA53BA4"/>
    <w:rsid w:val="1FAD4807"/>
    <w:rsid w:val="1FB02549"/>
    <w:rsid w:val="1FB36F38"/>
    <w:rsid w:val="1FB42039"/>
    <w:rsid w:val="1FB5190D"/>
    <w:rsid w:val="1FB73848"/>
    <w:rsid w:val="1FB7561B"/>
    <w:rsid w:val="1FBB0D25"/>
    <w:rsid w:val="1FBB33C8"/>
    <w:rsid w:val="1FBD0E0F"/>
    <w:rsid w:val="1FBD7BDA"/>
    <w:rsid w:val="1FBF326E"/>
    <w:rsid w:val="1FC31344"/>
    <w:rsid w:val="1FC55FF4"/>
    <w:rsid w:val="1FC63B1B"/>
    <w:rsid w:val="1FC865E4"/>
    <w:rsid w:val="1FC87893"/>
    <w:rsid w:val="1FC92F51"/>
    <w:rsid w:val="1FCA4815"/>
    <w:rsid w:val="1FCD6C57"/>
    <w:rsid w:val="1FCD7D23"/>
    <w:rsid w:val="1FCF0C21"/>
    <w:rsid w:val="1FCF792A"/>
    <w:rsid w:val="1FD06747"/>
    <w:rsid w:val="1FD421E6"/>
    <w:rsid w:val="1FD61FB0"/>
    <w:rsid w:val="1FD66C0C"/>
    <w:rsid w:val="1FD70807"/>
    <w:rsid w:val="1FD76FFD"/>
    <w:rsid w:val="1FD9384E"/>
    <w:rsid w:val="1FDB6D57"/>
    <w:rsid w:val="1FDC6E9A"/>
    <w:rsid w:val="1FDE0E64"/>
    <w:rsid w:val="1FE30229"/>
    <w:rsid w:val="1FE302D9"/>
    <w:rsid w:val="1FE31210"/>
    <w:rsid w:val="1FE31C5D"/>
    <w:rsid w:val="1FE401A8"/>
    <w:rsid w:val="1FE551C8"/>
    <w:rsid w:val="1FE65F6B"/>
    <w:rsid w:val="1FE7539E"/>
    <w:rsid w:val="1FE77543"/>
    <w:rsid w:val="1FE96D14"/>
    <w:rsid w:val="1FEA7809"/>
    <w:rsid w:val="1FEB532F"/>
    <w:rsid w:val="1FEB65E8"/>
    <w:rsid w:val="1FED1F04"/>
    <w:rsid w:val="1FEE5E44"/>
    <w:rsid w:val="1FF00B97"/>
    <w:rsid w:val="1FF148FF"/>
    <w:rsid w:val="1FF206FA"/>
    <w:rsid w:val="1FF22C5F"/>
    <w:rsid w:val="1FF24910"/>
    <w:rsid w:val="1FF358F4"/>
    <w:rsid w:val="1FF45D1C"/>
    <w:rsid w:val="1FF8609F"/>
    <w:rsid w:val="1FF95C9E"/>
    <w:rsid w:val="1FFA0160"/>
    <w:rsid w:val="1FFD4988"/>
    <w:rsid w:val="1FFE0FA4"/>
    <w:rsid w:val="20016901"/>
    <w:rsid w:val="200321A3"/>
    <w:rsid w:val="20032679"/>
    <w:rsid w:val="200563F1"/>
    <w:rsid w:val="20071E37"/>
    <w:rsid w:val="20084133"/>
    <w:rsid w:val="2009125F"/>
    <w:rsid w:val="20093189"/>
    <w:rsid w:val="200A09E3"/>
    <w:rsid w:val="200C59D1"/>
    <w:rsid w:val="200C68AA"/>
    <w:rsid w:val="200D34F7"/>
    <w:rsid w:val="200D71B8"/>
    <w:rsid w:val="200E6CEC"/>
    <w:rsid w:val="200E6E26"/>
    <w:rsid w:val="200F54C2"/>
    <w:rsid w:val="200F56D3"/>
    <w:rsid w:val="20103995"/>
    <w:rsid w:val="20112FE8"/>
    <w:rsid w:val="201725C8"/>
    <w:rsid w:val="20176C1F"/>
    <w:rsid w:val="201904E2"/>
    <w:rsid w:val="201B4617"/>
    <w:rsid w:val="201D6810"/>
    <w:rsid w:val="20203025"/>
    <w:rsid w:val="20216FA3"/>
    <w:rsid w:val="20256A93"/>
    <w:rsid w:val="202645B9"/>
    <w:rsid w:val="20264E43"/>
    <w:rsid w:val="202919D8"/>
    <w:rsid w:val="202D0540"/>
    <w:rsid w:val="202D1F21"/>
    <w:rsid w:val="202E57FA"/>
    <w:rsid w:val="2031368A"/>
    <w:rsid w:val="20327F92"/>
    <w:rsid w:val="20337402"/>
    <w:rsid w:val="20345DAC"/>
    <w:rsid w:val="20366406"/>
    <w:rsid w:val="203767C6"/>
    <w:rsid w:val="2038149E"/>
    <w:rsid w:val="20384A18"/>
    <w:rsid w:val="20385C8C"/>
    <w:rsid w:val="2039253E"/>
    <w:rsid w:val="203E71A1"/>
    <w:rsid w:val="203F0479"/>
    <w:rsid w:val="20412C9D"/>
    <w:rsid w:val="20443922"/>
    <w:rsid w:val="20457135"/>
    <w:rsid w:val="204607B7"/>
    <w:rsid w:val="20483938"/>
    <w:rsid w:val="20497651"/>
    <w:rsid w:val="204B441F"/>
    <w:rsid w:val="204D50CA"/>
    <w:rsid w:val="204D7D98"/>
    <w:rsid w:val="204F7F08"/>
    <w:rsid w:val="20505AC4"/>
    <w:rsid w:val="2050758F"/>
    <w:rsid w:val="205125DC"/>
    <w:rsid w:val="20517888"/>
    <w:rsid w:val="20525C14"/>
    <w:rsid w:val="20542ED4"/>
    <w:rsid w:val="205526E0"/>
    <w:rsid w:val="20571A18"/>
    <w:rsid w:val="20586A23"/>
    <w:rsid w:val="205B0707"/>
    <w:rsid w:val="205B7E0E"/>
    <w:rsid w:val="205F2E5C"/>
    <w:rsid w:val="20614BE1"/>
    <w:rsid w:val="206155F1"/>
    <w:rsid w:val="2062771C"/>
    <w:rsid w:val="206375BB"/>
    <w:rsid w:val="2064675E"/>
    <w:rsid w:val="20671BE0"/>
    <w:rsid w:val="206754FA"/>
    <w:rsid w:val="20686980"/>
    <w:rsid w:val="206A094A"/>
    <w:rsid w:val="206C00CA"/>
    <w:rsid w:val="206D21E8"/>
    <w:rsid w:val="206D3CD0"/>
    <w:rsid w:val="206F7D0E"/>
    <w:rsid w:val="207215AC"/>
    <w:rsid w:val="2074471D"/>
    <w:rsid w:val="2074685C"/>
    <w:rsid w:val="2076109D"/>
    <w:rsid w:val="207673DB"/>
    <w:rsid w:val="20780513"/>
    <w:rsid w:val="20782685"/>
    <w:rsid w:val="20783067"/>
    <w:rsid w:val="20784E15"/>
    <w:rsid w:val="207A3724"/>
    <w:rsid w:val="207E43F5"/>
    <w:rsid w:val="208048FB"/>
    <w:rsid w:val="208270BF"/>
    <w:rsid w:val="208517A2"/>
    <w:rsid w:val="208534A4"/>
    <w:rsid w:val="20855784"/>
    <w:rsid w:val="208C08C0"/>
    <w:rsid w:val="208C266E"/>
    <w:rsid w:val="208F03B0"/>
    <w:rsid w:val="208F20F8"/>
    <w:rsid w:val="20937EA1"/>
    <w:rsid w:val="20943018"/>
    <w:rsid w:val="20963CB8"/>
    <w:rsid w:val="2096517D"/>
    <w:rsid w:val="20987265"/>
    <w:rsid w:val="209E4357"/>
    <w:rsid w:val="20A07046"/>
    <w:rsid w:val="20A200E4"/>
    <w:rsid w:val="20A274A9"/>
    <w:rsid w:val="20A43E5C"/>
    <w:rsid w:val="20A81A1B"/>
    <w:rsid w:val="20A91472"/>
    <w:rsid w:val="20AA58CA"/>
    <w:rsid w:val="20AA62CB"/>
    <w:rsid w:val="20AB37E4"/>
    <w:rsid w:val="20AC0F62"/>
    <w:rsid w:val="20AC1D0E"/>
    <w:rsid w:val="20AD15F7"/>
    <w:rsid w:val="20AD37E4"/>
    <w:rsid w:val="20B04A06"/>
    <w:rsid w:val="20B07FB6"/>
    <w:rsid w:val="20B35E4D"/>
    <w:rsid w:val="20B646FB"/>
    <w:rsid w:val="20B971DB"/>
    <w:rsid w:val="20BB73F7"/>
    <w:rsid w:val="20C53DD2"/>
    <w:rsid w:val="20C70FFA"/>
    <w:rsid w:val="20CA58B5"/>
    <w:rsid w:val="20CB61DD"/>
    <w:rsid w:val="20CC6F0F"/>
    <w:rsid w:val="20CF4C51"/>
    <w:rsid w:val="20D3029D"/>
    <w:rsid w:val="20D64231"/>
    <w:rsid w:val="20D84460"/>
    <w:rsid w:val="20DA5ACF"/>
    <w:rsid w:val="20DB1848"/>
    <w:rsid w:val="20DB35F6"/>
    <w:rsid w:val="20DD111C"/>
    <w:rsid w:val="20DD1808"/>
    <w:rsid w:val="20DD55C0"/>
    <w:rsid w:val="20DF49CF"/>
    <w:rsid w:val="20E029BA"/>
    <w:rsid w:val="20E06E5E"/>
    <w:rsid w:val="20E13692"/>
    <w:rsid w:val="20E23FBF"/>
    <w:rsid w:val="20E40F93"/>
    <w:rsid w:val="20E6614E"/>
    <w:rsid w:val="20E73D48"/>
    <w:rsid w:val="20E879CA"/>
    <w:rsid w:val="20E95D13"/>
    <w:rsid w:val="20EB12FF"/>
    <w:rsid w:val="20ED405B"/>
    <w:rsid w:val="20EE157B"/>
    <w:rsid w:val="20EE60A5"/>
    <w:rsid w:val="20EF2BFD"/>
    <w:rsid w:val="20F05225"/>
    <w:rsid w:val="20F052F3"/>
    <w:rsid w:val="20F1283F"/>
    <w:rsid w:val="20F14BC7"/>
    <w:rsid w:val="20F326ED"/>
    <w:rsid w:val="20F36B91"/>
    <w:rsid w:val="20F52909"/>
    <w:rsid w:val="20F727E3"/>
    <w:rsid w:val="20F947DD"/>
    <w:rsid w:val="20FD356C"/>
    <w:rsid w:val="20FD4325"/>
    <w:rsid w:val="21000B43"/>
    <w:rsid w:val="210015FE"/>
    <w:rsid w:val="210138C9"/>
    <w:rsid w:val="21022930"/>
    <w:rsid w:val="21032931"/>
    <w:rsid w:val="21035A46"/>
    <w:rsid w:val="21052421"/>
    <w:rsid w:val="21081A89"/>
    <w:rsid w:val="210C036B"/>
    <w:rsid w:val="210E4B7A"/>
    <w:rsid w:val="21130FE1"/>
    <w:rsid w:val="21131D68"/>
    <w:rsid w:val="21146EED"/>
    <w:rsid w:val="2115553D"/>
    <w:rsid w:val="21162880"/>
    <w:rsid w:val="2116462E"/>
    <w:rsid w:val="211D3C0E"/>
    <w:rsid w:val="211F34E2"/>
    <w:rsid w:val="2122040A"/>
    <w:rsid w:val="21267CC9"/>
    <w:rsid w:val="212705E9"/>
    <w:rsid w:val="21291ABE"/>
    <w:rsid w:val="21294361"/>
    <w:rsid w:val="212A108E"/>
    <w:rsid w:val="212B4589"/>
    <w:rsid w:val="212C5BFF"/>
    <w:rsid w:val="212D3743"/>
    <w:rsid w:val="212E313C"/>
    <w:rsid w:val="212E4D36"/>
    <w:rsid w:val="213276BA"/>
    <w:rsid w:val="21333432"/>
    <w:rsid w:val="21336F8E"/>
    <w:rsid w:val="213A031C"/>
    <w:rsid w:val="213B74B1"/>
    <w:rsid w:val="213D4705"/>
    <w:rsid w:val="2141131A"/>
    <w:rsid w:val="21411D7E"/>
    <w:rsid w:val="21416BC2"/>
    <w:rsid w:val="21423675"/>
    <w:rsid w:val="214271D1"/>
    <w:rsid w:val="21437F8D"/>
    <w:rsid w:val="2144119B"/>
    <w:rsid w:val="2149055F"/>
    <w:rsid w:val="21497B49"/>
    <w:rsid w:val="214A6A99"/>
    <w:rsid w:val="214B034B"/>
    <w:rsid w:val="214B3E29"/>
    <w:rsid w:val="214D039D"/>
    <w:rsid w:val="214F7A7A"/>
    <w:rsid w:val="21502829"/>
    <w:rsid w:val="21507B40"/>
    <w:rsid w:val="21515840"/>
    <w:rsid w:val="2154306A"/>
    <w:rsid w:val="21560215"/>
    <w:rsid w:val="215A2310"/>
    <w:rsid w:val="215A2CC3"/>
    <w:rsid w:val="215A6C10"/>
    <w:rsid w:val="215B0293"/>
    <w:rsid w:val="21613AFB"/>
    <w:rsid w:val="21630B8A"/>
    <w:rsid w:val="21633CF6"/>
    <w:rsid w:val="21653991"/>
    <w:rsid w:val="216655B5"/>
    <w:rsid w:val="21674E89"/>
    <w:rsid w:val="216929AF"/>
    <w:rsid w:val="216B6241"/>
    <w:rsid w:val="216D06F2"/>
    <w:rsid w:val="216F2565"/>
    <w:rsid w:val="216F2AE5"/>
    <w:rsid w:val="216F6686"/>
    <w:rsid w:val="21722E7F"/>
    <w:rsid w:val="21733A6B"/>
    <w:rsid w:val="217355DC"/>
    <w:rsid w:val="2175485B"/>
    <w:rsid w:val="217750CC"/>
    <w:rsid w:val="21780E44"/>
    <w:rsid w:val="217832BA"/>
    <w:rsid w:val="217A4BBD"/>
    <w:rsid w:val="217B0D84"/>
    <w:rsid w:val="217C285F"/>
    <w:rsid w:val="217C34DD"/>
    <w:rsid w:val="217E0B34"/>
    <w:rsid w:val="21814003"/>
    <w:rsid w:val="21843C8D"/>
    <w:rsid w:val="21845A3B"/>
    <w:rsid w:val="21852C8B"/>
    <w:rsid w:val="218C499A"/>
    <w:rsid w:val="218D48F0"/>
    <w:rsid w:val="2190618E"/>
    <w:rsid w:val="21923D0C"/>
    <w:rsid w:val="21923DCC"/>
    <w:rsid w:val="21935C7E"/>
    <w:rsid w:val="21982A54"/>
    <w:rsid w:val="21982F14"/>
    <w:rsid w:val="21983295"/>
    <w:rsid w:val="219C12DD"/>
    <w:rsid w:val="219C2919"/>
    <w:rsid w:val="219F2875"/>
    <w:rsid w:val="21A11346"/>
    <w:rsid w:val="21A13F50"/>
    <w:rsid w:val="21A25EC1"/>
    <w:rsid w:val="21A310F7"/>
    <w:rsid w:val="21A334B0"/>
    <w:rsid w:val="21A461D4"/>
    <w:rsid w:val="21A47E8B"/>
    <w:rsid w:val="21A954A2"/>
    <w:rsid w:val="21AA36F4"/>
    <w:rsid w:val="21B12DAF"/>
    <w:rsid w:val="21B24356"/>
    <w:rsid w:val="21B24A1E"/>
    <w:rsid w:val="21B57126"/>
    <w:rsid w:val="21B8113C"/>
    <w:rsid w:val="21BC27D6"/>
    <w:rsid w:val="21BE7A69"/>
    <w:rsid w:val="21C130EA"/>
    <w:rsid w:val="21C14D8C"/>
    <w:rsid w:val="21C30312"/>
    <w:rsid w:val="21C347B6"/>
    <w:rsid w:val="21C57800"/>
    <w:rsid w:val="21C64BB5"/>
    <w:rsid w:val="21C72F1A"/>
    <w:rsid w:val="21CA017A"/>
    <w:rsid w:val="21CE5EBB"/>
    <w:rsid w:val="21CF7FA8"/>
    <w:rsid w:val="21D00C81"/>
    <w:rsid w:val="21D249F9"/>
    <w:rsid w:val="21D34E7A"/>
    <w:rsid w:val="21D4382B"/>
    <w:rsid w:val="21D544E9"/>
    <w:rsid w:val="21D56297"/>
    <w:rsid w:val="21D56521"/>
    <w:rsid w:val="21D72FC1"/>
    <w:rsid w:val="21D73DBD"/>
    <w:rsid w:val="21D77C43"/>
    <w:rsid w:val="21DA565B"/>
    <w:rsid w:val="21DE318A"/>
    <w:rsid w:val="21DF33F9"/>
    <w:rsid w:val="21E169EA"/>
    <w:rsid w:val="21E604A4"/>
    <w:rsid w:val="21E75740"/>
    <w:rsid w:val="21E8421C"/>
    <w:rsid w:val="21E93AF0"/>
    <w:rsid w:val="21EC483C"/>
    <w:rsid w:val="21EC5231"/>
    <w:rsid w:val="21EE534A"/>
    <w:rsid w:val="21EF5B80"/>
    <w:rsid w:val="21F20BF7"/>
    <w:rsid w:val="21F44EFC"/>
    <w:rsid w:val="21F65D82"/>
    <w:rsid w:val="21F71674"/>
    <w:rsid w:val="21F74EAB"/>
    <w:rsid w:val="21FE57EE"/>
    <w:rsid w:val="22013579"/>
    <w:rsid w:val="22013C48"/>
    <w:rsid w:val="22031056"/>
    <w:rsid w:val="220329F3"/>
    <w:rsid w:val="22034BB2"/>
    <w:rsid w:val="22036AED"/>
    <w:rsid w:val="220529E0"/>
    <w:rsid w:val="220646A2"/>
    <w:rsid w:val="22070986"/>
    <w:rsid w:val="220953C2"/>
    <w:rsid w:val="220A4192"/>
    <w:rsid w:val="220B1CB9"/>
    <w:rsid w:val="220D4920"/>
    <w:rsid w:val="220D77DF"/>
    <w:rsid w:val="220F4647"/>
    <w:rsid w:val="22153396"/>
    <w:rsid w:val="22190834"/>
    <w:rsid w:val="22191EFF"/>
    <w:rsid w:val="22196184"/>
    <w:rsid w:val="221B2362"/>
    <w:rsid w:val="221C2118"/>
    <w:rsid w:val="221C50B3"/>
    <w:rsid w:val="221D134C"/>
    <w:rsid w:val="221D3838"/>
    <w:rsid w:val="221E379A"/>
    <w:rsid w:val="221F3EEA"/>
    <w:rsid w:val="2220769B"/>
    <w:rsid w:val="2226575E"/>
    <w:rsid w:val="22265E5A"/>
    <w:rsid w:val="2229591A"/>
    <w:rsid w:val="222A213F"/>
    <w:rsid w:val="222B547C"/>
    <w:rsid w:val="222D79CD"/>
    <w:rsid w:val="222E5E17"/>
    <w:rsid w:val="222F2EE2"/>
    <w:rsid w:val="222F52B6"/>
    <w:rsid w:val="222F59A7"/>
    <w:rsid w:val="223062C5"/>
    <w:rsid w:val="22333F27"/>
    <w:rsid w:val="22342FBD"/>
    <w:rsid w:val="22364F87"/>
    <w:rsid w:val="22384839"/>
    <w:rsid w:val="223926FE"/>
    <w:rsid w:val="22396826"/>
    <w:rsid w:val="223B0F6C"/>
    <w:rsid w:val="223C1E72"/>
    <w:rsid w:val="223C35FE"/>
    <w:rsid w:val="223F06D7"/>
    <w:rsid w:val="22405E06"/>
    <w:rsid w:val="224156DA"/>
    <w:rsid w:val="224360BB"/>
    <w:rsid w:val="22437026"/>
    <w:rsid w:val="2244516D"/>
    <w:rsid w:val="22461706"/>
    <w:rsid w:val="22482F0D"/>
    <w:rsid w:val="22483543"/>
    <w:rsid w:val="224A27E1"/>
    <w:rsid w:val="224A458F"/>
    <w:rsid w:val="224B0307"/>
    <w:rsid w:val="224D22D1"/>
    <w:rsid w:val="224E6A46"/>
    <w:rsid w:val="22502017"/>
    <w:rsid w:val="225430D9"/>
    <w:rsid w:val="22562908"/>
    <w:rsid w:val="22574EFE"/>
    <w:rsid w:val="22575D2C"/>
    <w:rsid w:val="22576990"/>
    <w:rsid w:val="22585408"/>
    <w:rsid w:val="22590C76"/>
    <w:rsid w:val="225B29D1"/>
    <w:rsid w:val="225E5589"/>
    <w:rsid w:val="22610B8B"/>
    <w:rsid w:val="22625D7D"/>
    <w:rsid w:val="226338A3"/>
    <w:rsid w:val="22644EBF"/>
    <w:rsid w:val="22645EEA"/>
    <w:rsid w:val="2264745D"/>
    <w:rsid w:val="226513C9"/>
    <w:rsid w:val="226521C7"/>
    <w:rsid w:val="22655D1C"/>
    <w:rsid w:val="226D2F54"/>
    <w:rsid w:val="227036C1"/>
    <w:rsid w:val="227365AF"/>
    <w:rsid w:val="22737F8A"/>
    <w:rsid w:val="22743D02"/>
    <w:rsid w:val="2274785E"/>
    <w:rsid w:val="22752BBC"/>
    <w:rsid w:val="227855A0"/>
    <w:rsid w:val="227A3C6E"/>
    <w:rsid w:val="227A6AB2"/>
    <w:rsid w:val="227C6EFD"/>
    <w:rsid w:val="228244F6"/>
    <w:rsid w:val="22833F45"/>
    <w:rsid w:val="22835CF3"/>
    <w:rsid w:val="22861DF0"/>
    <w:rsid w:val="2286759E"/>
    <w:rsid w:val="228A7A8D"/>
    <w:rsid w:val="228C2DF9"/>
    <w:rsid w:val="228C5182"/>
    <w:rsid w:val="228D6B72"/>
    <w:rsid w:val="228F4698"/>
    <w:rsid w:val="229121BE"/>
    <w:rsid w:val="22925F36"/>
    <w:rsid w:val="229323DA"/>
    <w:rsid w:val="22934188"/>
    <w:rsid w:val="22941CAE"/>
    <w:rsid w:val="22947F00"/>
    <w:rsid w:val="22984ABF"/>
    <w:rsid w:val="229972C4"/>
    <w:rsid w:val="229B303C"/>
    <w:rsid w:val="229C4838"/>
    <w:rsid w:val="229E2B2D"/>
    <w:rsid w:val="229F4988"/>
    <w:rsid w:val="229F782B"/>
    <w:rsid w:val="22A068A5"/>
    <w:rsid w:val="22A10003"/>
    <w:rsid w:val="22A2261D"/>
    <w:rsid w:val="22A37018"/>
    <w:rsid w:val="22A97078"/>
    <w:rsid w:val="22AC021A"/>
    <w:rsid w:val="22AF0896"/>
    <w:rsid w:val="22AF3970"/>
    <w:rsid w:val="22B07237"/>
    <w:rsid w:val="22B1460E"/>
    <w:rsid w:val="22B440FE"/>
    <w:rsid w:val="22B934C3"/>
    <w:rsid w:val="22BD1205"/>
    <w:rsid w:val="22BE4F7D"/>
    <w:rsid w:val="22BF2E56"/>
    <w:rsid w:val="22C229E0"/>
    <w:rsid w:val="22C3204C"/>
    <w:rsid w:val="22C5455D"/>
    <w:rsid w:val="22C546C7"/>
    <w:rsid w:val="22C5630B"/>
    <w:rsid w:val="22C667EE"/>
    <w:rsid w:val="22C81958"/>
    <w:rsid w:val="22C81A55"/>
    <w:rsid w:val="22CC31F6"/>
    <w:rsid w:val="22CE5EFD"/>
    <w:rsid w:val="22D11246"/>
    <w:rsid w:val="22D12F02"/>
    <w:rsid w:val="22D24584"/>
    <w:rsid w:val="22D30A28"/>
    <w:rsid w:val="22D31A74"/>
    <w:rsid w:val="22D622C7"/>
    <w:rsid w:val="22D77E8C"/>
    <w:rsid w:val="22D95913"/>
    <w:rsid w:val="22DB78DD"/>
    <w:rsid w:val="22DB78E4"/>
    <w:rsid w:val="22DD3655"/>
    <w:rsid w:val="22E16DF3"/>
    <w:rsid w:val="22E346B5"/>
    <w:rsid w:val="22E36792"/>
    <w:rsid w:val="22E5250A"/>
    <w:rsid w:val="22E83DA8"/>
    <w:rsid w:val="22EA5D72"/>
    <w:rsid w:val="22EA70F4"/>
    <w:rsid w:val="22F117B5"/>
    <w:rsid w:val="22F16713"/>
    <w:rsid w:val="22F369D5"/>
    <w:rsid w:val="22F44A6D"/>
    <w:rsid w:val="22F4594F"/>
    <w:rsid w:val="22F47480"/>
    <w:rsid w:val="22F53833"/>
    <w:rsid w:val="22F5463A"/>
    <w:rsid w:val="22F8223D"/>
    <w:rsid w:val="22F866E1"/>
    <w:rsid w:val="22F97F2A"/>
    <w:rsid w:val="2300417F"/>
    <w:rsid w:val="23016A14"/>
    <w:rsid w:val="23045E7A"/>
    <w:rsid w:val="23057C2B"/>
    <w:rsid w:val="230706D2"/>
    <w:rsid w:val="2307375A"/>
    <w:rsid w:val="23073E71"/>
    <w:rsid w:val="23096C36"/>
    <w:rsid w:val="23096CC1"/>
    <w:rsid w:val="230A659F"/>
    <w:rsid w:val="230A74D4"/>
    <w:rsid w:val="230B4816"/>
    <w:rsid w:val="230D750E"/>
    <w:rsid w:val="230F1921"/>
    <w:rsid w:val="23103A2A"/>
    <w:rsid w:val="23130E25"/>
    <w:rsid w:val="2317640C"/>
    <w:rsid w:val="23197142"/>
    <w:rsid w:val="231A4B17"/>
    <w:rsid w:val="231B417D"/>
    <w:rsid w:val="231C3C69"/>
    <w:rsid w:val="231D1CA3"/>
    <w:rsid w:val="231D6147"/>
    <w:rsid w:val="231E54B8"/>
    <w:rsid w:val="231F5A1C"/>
    <w:rsid w:val="23220BA9"/>
    <w:rsid w:val="23224456"/>
    <w:rsid w:val="2322550C"/>
    <w:rsid w:val="23241649"/>
    <w:rsid w:val="232748D0"/>
    <w:rsid w:val="232C67F1"/>
    <w:rsid w:val="232D179E"/>
    <w:rsid w:val="232D7554"/>
    <w:rsid w:val="23366B2B"/>
    <w:rsid w:val="23384D2F"/>
    <w:rsid w:val="233A2855"/>
    <w:rsid w:val="2340030B"/>
    <w:rsid w:val="234065F7"/>
    <w:rsid w:val="23417A61"/>
    <w:rsid w:val="234228AF"/>
    <w:rsid w:val="234237B9"/>
    <w:rsid w:val="234611FA"/>
    <w:rsid w:val="2346744C"/>
    <w:rsid w:val="23476D20"/>
    <w:rsid w:val="234B669D"/>
    <w:rsid w:val="234C4337"/>
    <w:rsid w:val="234F5BD5"/>
    <w:rsid w:val="23517B9F"/>
    <w:rsid w:val="23520294"/>
    <w:rsid w:val="235356C5"/>
    <w:rsid w:val="23556F53"/>
    <w:rsid w:val="23563407"/>
    <w:rsid w:val="23580F2E"/>
    <w:rsid w:val="23585943"/>
    <w:rsid w:val="235A2EF8"/>
    <w:rsid w:val="235A4CA6"/>
    <w:rsid w:val="235A7091"/>
    <w:rsid w:val="235C17AD"/>
    <w:rsid w:val="235F22C2"/>
    <w:rsid w:val="23602354"/>
    <w:rsid w:val="23607DE2"/>
    <w:rsid w:val="236137C1"/>
    <w:rsid w:val="23664690"/>
    <w:rsid w:val="2369138D"/>
    <w:rsid w:val="236B0C61"/>
    <w:rsid w:val="236B6EB3"/>
    <w:rsid w:val="237130BD"/>
    <w:rsid w:val="2374576F"/>
    <w:rsid w:val="23754331"/>
    <w:rsid w:val="237613B4"/>
    <w:rsid w:val="237733D9"/>
    <w:rsid w:val="23774916"/>
    <w:rsid w:val="23775858"/>
    <w:rsid w:val="237A5348"/>
    <w:rsid w:val="237A7CFD"/>
    <w:rsid w:val="237F1ED6"/>
    <w:rsid w:val="237F295E"/>
    <w:rsid w:val="237F470C"/>
    <w:rsid w:val="23812232"/>
    <w:rsid w:val="238416E7"/>
    <w:rsid w:val="2384759E"/>
    <w:rsid w:val="23897339"/>
    <w:rsid w:val="238B30B1"/>
    <w:rsid w:val="238C6EE4"/>
    <w:rsid w:val="238E0DF3"/>
    <w:rsid w:val="239006C7"/>
    <w:rsid w:val="23902475"/>
    <w:rsid w:val="23920FE7"/>
    <w:rsid w:val="23957A8C"/>
    <w:rsid w:val="23963E2B"/>
    <w:rsid w:val="23983A20"/>
    <w:rsid w:val="23997852"/>
    <w:rsid w:val="239B0E1A"/>
    <w:rsid w:val="239C706C"/>
    <w:rsid w:val="239D2210"/>
    <w:rsid w:val="239F090A"/>
    <w:rsid w:val="23A10B26"/>
    <w:rsid w:val="23A51282"/>
    <w:rsid w:val="23A70165"/>
    <w:rsid w:val="23A81EB5"/>
    <w:rsid w:val="23A83C63"/>
    <w:rsid w:val="23AD2DCC"/>
    <w:rsid w:val="23AE0B04"/>
    <w:rsid w:val="23B02B18"/>
    <w:rsid w:val="23B048C6"/>
    <w:rsid w:val="23B0550D"/>
    <w:rsid w:val="23B16F3A"/>
    <w:rsid w:val="23B26890"/>
    <w:rsid w:val="23B27FFC"/>
    <w:rsid w:val="23B56380"/>
    <w:rsid w:val="23B644DD"/>
    <w:rsid w:val="23BA3996"/>
    <w:rsid w:val="23BC14BC"/>
    <w:rsid w:val="23BF71FF"/>
    <w:rsid w:val="23C12F77"/>
    <w:rsid w:val="23C149B1"/>
    <w:rsid w:val="23C14D25"/>
    <w:rsid w:val="23C30A9D"/>
    <w:rsid w:val="23C77B8A"/>
    <w:rsid w:val="23C93BD9"/>
    <w:rsid w:val="23CB7951"/>
    <w:rsid w:val="23CD5478"/>
    <w:rsid w:val="23D15F87"/>
    <w:rsid w:val="23D23E6D"/>
    <w:rsid w:val="23D26A3F"/>
    <w:rsid w:val="23D60F3D"/>
    <w:rsid w:val="23D7162E"/>
    <w:rsid w:val="23D83289"/>
    <w:rsid w:val="23D902C0"/>
    <w:rsid w:val="23DA7634"/>
    <w:rsid w:val="23DB6AD3"/>
    <w:rsid w:val="23DC390D"/>
    <w:rsid w:val="23DD45B3"/>
    <w:rsid w:val="23DE1C48"/>
    <w:rsid w:val="23DE7685"/>
    <w:rsid w:val="23DF7DF6"/>
    <w:rsid w:val="23E563A0"/>
    <w:rsid w:val="23E629DD"/>
    <w:rsid w:val="23E74961"/>
    <w:rsid w:val="23EB1DA2"/>
    <w:rsid w:val="23EE0974"/>
    <w:rsid w:val="23F047D3"/>
    <w:rsid w:val="23F0560A"/>
    <w:rsid w:val="23F05FDC"/>
    <w:rsid w:val="23F13FE5"/>
    <w:rsid w:val="23F46728"/>
    <w:rsid w:val="23F47631"/>
    <w:rsid w:val="23F76AAB"/>
    <w:rsid w:val="23F77CBE"/>
    <w:rsid w:val="23F944BF"/>
    <w:rsid w:val="23F97868"/>
    <w:rsid w:val="23FA0237"/>
    <w:rsid w:val="23FA5B21"/>
    <w:rsid w:val="23FC0A9F"/>
    <w:rsid w:val="23FD08D2"/>
    <w:rsid w:val="23FE70F2"/>
    <w:rsid w:val="23FE7D27"/>
    <w:rsid w:val="23FE7F30"/>
    <w:rsid w:val="240049FE"/>
    <w:rsid w:val="24013373"/>
    <w:rsid w:val="240210CD"/>
    <w:rsid w:val="24082954"/>
    <w:rsid w:val="24092228"/>
    <w:rsid w:val="240B1D07"/>
    <w:rsid w:val="240B7586"/>
    <w:rsid w:val="240F0A66"/>
    <w:rsid w:val="24101808"/>
    <w:rsid w:val="24106666"/>
    <w:rsid w:val="24117194"/>
    <w:rsid w:val="241172C3"/>
    <w:rsid w:val="24122701"/>
    <w:rsid w:val="241237D2"/>
    <w:rsid w:val="24125580"/>
    <w:rsid w:val="2414302E"/>
    <w:rsid w:val="2416511F"/>
    <w:rsid w:val="24175933"/>
    <w:rsid w:val="241930C9"/>
    <w:rsid w:val="241C01AD"/>
    <w:rsid w:val="241C062B"/>
    <w:rsid w:val="241C1F5B"/>
    <w:rsid w:val="241E16E7"/>
    <w:rsid w:val="24235937"/>
    <w:rsid w:val="242454A8"/>
    <w:rsid w:val="24246F9B"/>
    <w:rsid w:val="24253506"/>
    <w:rsid w:val="24264B88"/>
    <w:rsid w:val="242B219E"/>
    <w:rsid w:val="242B6642"/>
    <w:rsid w:val="242D5F16"/>
    <w:rsid w:val="242E07E9"/>
    <w:rsid w:val="242E1C8E"/>
    <w:rsid w:val="242E5DA1"/>
    <w:rsid w:val="24343749"/>
    <w:rsid w:val="24363415"/>
    <w:rsid w:val="24373239"/>
    <w:rsid w:val="24386AD4"/>
    <w:rsid w:val="24387527"/>
    <w:rsid w:val="24390D12"/>
    <w:rsid w:val="243A0633"/>
    <w:rsid w:val="243D2617"/>
    <w:rsid w:val="2443398C"/>
    <w:rsid w:val="24436D00"/>
    <w:rsid w:val="244514B2"/>
    <w:rsid w:val="24454BC3"/>
    <w:rsid w:val="24460D0C"/>
    <w:rsid w:val="244A4D1A"/>
    <w:rsid w:val="244B2840"/>
    <w:rsid w:val="244B392B"/>
    <w:rsid w:val="244B798C"/>
    <w:rsid w:val="244F4323"/>
    <w:rsid w:val="24523458"/>
    <w:rsid w:val="24531A69"/>
    <w:rsid w:val="24552767"/>
    <w:rsid w:val="245636BF"/>
    <w:rsid w:val="245904FE"/>
    <w:rsid w:val="24594A29"/>
    <w:rsid w:val="24594D51"/>
    <w:rsid w:val="245A4F14"/>
    <w:rsid w:val="245C2C9F"/>
    <w:rsid w:val="245F6DCD"/>
    <w:rsid w:val="245F7FE7"/>
    <w:rsid w:val="24610372"/>
    <w:rsid w:val="24620B2B"/>
    <w:rsid w:val="246319DD"/>
    <w:rsid w:val="24637CE5"/>
    <w:rsid w:val="246456B0"/>
    <w:rsid w:val="2466222F"/>
    <w:rsid w:val="2467042A"/>
    <w:rsid w:val="246A25D1"/>
    <w:rsid w:val="246A797D"/>
    <w:rsid w:val="246C692E"/>
    <w:rsid w:val="246D188F"/>
    <w:rsid w:val="246F4781"/>
    <w:rsid w:val="24707F31"/>
    <w:rsid w:val="2474070E"/>
    <w:rsid w:val="24747FE9"/>
    <w:rsid w:val="24752A58"/>
    <w:rsid w:val="2476385B"/>
    <w:rsid w:val="24765B0F"/>
    <w:rsid w:val="24787AF0"/>
    <w:rsid w:val="2479115B"/>
    <w:rsid w:val="247A4D84"/>
    <w:rsid w:val="247C540F"/>
    <w:rsid w:val="247F70A9"/>
    <w:rsid w:val="2480073C"/>
    <w:rsid w:val="2480698E"/>
    <w:rsid w:val="248144B4"/>
    <w:rsid w:val="24822706"/>
    <w:rsid w:val="2483022C"/>
    <w:rsid w:val="248818F4"/>
    <w:rsid w:val="248D2E59"/>
    <w:rsid w:val="248F6BD1"/>
    <w:rsid w:val="249146F7"/>
    <w:rsid w:val="249441E7"/>
    <w:rsid w:val="24975318"/>
    <w:rsid w:val="249935AC"/>
    <w:rsid w:val="249A1517"/>
    <w:rsid w:val="249A2F1F"/>
    <w:rsid w:val="249C309C"/>
    <w:rsid w:val="249E68DC"/>
    <w:rsid w:val="24A02B8C"/>
    <w:rsid w:val="24A87C93"/>
    <w:rsid w:val="24AB32DF"/>
    <w:rsid w:val="24AE34FB"/>
    <w:rsid w:val="24B23D3A"/>
    <w:rsid w:val="24B46637"/>
    <w:rsid w:val="24B56B2F"/>
    <w:rsid w:val="24B5794C"/>
    <w:rsid w:val="24B65298"/>
    <w:rsid w:val="24B67AF7"/>
    <w:rsid w:val="24B724CB"/>
    <w:rsid w:val="24B8066A"/>
    <w:rsid w:val="24B9237A"/>
    <w:rsid w:val="24BD38CC"/>
    <w:rsid w:val="24BD6013"/>
    <w:rsid w:val="24BE77E5"/>
    <w:rsid w:val="24BF09F7"/>
    <w:rsid w:val="24C12ADC"/>
    <w:rsid w:val="24C92B4B"/>
    <w:rsid w:val="24C92D0F"/>
    <w:rsid w:val="24CA7C09"/>
    <w:rsid w:val="24CC298D"/>
    <w:rsid w:val="24CC5FBB"/>
    <w:rsid w:val="24CD76F9"/>
    <w:rsid w:val="24D20EDB"/>
    <w:rsid w:val="24D326DD"/>
    <w:rsid w:val="24D32F62"/>
    <w:rsid w:val="24D40A88"/>
    <w:rsid w:val="24D74DFF"/>
    <w:rsid w:val="24D957EA"/>
    <w:rsid w:val="24D9609E"/>
    <w:rsid w:val="24DA31FE"/>
    <w:rsid w:val="24DD3FC3"/>
    <w:rsid w:val="24DE36B4"/>
    <w:rsid w:val="24DF0E2F"/>
    <w:rsid w:val="24E0742D"/>
    <w:rsid w:val="24E1360E"/>
    <w:rsid w:val="24E76A0D"/>
    <w:rsid w:val="24E84486"/>
    <w:rsid w:val="24E94533"/>
    <w:rsid w:val="24EA665C"/>
    <w:rsid w:val="24ED56A6"/>
    <w:rsid w:val="24F00EF4"/>
    <w:rsid w:val="24F01CA5"/>
    <w:rsid w:val="24F01E32"/>
    <w:rsid w:val="24F15196"/>
    <w:rsid w:val="24F2403B"/>
    <w:rsid w:val="24F435D5"/>
    <w:rsid w:val="24F46A34"/>
    <w:rsid w:val="24F5267A"/>
    <w:rsid w:val="24F9264F"/>
    <w:rsid w:val="24FA408C"/>
    <w:rsid w:val="24FB21EE"/>
    <w:rsid w:val="24FB4266"/>
    <w:rsid w:val="24FB67B3"/>
    <w:rsid w:val="24FC7677"/>
    <w:rsid w:val="24FD37EA"/>
    <w:rsid w:val="24FE7A2C"/>
    <w:rsid w:val="250273A3"/>
    <w:rsid w:val="250301AA"/>
    <w:rsid w:val="25051056"/>
    <w:rsid w:val="250523A9"/>
    <w:rsid w:val="250550E5"/>
    <w:rsid w:val="25071725"/>
    <w:rsid w:val="250B6ECF"/>
    <w:rsid w:val="250D296B"/>
    <w:rsid w:val="250E14E8"/>
    <w:rsid w:val="250E5D48"/>
    <w:rsid w:val="250F1AC0"/>
    <w:rsid w:val="25104CA8"/>
    <w:rsid w:val="25130741"/>
    <w:rsid w:val="251353D1"/>
    <w:rsid w:val="2519649B"/>
    <w:rsid w:val="251B2A4A"/>
    <w:rsid w:val="251B5988"/>
    <w:rsid w:val="251B66B7"/>
    <w:rsid w:val="25206462"/>
    <w:rsid w:val="25223C13"/>
    <w:rsid w:val="252442E3"/>
    <w:rsid w:val="252512E3"/>
    <w:rsid w:val="25263F4E"/>
    <w:rsid w:val="25276E09"/>
    <w:rsid w:val="25284930"/>
    <w:rsid w:val="252910E3"/>
    <w:rsid w:val="252A1D96"/>
    <w:rsid w:val="252D077C"/>
    <w:rsid w:val="252D53FE"/>
    <w:rsid w:val="252E1F46"/>
    <w:rsid w:val="25341526"/>
    <w:rsid w:val="2534496D"/>
    <w:rsid w:val="25376BCF"/>
    <w:rsid w:val="25384743"/>
    <w:rsid w:val="25387269"/>
    <w:rsid w:val="25395364"/>
    <w:rsid w:val="253E70EA"/>
    <w:rsid w:val="254104C3"/>
    <w:rsid w:val="25420609"/>
    <w:rsid w:val="254259F1"/>
    <w:rsid w:val="2543789A"/>
    <w:rsid w:val="2546309F"/>
    <w:rsid w:val="25496D80"/>
    <w:rsid w:val="254C3116"/>
    <w:rsid w:val="254E083A"/>
    <w:rsid w:val="254F5AB3"/>
    <w:rsid w:val="25521194"/>
    <w:rsid w:val="25535D03"/>
    <w:rsid w:val="25536721"/>
    <w:rsid w:val="25555644"/>
    <w:rsid w:val="25573B06"/>
    <w:rsid w:val="255836D1"/>
    <w:rsid w:val="255A71DF"/>
    <w:rsid w:val="255D236C"/>
    <w:rsid w:val="255D3A80"/>
    <w:rsid w:val="256169E1"/>
    <w:rsid w:val="256224A2"/>
    <w:rsid w:val="256516E0"/>
    <w:rsid w:val="25695674"/>
    <w:rsid w:val="256A1143"/>
    <w:rsid w:val="256A4F48"/>
    <w:rsid w:val="256B431F"/>
    <w:rsid w:val="256C5678"/>
    <w:rsid w:val="256D423B"/>
    <w:rsid w:val="256E2C8A"/>
    <w:rsid w:val="256E4A38"/>
    <w:rsid w:val="256E67E6"/>
    <w:rsid w:val="257302A1"/>
    <w:rsid w:val="25756402"/>
    <w:rsid w:val="25761B3F"/>
    <w:rsid w:val="25771C01"/>
    <w:rsid w:val="25780D76"/>
    <w:rsid w:val="257A518B"/>
    <w:rsid w:val="257C1A5F"/>
    <w:rsid w:val="257D1366"/>
    <w:rsid w:val="2580651A"/>
    <w:rsid w:val="258131A6"/>
    <w:rsid w:val="25830327"/>
    <w:rsid w:val="2584425C"/>
    <w:rsid w:val="2584600A"/>
    <w:rsid w:val="258778A8"/>
    <w:rsid w:val="25877D15"/>
    <w:rsid w:val="25891872"/>
    <w:rsid w:val="258A6734"/>
    <w:rsid w:val="258C3110"/>
    <w:rsid w:val="258E6E89"/>
    <w:rsid w:val="258F4DA5"/>
    <w:rsid w:val="259326F1"/>
    <w:rsid w:val="259809DB"/>
    <w:rsid w:val="259A3A7F"/>
    <w:rsid w:val="259D29A7"/>
    <w:rsid w:val="259F2E44"/>
    <w:rsid w:val="25A16BBC"/>
    <w:rsid w:val="25A55F80"/>
    <w:rsid w:val="25A641D2"/>
    <w:rsid w:val="25A65E57"/>
    <w:rsid w:val="25A73BDF"/>
    <w:rsid w:val="25A751B1"/>
    <w:rsid w:val="25A77F4A"/>
    <w:rsid w:val="25A8619C"/>
    <w:rsid w:val="25AB79FF"/>
    <w:rsid w:val="25AB7A3A"/>
    <w:rsid w:val="25AE752B"/>
    <w:rsid w:val="25B1795E"/>
    <w:rsid w:val="25B271E9"/>
    <w:rsid w:val="25B4006D"/>
    <w:rsid w:val="25B578C5"/>
    <w:rsid w:val="25BA096E"/>
    <w:rsid w:val="25BD151C"/>
    <w:rsid w:val="25BD1629"/>
    <w:rsid w:val="25BF659E"/>
    <w:rsid w:val="25C01208"/>
    <w:rsid w:val="25C161E1"/>
    <w:rsid w:val="25C237BE"/>
    <w:rsid w:val="25C24D84"/>
    <w:rsid w:val="25C26B32"/>
    <w:rsid w:val="25C37425"/>
    <w:rsid w:val="25C7239A"/>
    <w:rsid w:val="25C84CBE"/>
    <w:rsid w:val="25C9105A"/>
    <w:rsid w:val="25CD5C03"/>
    <w:rsid w:val="25D41B36"/>
    <w:rsid w:val="25D528E5"/>
    <w:rsid w:val="25D54AB7"/>
    <w:rsid w:val="25D576D7"/>
    <w:rsid w:val="25D65A84"/>
    <w:rsid w:val="25D725DE"/>
    <w:rsid w:val="25D80104"/>
    <w:rsid w:val="25DA6545"/>
    <w:rsid w:val="25DB430B"/>
    <w:rsid w:val="25DC4098"/>
    <w:rsid w:val="25DC4180"/>
    <w:rsid w:val="25DD3CB7"/>
    <w:rsid w:val="25DD3DBF"/>
    <w:rsid w:val="25E33F10"/>
    <w:rsid w:val="25E371D4"/>
    <w:rsid w:val="25EB42DB"/>
    <w:rsid w:val="25EB6F94"/>
    <w:rsid w:val="25EB7E37"/>
    <w:rsid w:val="25EC2D81"/>
    <w:rsid w:val="25EE3AA0"/>
    <w:rsid w:val="25EE5CC5"/>
    <w:rsid w:val="25EE689E"/>
    <w:rsid w:val="25EE7927"/>
    <w:rsid w:val="25EF3DCB"/>
    <w:rsid w:val="25F11C32"/>
    <w:rsid w:val="25F34F3E"/>
    <w:rsid w:val="25F50CB6"/>
    <w:rsid w:val="25F533FB"/>
    <w:rsid w:val="25F56F08"/>
    <w:rsid w:val="25F6163D"/>
    <w:rsid w:val="25F70E6F"/>
    <w:rsid w:val="25F767DC"/>
    <w:rsid w:val="25FC5045"/>
    <w:rsid w:val="25FC76AD"/>
    <w:rsid w:val="25FF38E2"/>
    <w:rsid w:val="25FF7D86"/>
    <w:rsid w:val="26004CC3"/>
    <w:rsid w:val="260426CE"/>
    <w:rsid w:val="260809E9"/>
    <w:rsid w:val="26094761"/>
    <w:rsid w:val="260B13CC"/>
    <w:rsid w:val="260B672B"/>
    <w:rsid w:val="260D24A3"/>
    <w:rsid w:val="260D4D79"/>
    <w:rsid w:val="260D5FFF"/>
    <w:rsid w:val="260E39D9"/>
    <w:rsid w:val="260E7899"/>
    <w:rsid w:val="26103D41"/>
    <w:rsid w:val="26105AEF"/>
    <w:rsid w:val="261A02A7"/>
    <w:rsid w:val="261A3D91"/>
    <w:rsid w:val="261F5976"/>
    <w:rsid w:val="26213859"/>
    <w:rsid w:val="26220012"/>
    <w:rsid w:val="262275D1"/>
    <w:rsid w:val="26232992"/>
    <w:rsid w:val="262670C1"/>
    <w:rsid w:val="2629095F"/>
    <w:rsid w:val="262A4E03"/>
    <w:rsid w:val="262E3877"/>
    <w:rsid w:val="262E3910"/>
    <w:rsid w:val="262E6195"/>
    <w:rsid w:val="26302E19"/>
    <w:rsid w:val="26335BD8"/>
    <w:rsid w:val="26344EF9"/>
    <w:rsid w:val="26345C82"/>
    <w:rsid w:val="26347A30"/>
    <w:rsid w:val="263537A8"/>
    <w:rsid w:val="2635414C"/>
    <w:rsid w:val="2637540F"/>
    <w:rsid w:val="263854A9"/>
    <w:rsid w:val="26393298"/>
    <w:rsid w:val="263B29E5"/>
    <w:rsid w:val="263B39B8"/>
    <w:rsid w:val="26413E30"/>
    <w:rsid w:val="26413EFB"/>
    <w:rsid w:val="264510FF"/>
    <w:rsid w:val="264659B5"/>
    <w:rsid w:val="26471E46"/>
    <w:rsid w:val="264822A4"/>
    <w:rsid w:val="264B4141"/>
    <w:rsid w:val="264C5790"/>
    <w:rsid w:val="264D6247"/>
    <w:rsid w:val="264E03C6"/>
    <w:rsid w:val="264E3D90"/>
    <w:rsid w:val="26502390"/>
    <w:rsid w:val="26533221"/>
    <w:rsid w:val="26535508"/>
    <w:rsid w:val="26543B61"/>
    <w:rsid w:val="265539F9"/>
    <w:rsid w:val="26560EE3"/>
    <w:rsid w:val="2657371E"/>
    <w:rsid w:val="265E2377"/>
    <w:rsid w:val="265F25D3"/>
    <w:rsid w:val="26600825"/>
    <w:rsid w:val="26605FB5"/>
    <w:rsid w:val="2661634B"/>
    <w:rsid w:val="266402DB"/>
    <w:rsid w:val="26647BE9"/>
    <w:rsid w:val="26655897"/>
    <w:rsid w:val="26655E3B"/>
    <w:rsid w:val="2667103C"/>
    <w:rsid w:val="266860BA"/>
    <w:rsid w:val="26695200"/>
    <w:rsid w:val="266A6148"/>
    <w:rsid w:val="266B16F9"/>
    <w:rsid w:val="266D769A"/>
    <w:rsid w:val="26704DAE"/>
    <w:rsid w:val="2670627B"/>
    <w:rsid w:val="267263C7"/>
    <w:rsid w:val="267267AA"/>
    <w:rsid w:val="26773DC1"/>
    <w:rsid w:val="26774571"/>
    <w:rsid w:val="26775578"/>
    <w:rsid w:val="26775B6F"/>
    <w:rsid w:val="26777BBE"/>
    <w:rsid w:val="26793695"/>
    <w:rsid w:val="267D34BC"/>
    <w:rsid w:val="267E0CAB"/>
    <w:rsid w:val="268143CF"/>
    <w:rsid w:val="26834513"/>
    <w:rsid w:val="26835271"/>
    <w:rsid w:val="268362C1"/>
    <w:rsid w:val="2685686D"/>
    <w:rsid w:val="26895E4A"/>
    <w:rsid w:val="268C6E2B"/>
    <w:rsid w:val="268E1F32"/>
    <w:rsid w:val="26911CAF"/>
    <w:rsid w:val="269236D9"/>
    <w:rsid w:val="269319B4"/>
    <w:rsid w:val="2694142A"/>
    <w:rsid w:val="26953A52"/>
    <w:rsid w:val="26955FF5"/>
    <w:rsid w:val="26961FDA"/>
    <w:rsid w:val="26976211"/>
    <w:rsid w:val="26986C84"/>
    <w:rsid w:val="2699799E"/>
    <w:rsid w:val="269A49DA"/>
    <w:rsid w:val="269B6BFB"/>
    <w:rsid w:val="269C2300"/>
    <w:rsid w:val="269E759F"/>
    <w:rsid w:val="26A06E73"/>
    <w:rsid w:val="26A526DC"/>
    <w:rsid w:val="26A67B54"/>
    <w:rsid w:val="26A76454"/>
    <w:rsid w:val="26AA5F44"/>
    <w:rsid w:val="26AD1F5C"/>
    <w:rsid w:val="26AF70B6"/>
    <w:rsid w:val="26B02E2F"/>
    <w:rsid w:val="26B12561"/>
    <w:rsid w:val="26B446CD"/>
    <w:rsid w:val="26B6575C"/>
    <w:rsid w:val="26B66697"/>
    <w:rsid w:val="26B702B7"/>
    <w:rsid w:val="26B7240F"/>
    <w:rsid w:val="26B76143"/>
    <w:rsid w:val="26B80661"/>
    <w:rsid w:val="26B916E6"/>
    <w:rsid w:val="26B97F35"/>
    <w:rsid w:val="26BB3CAD"/>
    <w:rsid w:val="26BD4D47"/>
    <w:rsid w:val="26BE72FA"/>
    <w:rsid w:val="26BE7476"/>
    <w:rsid w:val="26C73F91"/>
    <w:rsid w:val="26C80178"/>
    <w:rsid w:val="26C863CA"/>
    <w:rsid w:val="26C92638"/>
    <w:rsid w:val="26CA2142"/>
    <w:rsid w:val="26CC5EBA"/>
    <w:rsid w:val="26CE30C2"/>
    <w:rsid w:val="26CE6BA3"/>
    <w:rsid w:val="26CF335F"/>
    <w:rsid w:val="26D044DE"/>
    <w:rsid w:val="26D145DA"/>
    <w:rsid w:val="26D27249"/>
    <w:rsid w:val="26D437F2"/>
    <w:rsid w:val="26D46B1D"/>
    <w:rsid w:val="26D71A03"/>
    <w:rsid w:val="26D751C2"/>
    <w:rsid w:val="26D905D7"/>
    <w:rsid w:val="26D92385"/>
    <w:rsid w:val="26DA3F90"/>
    <w:rsid w:val="26DB0F49"/>
    <w:rsid w:val="26DC1F7C"/>
    <w:rsid w:val="26DC4203"/>
    <w:rsid w:val="26DE7B29"/>
    <w:rsid w:val="26E01966"/>
    <w:rsid w:val="26E2748C"/>
    <w:rsid w:val="26E5366B"/>
    <w:rsid w:val="26E655A3"/>
    <w:rsid w:val="26E8051B"/>
    <w:rsid w:val="26E86370"/>
    <w:rsid w:val="26EC549D"/>
    <w:rsid w:val="26EE6843"/>
    <w:rsid w:val="26EF39A3"/>
    <w:rsid w:val="26F1086F"/>
    <w:rsid w:val="26F1147D"/>
    <w:rsid w:val="26F1520A"/>
    <w:rsid w:val="26F23447"/>
    <w:rsid w:val="26F40F6D"/>
    <w:rsid w:val="26F64521"/>
    <w:rsid w:val="26F7280B"/>
    <w:rsid w:val="26F76F7C"/>
    <w:rsid w:val="26F81693"/>
    <w:rsid w:val="26F96584"/>
    <w:rsid w:val="26FA0FBA"/>
    <w:rsid w:val="26FA2DBC"/>
    <w:rsid w:val="26FA3134"/>
    <w:rsid w:val="26FB175F"/>
    <w:rsid w:val="26FB7B72"/>
    <w:rsid w:val="26FD42C6"/>
    <w:rsid w:val="27007912"/>
    <w:rsid w:val="27015B20"/>
    <w:rsid w:val="270513CC"/>
    <w:rsid w:val="27053741"/>
    <w:rsid w:val="27075B4B"/>
    <w:rsid w:val="27083FD3"/>
    <w:rsid w:val="270A69E3"/>
    <w:rsid w:val="270B2F0D"/>
    <w:rsid w:val="270C0D12"/>
    <w:rsid w:val="270C23AA"/>
    <w:rsid w:val="270C275B"/>
    <w:rsid w:val="270C4509"/>
    <w:rsid w:val="270C62B7"/>
    <w:rsid w:val="270D202F"/>
    <w:rsid w:val="270E7294"/>
    <w:rsid w:val="27106BBC"/>
    <w:rsid w:val="271247D1"/>
    <w:rsid w:val="27160EE4"/>
    <w:rsid w:val="27194E78"/>
    <w:rsid w:val="271B1380"/>
    <w:rsid w:val="271D04C4"/>
    <w:rsid w:val="271F69B0"/>
    <w:rsid w:val="27207725"/>
    <w:rsid w:val="27207FB4"/>
    <w:rsid w:val="27221F7E"/>
    <w:rsid w:val="27233601"/>
    <w:rsid w:val="27291DC8"/>
    <w:rsid w:val="273027CD"/>
    <w:rsid w:val="273106BF"/>
    <w:rsid w:val="27332FEE"/>
    <w:rsid w:val="273450C4"/>
    <w:rsid w:val="2734581A"/>
    <w:rsid w:val="273B094A"/>
    <w:rsid w:val="273B6D3E"/>
    <w:rsid w:val="273C0A33"/>
    <w:rsid w:val="273D29BC"/>
    <w:rsid w:val="273E043A"/>
    <w:rsid w:val="273F03D9"/>
    <w:rsid w:val="27421CD9"/>
    <w:rsid w:val="2742617D"/>
    <w:rsid w:val="27441EF5"/>
    <w:rsid w:val="274517C9"/>
    <w:rsid w:val="27466B69"/>
    <w:rsid w:val="27486E7F"/>
    <w:rsid w:val="27487697"/>
    <w:rsid w:val="274921C8"/>
    <w:rsid w:val="274A360B"/>
    <w:rsid w:val="274A3C09"/>
    <w:rsid w:val="274A5031"/>
    <w:rsid w:val="274B1723"/>
    <w:rsid w:val="274C0DA9"/>
    <w:rsid w:val="27504042"/>
    <w:rsid w:val="27541A0C"/>
    <w:rsid w:val="27545EB0"/>
    <w:rsid w:val="27547B1B"/>
    <w:rsid w:val="27547C5E"/>
    <w:rsid w:val="27551F7B"/>
    <w:rsid w:val="27554B60"/>
    <w:rsid w:val="27561C28"/>
    <w:rsid w:val="275A1718"/>
    <w:rsid w:val="275C1FFC"/>
    <w:rsid w:val="275E183A"/>
    <w:rsid w:val="275E5728"/>
    <w:rsid w:val="2762237B"/>
    <w:rsid w:val="27632FD5"/>
    <w:rsid w:val="27675BE3"/>
    <w:rsid w:val="276822E2"/>
    <w:rsid w:val="27686396"/>
    <w:rsid w:val="27693709"/>
    <w:rsid w:val="276D7AF2"/>
    <w:rsid w:val="277057A2"/>
    <w:rsid w:val="27711884"/>
    <w:rsid w:val="277420AE"/>
    <w:rsid w:val="2775510D"/>
    <w:rsid w:val="27781B9E"/>
    <w:rsid w:val="2778394C"/>
    <w:rsid w:val="2779574A"/>
    <w:rsid w:val="277973EE"/>
    <w:rsid w:val="277D22FF"/>
    <w:rsid w:val="277E4E9B"/>
    <w:rsid w:val="277F2F2D"/>
    <w:rsid w:val="27840543"/>
    <w:rsid w:val="278723C7"/>
    <w:rsid w:val="27877A74"/>
    <w:rsid w:val="278920CF"/>
    <w:rsid w:val="27895B59"/>
    <w:rsid w:val="278F0911"/>
    <w:rsid w:val="278F0C96"/>
    <w:rsid w:val="27960276"/>
    <w:rsid w:val="2798350E"/>
    <w:rsid w:val="27985D9D"/>
    <w:rsid w:val="279A1B15"/>
    <w:rsid w:val="279B4250"/>
    <w:rsid w:val="279C06FA"/>
    <w:rsid w:val="279D0199"/>
    <w:rsid w:val="279D5632"/>
    <w:rsid w:val="279D75D8"/>
    <w:rsid w:val="279E2091"/>
    <w:rsid w:val="27A02EA3"/>
    <w:rsid w:val="27A40BE5"/>
    <w:rsid w:val="27A45CB1"/>
    <w:rsid w:val="27A528A0"/>
    <w:rsid w:val="27A61704"/>
    <w:rsid w:val="27A747C3"/>
    <w:rsid w:val="27AC1848"/>
    <w:rsid w:val="27AC757F"/>
    <w:rsid w:val="27AE55C0"/>
    <w:rsid w:val="27AF30E6"/>
    <w:rsid w:val="27B0758A"/>
    <w:rsid w:val="27B115D6"/>
    <w:rsid w:val="27B23302"/>
    <w:rsid w:val="27B563DF"/>
    <w:rsid w:val="27B70919"/>
    <w:rsid w:val="27BF7B8E"/>
    <w:rsid w:val="27C2106B"/>
    <w:rsid w:val="27C24BB4"/>
    <w:rsid w:val="27C407EE"/>
    <w:rsid w:val="27C4221E"/>
    <w:rsid w:val="27C42266"/>
    <w:rsid w:val="27C6290A"/>
    <w:rsid w:val="27C804BE"/>
    <w:rsid w:val="27C941A8"/>
    <w:rsid w:val="27CC1EEA"/>
    <w:rsid w:val="27CD7E3B"/>
    <w:rsid w:val="27CE7A10"/>
    <w:rsid w:val="27D20F75"/>
    <w:rsid w:val="27D3527F"/>
    <w:rsid w:val="27D40743"/>
    <w:rsid w:val="27D42CF2"/>
    <w:rsid w:val="27D74B17"/>
    <w:rsid w:val="27D7593B"/>
    <w:rsid w:val="27D86AE1"/>
    <w:rsid w:val="27D91AF5"/>
    <w:rsid w:val="27D94EFE"/>
    <w:rsid w:val="27DC212D"/>
    <w:rsid w:val="27DC4052"/>
    <w:rsid w:val="27DF39CB"/>
    <w:rsid w:val="27E03088"/>
    <w:rsid w:val="27E25DE6"/>
    <w:rsid w:val="27E40FE2"/>
    <w:rsid w:val="27E47228"/>
    <w:rsid w:val="27E8555D"/>
    <w:rsid w:val="27E92A9C"/>
    <w:rsid w:val="27EC2B27"/>
    <w:rsid w:val="27ED001A"/>
    <w:rsid w:val="27ED2C8A"/>
    <w:rsid w:val="27EE3C0E"/>
    <w:rsid w:val="27F07BDA"/>
    <w:rsid w:val="27F136FF"/>
    <w:rsid w:val="27F60DEC"/>
    <w:rsid w:val="27F81F7C"/>
    <w:rsid w:val="27F92BFE"/>
    <w:rsid w:val="27FA6A57"/>
    <w:rsid w:val="27FC04B6"/>
    <w:rsid w:val="27FC27CF"/>
    <w:rsid w:val="27FC457D"/>
    <w:rsid w:val="27FC54F5"/>
    <w:rsid w:val="27FD48FE"/>
    <w:rsid w:val="2802590C"/>
    <w:rsid w:val="28030332"/>
    <w:rsid w:val="28033B5E"/>
    <w:rsid w:val="28041684"/>
    <w:rsid w:val="28060F58"/>
    <w:rsid w:val="28094EEC"/>
    <w:rsid w:val="280C3251"/>
    <w:rsid w:val="280D7D69"/>
    <w:rsid w:val="280F5C1D"/>
    <w:rsid w:val="281178FD"/>
    <w:rsid w:val="28125B4F"/>
    <w:rsid w:val="281318C7"/>
    <w:rsid w:val="28142DC5"/>
    <w:rsid w:val="281500A0"/>
    <w:rsid w:val="2815563F"/>
    <w:rsid w:val="281631B1"/>
    <w:rsid w:val="28197215"/>
    <w:rsid w:val="281B0087"/>
    <w:rsid w:val="281B0804"/>
    <w:rsid w:val="281B4656"/>
    <w:rsid w:val="28227737"/>
    <w:rsid w:val="28242D73"/>
    <w:rsid w:val="28253291"/>
    <w:rsid w:val="28257ACF"/>
    <w:rsid w:val="28261C1E"/>
    <w:rsid w:val="2828374F"/>
    <w:rsid w:val="282B7602"/>
    <w:rsid w:val="282D2989"/>
    <w:rsid w:val="282E3EE4"/>
    <w:rsid w:val="282F78ED"/>
    <w:rsid w:val="28321D4D"/>
    <w:rsid w:val="28327F9F"/>
    <w:rsid w:val="2833272B"/>
    <w:rsid w:val="28333D17"/>
    <w:rsid w:val="283428FD"/>
    <w:rsid w:val="2835183D"/>
    <w:rsid w:val="28357A8F"/>
    <w:rsid w:val="28357DDA"/>
    <w:rsid w:val="2836099F"/>
    <w:rsid w:val="28375380"/>
    <w:rsid w:val="28390A9C"/>
    <w:rsid w:val="283B3B98"/>
    <w:rsid w:val="283E460E"/>
    <w:rsid w:val="283F5ACA"/>
    <w:rsid w:val="2844579F"/>
    <w:rsid w:val="284551D2"/>
    <w:rsid w:val="28463A4A"/>
    <w:rsid w:val="28471374"/>
    <w:rsid w:val="28472715"/>
    <w:rsid w:val="28491C5C"/>
    <w:rsid w:val="284952E9"/>
    <w:rsid w:val="284A04F9"/>
    <w:rsid w:val="284A6797"/>
    <w:rsid w:val="284E6AB0"/>
    <w:rsid w:val="284F6DA3"/>
    <w:rsid w:val="28504E67"/>
    <w:rsid w:val="285223EF"/>
    <w:rsid w:val="28527521"/>
    <w:rsid w:val="28527584"/>
    <w:rsid w:val="28534E07"/>
    <w:rsid w:val="28550131"/>
    <w:rsid w:val="28565044"/>
    <w:rsid w:val="28597617"/>
    <w:rsid w:val="285C37A6"/>
    <w:rsid w:val="285D2B42"/>
    <w:rsid w:val="285D4401"/>
    <w:rsid w:val="285E08FB"/>
    <w:rsid w:val="285F2D5E"/>
    <w:rsid w:val="285F68BA"/>
    <w:rsid w:val="28605701"/>
    <w:rsid w:val="28607499"/>
    <w:rsid w:val="286203F0"/>
    <w:rsid w:val="28624BC4"/>
    <w:rsid w:val="2865672B"/>
    <w:rsid w:val="28657853"/>
    <w:rsid w:val="286658E8"/>
    <w:rsid w:val="286B1703"/>
    <w:rsid w:val="286E127F"/>
    <w:rsid w:val="286E3DC0"/>
    <w:rsid w:val="28706D19"/>
    <w:rsid w:val="287265EE"/>
    <w:rsid w:val="2873019B"/>
    <w:rsid w:val="287440D8"/>
    <w:rsid w:val="287827CE"/>
    <w:rsid w:val="28797228"/>
    <w:rsid w:val="287A668C"/>
    <w:rsid w:val="287C121A"/>
    <w:rsid w:val="287E6170"/>
    <w:rsid w:val="287F0D0A"/>
    <w:rsid w:val="287F6F5C"/>
    <w:rsid w:val="288307FB"/>
    <w:rsid w:val="288358DB"/>
    <w:rsid w:val="28836AF0"/>
    <w:rsid w:val="28837C4A"/>
    <w:rsid w:val="288459EB"/>
    <w:rsid w:val="28863514"/>
    <w:rsid w:val="28885E11"/>
    <w:rsid w:val="288B3B53"/>
    <w:rsid w:val="288B6FBA"/>
    <w:rsid w:val="288D78CB"/>
    <w:rsid w:val="288F20F6"/>
    <w:rsid w:val="288F53F1"/>
    <w:rsid w:val="28900A53"/>
    <w:rsid w:val="28903300"/>
    <w:rsid w:val="28926981"/>
    <w:rsid w:val="28943BC8"/>
    <w:rsid w:val="28953DA9"/>
    <w:rsid w:val="28961AB6"/>
    <w:rsid w:val="2896212A"/>
    <w:rsid w:val="28976054"/>
    <w:rsid w:val="289A78F2"/>
    <w:rsid w:val="289C346E"/>
    <w:rsid w:val="289E73E3"/>
    <w:rsid w:val="289F6C13"/>
    <w:rsid w:val="28A10C81"/>
    <w:rsid w:val="28A27F40"/>
    <w:rsid w:val="28A30E9D"/>
    <w:rsid w:val="28A46D34"/>
    <w:rsid w:val="28A80261"/>
    <w:rsid w:val="28A8200F"/>
    <w:rsid w:val="28AE2E93"/>
    <w:rsid w:val="28AE4E3E"/>
    <w:rsid w:val="28B24FCD"/>
    <w:rsid w:val="28B40F9A"/>
    <w:rsid w:val="28B430AA"/>
    <w:rsid w:val="28B461EC"/>
    <w:rsid w:val="28B5297E"/>
    <w:rsid w:val="28B766F6"/>
    <w:rsid w:val="28B9246E"/>
    <w:rsid w:val="28B94173"/>
    <w:rsid w:val="28B94F2A"/>
    <w:rsid w:val="28BC5ABB"/>
    <w:rsid w:val="28BD4D8E"/>
    <w:rsid w:val="28BE0004"/>
    <w:rsid w:val="28C14911"/>
    <w:rsid w:val="28C457CC"/>
    <w:rsid w:val="28C66939"/>
    <w:rsid w:val="28C70CAF"/>
    <w:rsid w:val="28CD4972"/>
    <w:rsid w:val="28CE524F"/>
    <w:rsid w:val="28CF1C92"/>
    <w:rsid w:val="28D14176"/>
    <w:rsid w:val="28D252DE"/>
    <w:rsid w:val="28D41056"/>
    <w:rsid w:val="28D57E80"/>
    <w:rsid w:val="28D75C72"/>
    <w:rsid w:val="28DA390F"/>
    <w:rsid w:val="28DA4193"/>
    <w:rsid w:val="28DC7F0B"/>
    <w:rsid w:val="28DF5E0B"/>
    <w:rsid w:val="28E15B59"/>
    <w:rsid w:val="28E3573D"/>
    <w:rsid w:val="28E53263"/>
    <w:rsid w:val="28E53F9F"/>
    <w:rsid w:val="28E75B67"/>
    <w:rsid w:val="28E80799"/>
    <w:rsid w:val="28E82D54"/>
    <w:rsid w:val="28E84B02"/>
    <w:rsid w:val="28EE0DEB"/>
    <w:rsid w:val="28F17E5A"/>
    <w:rsid w:val="28F5511D"/>
    <w:rsid w:val="28F66825"/>
    <w:rsid w:val="28F80844"/>
    <w:rsid w:val="28F81FE5"/>
    <w:rsid w:val="28F833DE"/>
    <w:rsid w:val="28FA7596"/>
    <w:rsid w:val="28FB2A87"/>
    <w:rsid w:val="28FC6EA7"/>
    <w:rsid w:val="29003BF9"/>
    <w:rsid w:val="29011BCA"/>
    <w:rsid w:val="29015271"/>
    <w:rsid w:val="2903742C"/>
    <w:rsid w:val="29053906"/>
    <w:rsid w:val="290556B4"/>
    <w:rsid w:val="29066FB6"/>
    <w:rsid w:val="290A209A"/>
    <w:rsid w:val="29104090"/>
    <w:rsid w:val="29117CFF"/>
    <w:rsid w:val="29121B7F"/>
    <w:rsid w:val="29130664"/>
    <w:rsid w:val="29131BF6"/>
    <w:rsid w:val="29147AA6"/>
    <w:rsid w:val="291641EB"/>
    <w:rsid w:val="29177195"/>
    <w:rsid w:val="291A6B5D"/>
    <w:rsid w:val="291C72EB"/>
    <w:rsid w:val="291D6019"/>
    <w:rsid w:val="291E49C7"/>
    <w:rsid w:val="29206EB8"/>
    <w:rsid w:val="29220014"/>
    <w:rsid w:val="29227034"/>
    <w:rsid w:val="29231FDE"/>
    <w:rsid w:val="29233347"/>
    <w:rsid w:val="29233D8C"/>
    <w:rsid w:val="29240B97"/>
    <w:rsid w:val="29253660"/>
    <w:rsid w:val="29260952"/>
    <w:rsid w:val="29262CFB"/>
    <w:rsid w:val="29263B49"/>
    <w:rsid w:val="292651BE"/>
    <w:rsid w:val="29282914"/>
    <w:rsid w:val="29294093"/>
    <w:rsid w:val="292975BF"/>
    <w:rsid w:val="292A336C"/>
    <w:rsid w:val="29300ABE"/>
    <w:rsid w:val="293164A9"/>
    <w:rsid w:val="29345F99"/>
    <w:rsid w:val="2936183D"/>
    <w:rsid w:val="29361D11"/>
    <w:rsid w:val="29364A36"/>
    <w:rsid w:val="293832C4"/>
    <w:rsid w:val="293935AF"/>
    <w:rsid w:val="293E4722"/>
    <w:rsid w:val="29433974"/>
    <w:rsid w:val="294361DC"/>
    <w:rsid w:val="294C6D88"/>
    <w:rsid w:val="294D0822"/>
    <w:rsid w:val="294F3120"/>
    <w:rsid w:val="294F3684"/>
    <w:rsid w:val="295108F9"/>
    <w:rsid w:val="29521E15"/>
    <w:rsid w:val="295255BC"/>
    <w:rsid w:val="29535C46"/>
    <w:rsid w:val="29557225"/>
    <w:rsid w:val="29557B28"/>
    <w:rsid w:val="2957427C"/>
    <w:rsid w:val="2959155B"/>
    <w:rsid w:val="295920A7"/>
    <w:rsid w:val="29595666"/>
    <w:rsid w:val="295B1778"/>
    <w:rsid w:val="295C2DFA"/>
    <w:rsid w:val="29626A29"/>
    <w:rsid w:val="2967011C"/>
    <w:rsid w:val="29673C78"/>
    <w:rsid w:val="296879F1"/>
    <w:rsid w:val="296A014B"/>
    <w:rsid w:val="296B4BAB"/>
    <w:rsid w:val="296D5007"/>
    <w:rsid w:val="296E3259"/>
    <w:rsid w:val="296E5E34"/>
    <w:rsid w:val="29707BDD"/>
    <w:rsid w:val="29714AF7"/>
    <w:rsid w:val="297168A5"/>
    <w:rsid w:val="297222DF"/>
    <w:rsid w:val="2972287B"/>
    <w:rsid w:val="2973261D"/>
    <w:rsid w:val="297354E2"/>
    <w:rsid w:val="29736AC1"/>
    <w:rsid w:val="29756479"/>
    <w:rsid w:val="2977497C"/>
    <w:rsid w:val="29780591"/>
    <w:rsid w:val="2978584B"/>
    <w:rsid w:val="297A5912"/>
    <w:rsid w:val="297D349C"/>
    <w:rsid w:val="29811D3B"/>
    <w:rsid w:val="29820AB2"/>
    <w:rsid w:val="29842A7C"/>
    <w:rsid w:val="2987431B"/>
    <w:rsid w:val="29874881"/>
    <w:rsid w:val="298934C7"/>
    <w:rsid w:val="29893B96"/>
    <w:rsid w:val="298B26F3"/>
    <w:rsid w:val="298D1A91"/>
    <w:rsid w:val="29910FF5"/>
    <w:rsid w:val="29934A6D"/>
    <w:rsid w:val="29946A38"/>
    <w:rsid w:val="299507E6"/>
    <w:rsid w:val="299627B0"/>
    <w:rsid w:val="2996455E"/>
    <w:rsid w:val="2996630C"/>
    <w:rsid w:val="299762F5"/>
    <w:rsid w:val="29986528"/>
    <w:rsid w:val="29995DFC"/>
    <w:rsid w:val="299B6018"/>
    <w:rsid w:val="299F78B6"/>
    <w:rsid w:val="29A22F02"/>
    <w:rsid w:val="29A423DF"/>
    <w:rsid w:val="29A47BA3"/>
    <w:rsid w:val="29A70519"/>
    <w:rsid w:val="29A7676B"/>
    <w:rsid w:val="29A81F93"/>
    <w:rsid w:val="29A95DDB"/>
    <w:rsid w:val="29AC1F04"/>
    <w:rsid w:val="29AE7AF9"/>
    <w:rsid w:val="29AF561F"/>
    <w:rsid w:val="29B23E26"/>
    <w:rsid w:val="29B37D59"/>
    <w:rsid w:val="29B449E4"/>
    <w:rsid w:val="29B64C00"/>
    <w:rsid w:val="29B83359"/>
    <w:rsid w:val="29BB3FC4"/>
    <w:rsid w:val="29BB5D72"/>
    <w:rsid w:val="29BB7D59"/>
    <w:rsid w:val="29BE3BBF"/>
    <w:rsid w:val="29C235A5"/>
    <w:rsid w:val="29C31E3E"/>
    <w:rsid w:val="29C71CC2"/>
    <w:rsid w:val="29C72969"/>
    <w:rsid w:val="29CB109C"/>
    <w:rsid w:val="29CE5AA6"/>
    <w:rsid w:val="29D357B2"/>
    <w:rsid w:val="29D51476"/>
    <w:rsid w:val="29D5241F"/>
    <w:rsid w:val="29D55086"/>
    <w:rsid w:val="29D55D1F"/>
    <w:rsid w:val="29D626A6"/>
    <w:rsid w:val="29D64538"/>
    <w:rsid w:val="29D85669"/>
    <w:rsid w:val="29DD77F8"/>
    <w:rsid w:val="29E03A2B"/>
    <w:rsid w:val="29E325E0"/>
    <w:rsid w:val="29E452C9"/>
    <w:rsid w:val="29E45A08"/>
    <w:rsid w:val="29E90486"/>
    <w:rsid w:val="29E96D83"/>
    <w:rsid w:val="29EA396B"/>
    <w:rsid w:val="29EC22B3"/>
    <w:rsid w:val="29ED4E9B"/>
    <w:rsid w:val="29F00112"/>
    <w:rsid w:val="29F340A3"/>
    <w:rsid w:val="29F8418F"/>
    <w:rsid w:val="29F84F6B"/>
    <w:rsid w:val="29FB0865"/>
    <w:rsid w:val="29FB447E"/>
    <w:rsid w:val="29FD638B"/>
    <w:rsid w:val="29FE4E85"/>
    <w:rsid w:val="29FF0355"/>
    <w:rsid w:val="29FF65A7"/>
    <w:rsid w:val="2A026B63"/>
    <w:rsid w:val="2A0526AA"/>
    <w:rsid w:val="2A0539F9"/>
    <w:rsid w:val="2A077209"/>
    <w:rsid w:val="2A080B08"/>
    <w:rsid w:val="2A085CB6"/>
    <w:rsid w:val="2A0911D4"/>
    <w:rsid w:val="2A0A4CB9"/>
    <w:rsid w:val="2A0F67F9"/>
    <w:rsid w:val="2A107F3E"/>
    <w:rsid w:val="2A16744D"/>
    <w:rsid w:val="2A181417"/>
    <w:rsid w:val="2A1A518F"/>
    <w:rsid w:val="2A1A6F3D"/>
    <w:rsid w:val="2A1D3313"/>
    <w:rsid w:val="2A1F4553"/>
    <w:rsid w:val="2A214DDF"/>
    <w:rsid w:val="2A233557"/>
    <w:rsid w:val="2A24431D"/>
    <w:rsid w:val="2A24600D"/>
    <w:rsid w:val="2A246B9F"/>
    <w:rsid w:val="2A263B34"/>
    <w:rsid w:val="2A27165A"/>
    <w:rsid w:val="2A283AF9"/>
    <w:rsid w:val="2A283C5A"/>
    <w:rsid w:val="2A2A22C2"/>
    <w:rsid w:val="2A2B739C"/>
    <w:rsid w:val="2A2C1051"/>
    <w:rsid w:val="2A2D3215"/>
    <w:rsid w:val="2A2F6080"/>
    <w:rsid w:val="2A312F58"/>
    <w:rsid w:val="2A352CB1"/>
    <w:rsid w:val="2A36314F"/>
    <w:rsid w:val="2A375D41"/>
    <w:rsid w:val="2A3774CC"/>
    <w:rsid w:val="2A3A138D"/>
    <w:rsid w:val="2A3A313B"/>
    <w:rsid w:val="2A3C7810"/>
    <w:rsid w:val="2A3D0E7D"/>
    <w:rsid w:val="2A4144C9"/>
    <w:rsid w:val="2A416EF5"/>
    <w:rsid w:val="2A44045E"/>
    <w:rsid w:val="2A452503"/>
    <w:rsid w:val="2A481CFC"/>
    <w:rsid w:val="2A497822"/>
    <w:rsid w:val="2A4A03B8"/>
    <w:rsid w:val="2A4D6221"/>
    <w:rsid w:val="2A4D7312"/>
    <w:rsid w:val="2A4E2F15"/>
    <w:rsid w:val="2A53244F"/>
    <w:rsid w:val="2A552DE9"/>
    <w:rsid w:val="2A554419"/>
    <w:rsid w:val="2A5A37DD"/>
    <w:rsid w:val="2A5A64C9"/>
    <w:rsid w:val="2A5C3A15"/>
    <w:rsid w:val="2A5E4B08"/>
    <w:rsid w:val="2A5F2BA2"/>
    <w:rsid w:val="2A6428AE"/>
    <w:rsid w:val="2A643999"/>
    <w:rsid w:val="2A673527"/>
    <w:rsid w:val="2A684E1D"/>
    <w:rsid w:val="2A6A29D7"/>
    <w:rsid w:val="2A6B1546"/>
    <w:rsid w:val="2A6B2A4D"/>
    <w:rsid w:val="2A6C1C47"/>
    <w:rsid w:val="2A6E00C9"/>
    <w:rsid w:val="2A703E34"/>
    <w:rsid w:val="2A706684"/>
    <w:rsid w:val="2A720B27"/>
    <w:rsid w:val="2A740B21"/>
    <w:rsid w:val="2A743B27"/>
    <w:rsid w:val="2A7725E1"/>
    <w:rsid w:val="2A783C63"/>
    <w:rsid w:val="2A7A2F78"/>
    <w:rsid w:val="2A7E7F0E"/>
    <w:rsid w:val="2A7F1496"/>
    <w:rsid w:val="2A7F4FF2"/>
    <w:rsid w:val="2A80067B"/>
    <w:rsid w:val="2A816FBC"/>
    <w:rsid w:val="2A832D34"/>
    <w:rsid w:val="2A8357A2"/>
    <w:rsid w:val="2A865D92"/>
    <w:rsid w:val="2A884766"/>
    <w:rsid w:val="2A8A4FE9"/>
    <w:rsid w:val="2A8B7614"/>
    <w:rsid w:val="2A8B7E3A"/>
    <w:rsid w:val="2A8C4DCF"/>
    <w:rsid w:val="2A8D5961"/>
    <w:rsid w:val="2A8E470D"/>
    <w:rsid w:val="2A9036A3"/>
    <w:rsid w:val="2A905451"/>
    <w:rsid w:val="2A90584B"/>
    <w:rsid w:val="2A92414F"/>
    <w:rsid w:val="2A930A9D"/>
    <w:rsid w:val="2A9539D0"/>
    <w:rsid w:val="2A991B89"/>
    <w:rsid w:val="2A9B6036"/>
    <w:rsid w:val="2A9C2048"/>
    <w:rsid w:val="2A9D286A"/>
    <w:rsid w:val="2AA0706D"/>
    <w:rsid w:val="2AA34EE0"/>
    <w:rsid w:val="2AA35184"/>
    <w:rsid w:val="2AA35AB0"/>
    <w:rsid w:val="2AA36F32"/>
    <w:rsid w:val="2AA70752"/>
    <w:rsid w:val="2AA902C1"/>
    <w:rsid w:val="2AAB6938"/>
    <w:rsid w:val="2AAD1B5F"/>
    <w:rsid w:val="2AAD6003"/>
    <w:rsid w:val="2AAE214A"/>
    <w:rsid w:val="2AAE454D"/>
    <w:rsid w:val="2AB42E33"/>
    <w:rsid w:val="2AB7522B"/>
    <w:rsid w:val="2ABE34FC"/>
    <w:rsid w:val="2AC00C96"/>
    <w:rsid w:val="2AC12950"/>
    <w:rsid w:val="2AC30FE0"/>
    <w:rsid w:val="2AC770AF"/>
    <w:rsid w:val="2AC97F59"/>
    <w:rsid w:val="2ACD2201"/>
    <w:rsid w:val="2ACE1AD5"/>
    <w:rsid w:val="2AD03A9F"/>
    <w:rsid w:val="2AD7709E"/>
    <w:rsid w:val="2ADA6C70"/>
    <w:rsid w:val="2ADC41F2"/>
    <w:rsid w:val="2ADE61BC"/>
    <w:rsid w:val="2AE61515"/>
    <w:rsid w:val="2AE65071"/>
    <w:rsid w:val="2AE8167B"/>
    <w:rsid w:val="2AEB3321"/>
    <w:rsid w:val="2AEC6B2B"/>
    <w:rsid w:val="2AED3842"/>
    <w:rsid w:val="2AED63FF"/>
    <w:rsid w:val="2AEF71F7"/>
    <w:rsid w:val="2AF23A16"/>
    <w:rsid w:val="2AF33A44"/>
    <w:rsid w:val="2AF54444"/>
    <w:rsid w:val="2AF754BA"/>
    <w:rsid w:val="2AF86082"/>
    <w:rsid w:val="2AFE23BA"/>
    <w:rsid w:val="2AFE685E"/>
    <w:rsid w:val="2B016757"/>
    <w:rsid w:val="2B017A24"/>
    <w:rsid w:val="2B022C83"/>
    <w:rsid w:val="2B02634F"/>
    <w:rsid w:val="2B036AF6"/>
    <w:rsid w:val="2B065713"/>
    <w:rsid w:val="2B093A4F"/>
    <w:rsid w:val="2B0A0D5F"/>
    <w:rsid w:val="2B0B37FC"/>
    <w:rsid w:val="2B0D4CF3"/>
    <w:rsid w:val="2B1473EF"/>
    <w:rsid w:val="2B1716CE"/>
    <w:rsid w:val="2B1842D0"/>
    <w:rsid w:val="2B197B8A"/>
    <w:rsid w:val="2B1A3EE2"/>
    <w:rsid w:val="2B1C6CE5"/>
    <w:rsid w:val="2B1E480B"/>
    <w:rsid w:val="2B1E4813"/>
    <w:rsid w:val="2B1E53A8"/>
    <w:rsid w:val="2B1F26F1"/>
    <w:rsid w:val="2B215E6F"/>
    <w:rsid w:val="2B23525C"/>
    <w:rsid w:val="2B2362C5"/>
    <w:rsid w:val="2B24423A"/>
    <w:rsid w:val="2B255E51"/>
    <w:rsid w:val="2B261911"/>
    <w:rsid w:val="2B2777B7"/>
    <w:rsid w:val="2B277B63"/>
    <w:rsid w:val="2B2A31B0"/>
    <w:rsid w:val="2B2C08A6"/>
    <w:rsid w:val="2B2C172B"/>
    <w:rsid w:val="2B2F07C6"/>
    <w:rsid w:val="2B2F751F"/>
    <w:rsid w:val="2B3109E2"/>
    <w:rsid w:val="2B3123ED"/>
    <w:rsid w:val="2B34219F"/>
    <w:rsid w:val="2B354EAF"/>
    <w:rsid w:val="2B391645"/>
    <w:rsid w:val="2B397896"/>
    <w:rsid w:val="2B3E00AD"/>
    <w:rsid w:val="2B422408"/>
    <w:rsid w:val="2B44578A"/>
    <w:rsid w:val="2B473D61"/>
    <w:rsid w:val="2B485D2C"/>
    <w:rsid w:val="2B4D50F0"/>
    <w:rsid w:val="2B4F2C16"/>
    <w:rsid w:val="2B501FF9"/>
    <w:rsid w:val="2B502AE9"/>
    <w:rsid w:val="2B520958"/>
    <w:rsid w:val="2B536BAA"/>
    <w:rsid w:val="2B54022C"/>
    <w:rsid w:val="2B587855"/>
    <w:rsid w:val="2B593A95"/>
    <w:rsid w:val="2B597F39"/>
    <w:rsid w:val="2B5B262F"/>
    <w:rsid w:val="2B5B6A8B"/>
    <w:rsid w:val="2B5B780D"/>
    <w:rsid w:val="2B5D3585"/>
    <w:rsid w:val="2B60325D"/>
    <w:rsid w:val="2B612C22"/>
    <w:rsid w:val="2B627800"/>
    <w:rsid w:val="2B650989"/>
    <w:rsid w:val="2B652952"/>
    <w:rsid w:val="2B6761B2"/>
    <w:rsid w:val="2B69017C"/>
    <w:rsid w:val="2B6A3EF4"/>
    <w:rsid w:val="2B6B73E8"/>
    <w:rsid w:val="2B6C4076"/>
    <w:rsid w:val="2B6C7771"/>
    <w:rsid w:val="2B710485"/>
    <w:rsid w:val="2B715282"/>
    <w:rsid w:val="2B761766"/>
    <w:rsid w:val="2B762899"/>
    <w:rsid w:val="2B783BC3"/>
    <w:rsid w:val="2B785ADF"/>
    <w:rsid w:val="2B7D59D5"/>
    <w:rsid w:val="2B7E174D"/>
    <w:rsid w:val="2B7F799F"/>
    <w:rsid w:val="2B836D64"/>
    <w:rsid w:val="2B844556"/>
    <w:rsid w:val="2B8555DF"/>
    <w:rsid w:val="2B8A1EA0"/>
    <w:rsid w:val="2B8A47B9"/>
    <w:rsid w:val="2B8E7BE2"/>
    <w:rsid w:val="2B8F18B2"/>
    <w:rsid w:val="2B910373"/>
    <w:rsid w:val="2B915E38"/>
    <w:rsid w:val="2B9351F9"/>
    <w:rsid w:val="2B944ACD"/>
    <w:rsid w:val="2B9503F9"/>
    <w:rsid w:val="2B962901"/>
    <w:rsid w:val="2B962E08"/>
    <w:rsid w:val="2B964CE9"/>
    <w:rsid w:val="2B970055"/>
    <w:rsid w:val="2B980A61"/>
    <w:rsid w:val="2B98280F"/>
    <w:rsid w:val="2B9B21BA"/>
    <w:rsid w:val="2B9B5E5B"/>
    <w:rsid w:val="2B9D6077"/>
    <w:rsid w:val="2B9E57D7"/>
    <w:rsid w:val="2B9E614B"/>
    <w:rsid w:val="2BA07916"/>
    <w:rsid w:val="2BA12DD7"/>
    <w:rsid w:val="2BA2121F"/>
    <w:rsid w:val="2BA271EA"/>
    <w:rsid w:val="2BA418E2"/>
    <w:rsid w:val="2BA6206E"/>
    <w:rsid w:val="2BA936A8"/>
    <w:rsid w:val="2BAA609E"/>
    <w:rsid w:val="2BAA6270"/>
    <w:rsid w:val="2BAC1E16"/>
    <w:rsid w:val="2BAC4425"/>
    <w:rsid w:val="2BAC623E"/>
    <w:rsid w:val="2BB04CB3"/>
    <w:rsid w:val="2BB1567F"/>
    <w:rsid w:val="2BB676D9"/>
    <w:rsid w:val="2BB84C5F"/>
    <w:rsid w:val="2BB94533"/>
    <w:rsid w:val="2BBD7685"/>
    <w:rsid w:val="2BC058C2"/>
    <w:rsid w:val="2BC25ADE"/>
    <w:rsid w:val="2BC2788C"/>
    <w:rsid w:val="2BC33E82"/>
    <w:rsid w:val="2BC37160"/>
    <w:rsid w:val="2BC41856"/>
    <w:rsid w:val="2BC575D6"/>
    <w:rsid w:val="2BC838D5"/>
    <w:rsid w:val="2BC90961"/>
    <w:rsid w:val="2BCA6741"/>
    <w:rsid w:val="2BCB490F"/>
    <w:rsid w:val="2BCD0890"/>
    <w:rsid w:val="2BCE4483"/>
    <w:rsid w:val="2BCE6231"/>
    <w:rsid w:val="2BD001FB"/>
    <w:rsid w:val="2BD15D21"/>
    <w:rsid w:val="2BD25E57"/>
    <w:rsid w:val="2BD53927"/>
    <w:rsid w:val="2BDC6030"/>
    <w:rsid w:val="2BDD0222"/>
    <w:rsid w:val="2BE07D12"/>
    <w:rsid w:val="2BE21CDC"/>
    <w:rsid w:val="2BE27F2E"/>
    <w:rsid w:val="2BE66986"/>
    <w:rsid w:val="2BE7666A"/>
    <w:rsid w:val="2BEA293F"/>
    <w:rsid w:val="2BEB4B93"/>
    <w:rsid w:val="2BEF6108"/>
    <w:rsid w:val="2BF46BE7"/>
    <w:rsid w:val="2BF57C61"/>
    <w:rsid w:val="2BF808D8"/>
    <w:rsid w:val="2BF80B9C"/>
    <w:rsid w:val="2BFB2D9E"/>
    <w:rsid w:val="2BFD3BD7"/>
    <w:rsid w:val="2BFD6B16"/>
    <w:rsid w:val="2C016606"/>
    <w:rsid w:val="2C041C52"/>
    <w:rsid w:val="2C091D98"/>
    <w:rsid w:val="2C0A1BC1"/>
    <w:rsid w:val="2C0C2709"/>
    <w:rsid w:val="2C0E556B"/>
    <w:rsid w:val="2C114C90"/>
    <w:rsid w:val="2C160CC3"/>
    <w:rsid w:val="2C183950"/>
    <w:rsid w:val="2C18486D"/>
    <w:rsid w:val="2C197E52"/>
    <w:rsid w:val="2C1A54A4"/>
    <w:rsid w:val="2C1A76C8"/>
    <w:rsid w:val="2C1E26E0"/>
    <w:rsid w:val="2C1F083A"/>
    <w:rsid w:val="2C1F6A8C"/>
    <w:rsid w:val="2C20689D"/>
    <w:rsid w:val="2C212185"/>
    <w:rsid w:val="2C22032B"/>
    <w:rsid w:val="2C227653"/>
    <w:rsid w:val="2C237D80"/>
    <w:rsid w:val="2C2440A3"/>
    <w:rsid w:val="2C245E51"/>
    <w:rsid w:val="2C260533"/>
    <w:rsid w:val="2C2A3767"/>
    <w:rsid w:val="2C2A5838"/>
    <w:rsid w:val="2C2A71DF"/>
    <w:rsid w:val="2C2B5431"/>
    <w:rsid w:val="2C2C1247"/>
    <w:rsid w:val="2C2D709D"/>
    <w:rsid w:val="2C2E3173"/>
    <w:rsid w:val="2C303149"/>
    <w:rsid w:val="2C315A5A"/>
    <w:rsid w:val="2C365B84"/>
    <w:rsid w:val="2C3818FC"/>
    <w:rsid w:val="2C382FB9"/>
    <w:rsid w:val="2C3C763E"/>
    <w:rsid w:val="2C3F43AA"/>
    <w:rsid w:val="2C40699F"/>
    <w:rsid w:val="2C424529"/>
    <w:rsid w:val="2C4402A1"/>
    <w:rsid w:val="2C4620B5"/>
    <w:rsid w:val="2C46226B"/>
    <w:rsid w:val="2C487AD8"/>
    <w:rsid w:val="2C491D5B"/>
    <w:rsid w:val="2C4B1C25"/>
    <w:rsid w:val="2C4D28BE"/>
    <w:rsid w:val="2C4E2ECE"/>
    <w:rsid w:val="2C50180B"/>
    <w:rsid w:val="2C506C46"/>
    <w:rsid w:val="2C55425C"/>
    <w:rsid w:val="2C564E15"/>
    <w:rsid w:val="2C574478"/>
    <w:rsid w:val="2C576226"/>
    <w:rsid w:val="2C5923C8"/>
    <w:rsid w:val="2C5950A4"/>
    <w:rsid w:val="2C5A1872"/>
    <w:rsid w:val="2C5A3F68"/>
    <w:rsid w:val="2C5B5D0B"/>
    <w:rsid w:val="2C5D75B5"/>
    <w:rsid w:val="2C5F4743"/>
    <w:rsid w:val="2C6004B6"/>
    <w:rsid w:val="2C666469"/>
    <w:rsid w:val="2C6B6EF3"/>
    <w:rsid w:val="2C6B7F24"/>
    <w:rsid w:val="2C6C77F8"/>
    <w:rsid w:val="2C6D4700"/>
    <w:rsid w:val="2C702B8C"/>
    <w:rsid w:val="2C71394C"/>
    <w:rsid w:val="2C7212B2"/>
    <w:rsid w:val="2C723060"/>
    <w:rsid w:val="2C740167"/>
    <w:rsid w:val="2C752EE8"/>
    <w:rsid w:val="2C785629"/>
    <w:rsid w:val="2C7C10DC"/>
    <w:rsid w:val="2C8114F5"/>
    <w:rsid w:val="2C820DC9"/>
    <w:rsid w:val="2C83526D"/>
    <w:rsid w:val="2C841B23"/>
    <w:rsid w:val="2C862667"/>
    <w:rsid w:val="2C8E59C0"/>
    <w:rsid w:val="2C901314"/>
    <w:rsid w:val="2C9129FE"/>
    <w:rsid w:val="2C932A60"/>
    <w:rsid w:val="2C974875"/>
    <w:rsid w:val="2C993672"/>
    <w:rsid w:val="2C994A91"/>
    <w:rsid w:val="2C9B01E8"/>
    <w:rsid w:val="2C9C1E8B"/>
    <w:rsid w:val="2C9D0CDF"/>
    <w:rsid w:val="2C9D5C03"/>
    <w:rsid w:val="2C9E4F19"/>
    <w:rsid w:val="2CA03771"/>
    <w:rsid w:val="2CA3035B"/>
    <w:rsid w:val="2CA43435"/>
    <w:rsid w:val="2CA511A8"/>
    <w:rsid w:val="2CA60F5C"/>
    <w:rsid w:val="2CA6666D"/>
    <w:rsid w:val="2CA863E2"/>
    <w:rsid w:val="2CAA51C0"/>
    <w:rsid w:val="2CAB1EBD"/>
    <w:rsid w:val="2CAD4098"/>
    <w:rsid w:val="2CAE1BBE"/>
    <w:rsid w:val="2CB00814"/>
    <w:rsid w:val="2CB06308"/>
    <w:rsid w:val="2CB17492"/>
    <w:rsid w:val="2CB24F90"/>
    <w:rsid w:val="2CB35427"/>
    <w:rsid w:val="2CB81405"/>
    <w:rsid w:val="2CB90C8F"/>
    <w:rsid w:val="2CB95D3F"/>
    <w:rsid w:val="2CBA3B14"/>
    <w:rsid w:val="2CBA517E"/>
    <w:rsid w:val="2CBB1644"/>
    <w:rsid w:val="2CBC252D"/>
    <w:rsid w:val="2CBF201D"/>
    <w:rsid w:val="2CBF5B79"/>
    <w:rsid w:val="2CC43190"/>
    <w:rsid w:val="2CC500C4"/>
    <w:rsid w:val="2CC628ED"/>
    <w:rsid w:val="2CC633AC"/>
    <w:rsid w:val="2CC80477"/>
    <w:rsid w:val="2CCA2EEC"/>
    <w:rsid w:val="2CCC072C"/>
    <w:rsid w:val="2CCC1663"/>
    <w:rsid w:val="2CCF79A7"/>
    <w:rsid w:val="2CD05FD9"/>
    <w:rsid w:val="2CD0658D"/>
    <w:rsid w:val="2CD32353"/>
    <w:rsid w:val="2CD47877"/>
    <w:rsid w:val="2CD548E9"/>
    <w:rsid w:val="2CD7243F"/>
    <w:rsid w:val="2CD755B9"/>
    <w:rsid w:val="2CDA5E9A"/>
    <w:rsid w:val="2CDC497D"/>
    <w:rsid w:val="2CDE6947"/>
    <w:rsid w:val="2CE04CCC"/>
    <w:rsid w:val="2CE35D0C"/>
    <w:rsid w:val="2CE54A2F"/>
    <w:rsid w:val="2CE564E0"/>
    <w:rsid w:val="2CE81DF9"/>
    <w:rsid w:val="2CE83322"/>
    <w:rsid w:val="2CE850D0"/>
    <w:rsid w:val="2CEA52EC"/>
    <w:rsid w:val="2CEB4BC0"/>
    <w:rsid w:val="2CEB696E"/>
    <w:rsid w:val="2CEE4281"/>
    <w:rsid w:val="2CEE61CE"/>
    <w:rsid w:val="2CEE7D0F"/>
    <w:rsid w:val="2CF41CC7"/>
    <w:rsid w:val="2CFB5A81"/>
    <w:rsid w:val="2CFC6DCE"/>
    <w:rsid w:val="2CFE48F4"/>
    <w:rsid w:val="2CFF241A"/>
    <w:rsid w:val="2D010719"/>
    <w:rsid w:val="2D025BF1"/>
    <w:rsid w:val="2D050C77"/>
    <w:rsid w:val="2D05261D"/>
    <w:rsid w:val="2D0615A5"/>
    <w:rsid w:val="2D0637A8"/>
    <w:rsid w:val="2D067C4C"/>
    <w:rsid w:val="2D0839C4"/>
    <w:rsid w:val="2D08597C"/>
    <w:rsid w:val="2D086016"/>
    <w:rsid w:val="2D0A33D8"/>
    <w:rsid w:val="2D0B5263"/>
    <w:rsid w:val="2D0B7011"/>
    <w:rsid w:val="2D1265F1"/>
    <w:rsid w:val="2D1270F4"/>
    <w:rsid w:val="2D16281F"/>
    <w:rsid w:val="2D173C07"/>
    <w:rsid w:val="2D1759B5"/>
    <w:rsid w:val="2D19172E"/>
    <w:rsid w:val="2D192791"/>
    <w:rsid w:val="2D1A156E"/>
    <w:rsid w:val="2D1A7254"/>
    <w:rsid w:val="2D1B777C"/>
    <w:rsid w:val="2D1C121E"/>
    <w:rsid w:val="2D1C4D7A"/>
    <w:rsid w:val="2D1C7470"/>
    <w:rsid w:val="2D1D481F"/>
    <w:rsid w:val="2D1E3F54"/>
    <w:rsid w:val="2D202ABC"/>
    <w:rsid w:val="2D2105E2"/>
    <w:rsid w:val="2D224276"/>
    <w:rsid w:val="2D2607BF"/>
    <w:rsid w:val="2D281971"/>
    <w:rsid w:val="2D287BC3"/>
    <w:rsid w:val="2D297497"/>
    <w:rsid w:val="2D2B320F"/>
    <w:rsid w:val="2D2B7124"/>
    <w:rsid w:val="2D2D51D9"/>
    <w:rsid w:val="2D2E3A92"/>
    <w:rsid w:val="2D311675"/>
    <w:rsid w:val="2D320A41"/>
    <w:rsid w:val="2D340315"/>
    <w:rsid w:val="2D376058"/>
    <w:rsid w:val="2D3922B9"/>
    <w:rsid w:val="2D415548"/>
    <w:rsid w:val="2D426ED6"/>
    <w:rsid w:val="2D4474E4"/>
    <w:rsid w:val="2D447856"/>
    <w:rsid w:val="2D482013"/>
    <w:rsid w:val="2D4B1C1E"/>
    <w:rsid w:val="2D4B38B1"/>
    <w:rsid w:val="2D4F5C69"/>
    <w:rsid w:val="2D515F18"/>
    <w:rsid w:val="2D517119"/>
    <w:rsid w:val="2D526117"/>
    <w:rsid w:val="2D5858CA"/>
    <w:rsid w:val="2D590D59"/>
    <w:rsid w:val="2D5B3AF4"/>
    <w:rsid w:val="2D5D2100"/>
    <w:rsid w:val="2D625A52"/>
    <w:rsid w:val="2D632AA5"/>
    <w:rsid w:val="2D650FBB"/>
    <w:rsid w:val="2D662499"/>
    <w:rsid w:val="2D6675C8"/>
    <w:rsid w:val="2D6706EB"/>
    <w:rsid w:val="2D687FBF"/>
    <w:rsid w:val="2D6947B8"/>
    <w:rsid w:val="2D6C3B50"/>
    <w:rsid w:val="2D6C3F53"/>
    <w:rsid w:val="2D6C73C7"/>
    <w:rsid w:val="2D72167B"/>
    <w:rsid w:val="2D727090"/>
    <w:rsid w:val="2D75094D"/>
    <w:rsid w:val="2D7746A6"/>
    <w:rsid w:val="2D7836E3"/>
    <w:rsid w:val="2D7B489E"/>
    <w:rsid w:val="2D7D5E2E"/>
    <w:rsid w:val="2D8007C2"/>
    <w:rsid w:val="2D80355B"/>
    <w:rsid w:val="2D824E88"/>
    <w:rsid w:val="2D834DF9"/>
    <w:rsid w:val="2D850B71"/>
    <w:rsid w:val="2D873D96"/>
    <w:rsid w:val="2D893D98"/>
    <w:rsid w:val="2D8C0151"/>
    <w:rsid w:val="2D8F7C42"/>
    <w:rsid w:val="2D901704"/>
    <w:rsid w:val="2D9154F3"/>
    <w:rsid w:val="2D915768"/>
    <w:rsid w:val="2D9214E0"/>
    <w:rsid w:val="2D92620F"/>
    <w:rsid w:val="2D930718"/>
    <w:rsid w:val="2D984D48"/>
    <w:rsid w:val="2D99286E"/>
    <w:rsid w:val="2D9A2088"/>
    <w:rsid w:val="2D9C5EBB"/>
    <w:rsid w:val="2D9E56F5"/>
    <w:rsid w:val="2D9F1EB3"/>
    <w:rsid w:val="2DA03186"/>
    <w:rsid w:val="2DA059AB"/>
    <w:rsid w:val="2DA82AB1"/>
    <w:rsid w:val="2DAA05D8"/>
    <w:rsid w:val="2DAD1851"/>
    <w:rsid w:val="2DAD5E40"/>
    <w:rsid w:val="2DAE0AD3"/>
    <w:rsid w:val="2DB06D0E"/>
    <w:rsid w:val="2DB11966"/>
    <w:rsid w:val="2DB14B7C"/>
    <w:rsid w:val="2DB256DE"/>
    <w:rsid w:val="2DB651CE"/>
    <w:rsid w:val="2DB766E1"/>
    <w:rsid w:val="2DB84138"/>
    <w:rsid w:val="2DBB0A37"/>
    <w:rsid w:val="2DBB0D56"/>
    <w:rsid w:val="2DBB5B19"/>
    <w:rsid w:val="2DBE23B8"/>
    <w:rsid w:val="2DC01BA9"/>
    <w:rsid w:val="2DC07DFB"/>
    <w:rsid w:val="2DC1791F"/>
    <w:rsid w:val="2DC27835"/>
    <w:rsid w:val="2DC518B5"/>
    <w:rsid w:val="2DC609FB"/>
    <w:rsid w:val="2DC7118A"/>
    <w:rsid w:val="2DC773DC"/>
    <w:rsid w:val="2DCD3019"/>
    <w:rsid w:val="2DCE6891"/>
    <w:rsid w:val="2DCF6290"/>
    <w:rsid w:val="2DD1025A"/>
    <w:rsid w:val="2DD24D42"/>
    <w:rsid w:val="2DD446BD"/>
    <w:rsid w:val="2DD90EBD"/>
    <w:rsid w:val="2DD92C6B"/>
    <w:rsid w:val="2DDB3FD8"/>
    <w:rsid w:val="2DDC58F1"/>
    <w:rsid w:val="2DDD44FF"/>
    <w:rsid w:val="2DE0224B"/>
    <w:rsid w:val="2DE117B4"/>
    <w:rsid w:val="2DE27D71"/>
    <w:rsid w:val="2DE476CC"/>
    <w:rsid w:val="2DE51610"/>
    <w:rsid w:val="2DEA131C"/>
    <w:rsid w:val="2DEA3FB3"/>
    <w:rsid w:val="2DED3E2D"/>
    <w:rsid w:val="2DEF1543"/>
    <w:rsid w:val="2DF06D6A"/>
    <w:rsid w:val="2DF15414"/>
    <w:rsid w:val="2DF47AA5"/>
    <w:rsid w:val="2DF5789D"/>
    <w:rsid w:val="2DF61A6F"/>
    <w:rsid w:val="2DF857E7"/>
    <w:rsid w:val="2DFB0E33"/>
    <w:rsid w:val="2DFB23E1"/>
    <w:rsid w:val="2DFB4799"/>
    <w:rsid w:val="2DFB7085"/>
    <w:rsid w:val="2DFE1D47"/>
    <w:rsid w:val="2E007D59"/>
    <w:rsid w:val="2E01073F"/>
    <w:rsid w:val="2E0561F4"/>
    <w:rsid w:val="2E07292D"/>
    <w:rsid w:val="2E076500"/>
    <w:rsid w:val="2E093550"/>
    <w:rsid w:val="2E0B19C7"/>
    <w:rsid w:val="2E0F1E22"/>
    <w:rsid w:val="2E0F48DF"/>
    <w:rsid w:val="2E104D90"/>
    <w:rsid w:val="2E112405"/>
    <w:rsid w:val="2E133665"/>
    <w:rsid w:val="2E163EBF"/>
    <w:rsid w:val="2E1819E5"/>
    <w:rsid w:val="2E1B14D5"/>
    <w:rsid w:val="2E1B3283"/>
    <w:rsid w:val="2E1E4B22"/>
    <w:rsid w:val="2E1F2D74"/>
    <w:rsid w:val="2E1F3012"/>
    <w:rsid w:val="2E20199F"/>
    <w:rsid w:val="2E263E03"/>
    <w:rsid w:val="2E271C28"/>
    <w:rsid w:val="2E2E2FB7"/>
    <w:rsid w:val="2E321787"/>
    <w:rsid w:val="2E346E07"/>
    <w:rsid w:val="2E3645E7"/>
    <w:rsid w:val="2E383E35"/>
    <w:rsid w:val="2E390329"/>
    <w:rsid w:val="2E3A195C"/>
    <w:rsid w:val="2E3A5DFF"/>
    <w:rsid w:val="2E3C1D47"/>
    <w:rsid w:val="2E3C3575"/>
    <w:rsid w:val="2E3F51C4"/>
    <w:rsid w:val="2E4222B4"/>
    <w:rsid w:val="2E4616D8"/>
    <w:rsid w:val="2E470A1A"/>
    <w:rsid w:val="2E485B9A"/>
    <w:rsid w:val="2E4B3F71"/>
    <w:rsid w:val="2E4C78E1"/>
    <w:rsid w:val="2E4D72C4"/>
    <w:rsid w:val="2E4E2862"/>
    <w:rsid w:val="2E4E5407"/>
    <w:rsid w:val="2E536EC1"/>
    <w:rsid w:val="2E556795"/>
    <w:rsid w:val="2E56075F"/>
    <w:rsid w:val="2E5B7B24"/>
    <w:rsid w:val="2E5C3FC8"/>
    <w:rsid w:val="2E5D1AEE"/>
    <w:rsid w:val="2E620219"/>
    <w:rsid w:val="2E6424AB"/>
    <w:rsid w:val="2E661AF6"/>
    <w:rsid w:val="2E667F96"/>
    <w:rsid w:val="2E68409D"/>
    <w:rsid w:val="2E68477F"/>
    <w:rsid w:val="2E693FEF"/>
    <w:rsid w:val="2E695035"/>
    <w:rsid w:val="2E6966E5"/>
    <w:rsid w:val="2E6A303B"/>
    <w:rsid w:val="2E6A313C"/>
    <w:rsid w:val="2E6A57D1"/>
    <w:rsid w:val="2E6B5FB9"/>
    <w:rsid w:val="2E6C1D31"/>
    <w:rsid w:val="2E6F2559"/>
    <w:rsid w:val="2E701821"/>
    <w:rsid w:val="2E7211A1"/>
    <w:rsid w:val="2E731311"/>
    <w:rsid w:val="2E76670C"/>
    <w:rsid w:val="2E774310"/>
    <w:rsid w:val="2E7806D6"/>
    <w:rsid w:val="2E790227"/>
    <w:rsid w:val="2E7B5A25"/>
    <w:rsid w:val="2E7C71D4"/>
    <w:rsid w:val="2E7F3812"/>
    <w:rsid w:val="2E8226AB"/>
    <w:rsid w:val="2E84707B"/>
    <w:rsid w:val="2E875EEC"/>
    <w:rsid w:val="2E8777BB"/>
    <w:rsid w:val="2E895333"/>
    <w:rsid w:val="2E8B0409"/>
    <w:rsid w:val="2E8C4181"/>
    <w:rsid w:val="2E905A1F"/>
    <w:rsid w:val="2E96324D"/>
    <w:rsid w:val="2E9848D4"/>
    <w:rsid w:val="2E9A689E"/>
    <w:rsid w:val="2E9C43C4"/>
    <w:rsid w:val="2E9D013C"/>
    <w:rsid w:val="2E9F6474"/>
    <w:rsid w:val="2EA1238C"/>
    <w:rsid w:val="2EA20E79"/>
    <w:rsid w:val="2EA25753"/>
    <w:rsid w:val="2EA26F3D"/>
    <w:rsid w:val="2EA56863"/>
    <w:rsid w:val="2EA70F8A"/>
    <w:rsid w:val="2EA75890"/>
    <w:rsid w:val="2EA87549"/>
    <w:rsid w:val="2EAA55E0"/>
    <w:rsid w:val="2EAD65D1"/>
    <w:rsid w:val="2EAE2349"/>
    <w:rsid w:val="2EAE5F95"/>
    <w:rsid w:val="2EAF6616"/>
    <w:rsid w:val="2EB55486"/>
    <w:rsid w:val="2EB80803"/>
    <w:rsid w:val="2EBD429E"/>
    <w:rsid w:val="2EBD7AB6"/>
    <w:rsid w:val="2EC35DF5"/>
    <w:rsid w:val="2EC63926"/>
    <w:rsid w:val="2EC92CDF"/>
    <w:rsid w:val="2ECB6A58"/>
    <w:rsid w:val="2ECF779E"/>
    <w:rsid w:val="2ED1168F"/>
    <w:rsid w:val="2ED27DE6"/>
    <w:rsid w:val="2ED31701"/>
    <w:rsid w:val="2ED32E95"/>
    <w:rsid w:val="2ED55B28"/>
    <w:rsid w:val="2ED95618"/>
    <w:rsid w:val="2EDB5758"/>
    <w:rsid w:val="2EDE266A"/>
    <w:rsid w:val="2EDE2C2F"/>
    <w:rsid w:val="2EDF4E20"/>
    <w:rsid w:val="2EE105F2"/>
    <w:rsid w:val="2EE30245"/>
    <w:rsid w:val="2EE45D6B"/>
    <w:rsid w:val="2EE55EA4"/>
    <w:rsid w:val="2EE61BC7"/>
    <w:rsid w:val="2EE62575"/>
    <w:rsid w:val="2EE652E7"/>
    <w:rsid w:val="2EE71293"/>
    <w:rsid w:val="2EE713B8"/>
    <w:rsid w:val="2EE8585B"/>
    <w:rsid w:val="2EEA0214"/>
    <w:rsid w:val="2EEA4964"/>
    <w:rsid w:val="2EEB70FA"/>
    <w:rsid w:val="2EEF6BEA"/>
    <w:rsid w:val="2EF05516"/>
    <w:rsid w:val="2EF07353"/>
    <w:rsid w:val="2EF22236"/>
    <w:rsid w:val="2EF22E48"/>
    <w:rsid w:val="2EF30B0C"/>
    <w:rsid w:val="2EF37D5C"/>
    <w:rsid w:val="2EF55F06"/>
    <w:rsid w:val="2EF57771"/>
    <w:rsid w:val="2EF97A69"/>
    <w:rsid w:val="2EFC1307"/>
    <w:rsid w:val="2EFE507F"/>
    <w:rsid w:val="2EFF54CE"/>
    <w:rsid w:val="2F0106CB"/>
    <w:rsid w:val="2F010FCE"/>
    <w:rsid w:val="2F012479"/>
    <w:rsid w:val="2F012D8E"/>
    <w:rsid w:val="2F01765C"/>
    <w:rsid w:val="2F017838"/>
    <w:rsid w:val="2F03199A"/>
    <w:rsid w:val="2F0428DB"/>
    <w:rsid w:val="2F055B43"/>
    <w:rsid w:val="2F060DBC"/>
    <w:rsid w:val="2F063F34"/>
    <w:rsid w:val="2F067A90"/>
    <w:rsid w:val="2F081AD9"/>
    <w:rsid w:val="2F0957D2"/>
    <w:rsid w:val="2F0C5EDF"/>
    <w:rsid w:val="2F143DC0"/>
    <w:rsid w:val="2F146650"/>
    <w:rsid w:val="2F18240E"/>
    <w:rsid w:val="2F183841"/>
    <w:rsid w:val="2F191EB9"/>
    <w:rsid w:val="2F193C67"/>
    <w:rsid w:val="2F1A353B"/>
    <w:rsid w:val="2F1C3757"/>
    <w:rsid w:val="2F1E4D33"/>
    <w:rsid w:val="2F1F0B51"/>
    <w:rsid w:val="2F225361"/>
    <w:rsid w:val="2F244087"/>
    <w:rsid w:val="2F257702"/>
    <w:rsid w:val="2F2621B7"/>
    <w:rsid w:val="2F2B399A"/>
    <w:rsid w:val="2F2B5748"/>
    <w:rsid w:val="2F302B06"/>
    <w:rsid w:val="2F312621"/>
    <w:rsid w:val="2F331931"/>
    <w:rsid w:val="2F3372B6"/>
    <w:rsid w:val="2F3447B4"/>
    <w:rsid w:val="2F350375"/>
    <w:rsid w:val="2F36681B"/>
    <w:rsid w:val="2F3828A2"/>
    <w:rsid w:val="2F384E37"/>
    <w:rsid w:val="2F3B4708"/>
    <w:rsid w:val="2F3D735E"/>
    <w:rsid w:val="2F3E36CD"/>
    <w:rsid w:val="2F3F2FA2"/>
    <w:rsid w:val="2F3F32AB"/>
    <w:rsid w:val="2F4075BD"/>
    <w:rsid w:val="2F41734D"/>
    <w:rsid w:val="2F4405B8"/>
    <w:rsid w:val="2F443317"/>
    <w:rsid w:val="2F4543D4"/>
    <w:rsid w:val="2F454A5C"/>
    <w:rsid w:val="2F4745EB"/>
    <w:rsid w:val="2F4B0584"/>
    <w:rsid w:val="2F4D091A"/>
    <w:rsid w:val="2F4D3910"/>
    <w:rsid w:val="2F4D56BE"/>
    <w:rsid w:val="2F522CD5"/>
    <w:rsid w:val="2F52551A"/>
    <w:rsid w:val="2F542EF1"/>
    <w:rsid w:val="2F572555"/>
    <w:rsid w:val="2F5729E1"/>
    <w:rsid w:val="2F590507"/>
    <w:rsid w:val="2F5D671B"/>
    <w:rsid w:val="2F603644"/>
    <w:rsid w:val="2F6173BC"/>
    <w:rsid w:val="2F6252DE"/>
    <w:rsid w:val="2F646E35"/>
    <w:rsid w:val="2F652C09"/>
    <w:rsid w:val="2F666780"/>
    <w:rsid w:val="2F686A9B"/>
    <w:rsid w:val="2F69641B"/>
    <w:rsid w:val="2F6A553B"/>
    <w:rsid w:val="2F6B1FE9"/>
    <w:rsid w:val="2F6C35B6"/>
    <w:rsid w:val="2F6D15D5"/>
    <w:rsid w:val="2F6E3FAA"/>
    <w:rsid w:val="2F7013AD"/>
    <w:rsid w:val="2F715851"/>
    <w:rsid w:val="2F725125"/>
    <w:rsid w:val="2F735B5D"/>
    <w:rsid w:val="2F7511F3"/>
    <w:rsid w:val="2F754C15"/>
    <w:rsid w:val="2F776BDF"/>
    <w:rsid w:val="2F7931B0"/>
    <w:rsid w:val="2F7B66D0"/>
    <w:rsid w:val="2F7C41F6"/>
    <w:rsid w:val="2F7C52DD"/>
    <w:rsid w:val="2F7D1CDE"/>
    <w:rsid w:val="2F7D2448"/>
    <w:rsid w:val="2F813613"/>
    <w:rsid w:val="2F816C92"/>
    <w:rsid w:val="2F827A5E"/>
    <w:rsid w:val="2F8310E0"/>
    <w:rsid w:val="2F8368EF"/>
    <w:rsid w:val="2F860DDA"/>
    <w:rsid w:val="2F866E22"/>
    <w:rsid w:val="2F8A26E6"/>
    <w:rsid w:val="2F8B228E"/>
    <w:rsid w:val="2F8B7921"/>
    <w:rsid w:val="2F911A4F"/>
    <w:rsid w:val="2F911D11"/>
    <w:rsid w:val="2F9147B8"/>
    <w:rsid w:val="2F94153F"/>
    <w:rsid w:val="2F947237"/>
    <w:rsid w:val="2F95270D"/>
    <w:rsid w:val="2F9652B7"/>
    <w:rsid w:val="2F983188"/>
    <w:rsid w:val="2F9C21A2"/>
    <w:rsid w:val="2F9C6646"/>
    <w:rsid w:val="2F9F216A"/>
    <w:rsid w:val="2FA03AA3"/>
    <w:rsid w:val="2FA21EAE"/>
    <w:rsid w:val="2FA23C5C"/>
    <w:rsid w:val="2FA3454C"/>
    <w:rsid w:val="2FA3680A"/>
    <w:rsid w:val="2FA461DB"/>
    <w:rsid w:val="2FA774C5"/>
    <w:rsid w:val="2FA77D13"/>
    <w:rsid w:val="2FA86D99"/>
    <w:rsid w:val="2FA943A6"/>
    <w:rsid w:val="2FAC2A20"/>
    <w:rsid w:val="2FAC4ADB"/>
    <w:rsid w:val="2FAE57FF"/>
    <w:rsid w:val="2FAF1885"/>
    <w:rsid w:val="2FB066A8"/>
    <w:rsid w:val="2FB1089D"/>
    <w:rsid w:val="2FB14595"/>
    <w:rsid w:val="2FB15C4D"/>
    <w:rsid w:val="2FB3135D"/>
    <w:rsid w:val="2FB54349"/>
    <w:rsid w:val="2FB62094"/>
    <w:rsid w:val="2FB8056D"/>
    <w:rsid w:val="2FB92D54"/>
    <w:rsid w:val="2FBB6ACC"/>
    <w:rsid w:val="2FBD1544"/>
    <w:rsid w:val="2FBE17CF"/>
    <w:rsid w:val="2FBE5431"/>
    <w:rsid w:val="2FBE65BC"/>
    <w:rsid w:val="2FC00586"/>
    <w:rsid w:val="2FC1022D"/>
    <w:rsid w:val="2FC71915"/>
    <w:rsid w:val="2FC82F97"/>
    <w:rsid w:val="2FCA5D14"/>
    <w:rsid w:val="2FCB4E0A"/>
    <w:rsid w:val="2FCB5D23"/>
    <w:rsid w:val="2FCF2577"/>
    <w:rsid w:val="2FCF30BB"/>
    <w:rsid w:val="2FD00B99"/>
    <w:rsid w:val="2FD065E6"/>
    <w:rsid w:val="2FD1009E"/>
    <w:rsid w:val="2FD1238B"/>
    <w:rsid w:val="2FD4139C"/>
    <w:rsid w:val="2FD4360C"/>
    <w:rsid w:val="2FD44032"/>
    <w:rsid w:val="2FD76D32"/>
    <w:rsid w:val="2FD83EB2"/>
    <w:rsid w:val="2FD933F6"/>
    <w:rsid w:val="2FD951A4"/>
    <w:rsid w:val="2FD96870"/>
    <w:rsid w:val="2FDB0F1C"/>
    <w:rsid w:val="2FDB5CC4"/>
    <w:rsid w:val="2FE140FD"/>
    <w:rsid w:val="2FE23300"/>
    <w:rsid w:val="2FE444BD"/>
    <w:rsid w:val="2FE45727"/>
    <w:rsid w:val="2FE73D65"/>
    <w:rsid w:val="2FEA0B7F"/>
    <w:rsid w:val="2FEC15A8"/>
    <w:rsid w:val="2FEC68B9"/>
    <w:rsid w:val="2FEE50F3"/>
    <w:rsid w:val="2FF00252"/>
    <w:rsid w:val="2FF017C0"/>
    <w:rsid w:val="2FF10740"/>
    <w:rsid w:val="2FF1366F"/>
    <w:rsid w:val="2FF34FD8"/>
    <w:rsid w:val="2FF40230"/>
    <w:rsid w:val="2FF65604"/>
    <w:rsid w:val="2FF81ACE"/>
    <w:rsid w:val="2FFB0DBC"/>
    <w:rsid w:val="2FFB3579"/>
    <w:rsid w:val="2FFE4C0B"/>
    <w:rsid w:val="30000983"/>
    <w:rsid w:val="30001CF7"/>
    <w:rsid w:val="30020A5B"/>
    <w:rsid w:val="3002294D"/>
    <w:rsid w:val="300466C5"/>
    <w:rsid w:val="30047DE9"/>
    <w:rsid w:val="30071C57"/>
    <w:rsid w:val="30073ABF"/>
    <w:rsid w:val="300754BE"/>
    <w:rsid w:val="300848E9"/>
    <w:rsid w:val="300C557A"/>
    <w:rsid w:val="300C7328"/>
    <w:rsid w:val="300D5DBA"/>
    <w:rsid w:val="300F6E18"/>
    <w:rsid w:val="301401EF"/>
    <w:rsid w:val="30142F24"/>
    <w:rsid w:val="301603D3"/>
    <w:rsid w:val="30161F54"/>
    <w:rsid w:val="301663F8"/>
    <w:rsid w:val="30183F1E"/>
    <w:rsid w:val="301A04C4"/>
    <w:rsid w:val="301A5EE8"/>
    <w:rsid w:val="301B5CC1"/>
    <w:rsid w:val="301C4BC8"/>
    <w:rsid w:val="301E5407"/>
    <w:rsid w:val="301F5003"/>
    <w:rsid w:val="301F5D5A"/>
    <w:rsid w:val="30225F57"/>
    <w:rsid w:val="302359E2"/>
    <w:rsid w:val="30275F10"/>
    <w:rsid w:val="30276EE0"/>
    <w:rsid w:val="30297EDA"/>
    <w:rsid w:val="302F1268"/>
    <w:rsid w:val="3032606D"/>
    <w:rsid w:val="30330D58"/>
    <w:rsid w:val="303625F7"/>
    <w:rsid w:val="303B7439"/>
    <w:rsid w:val="303D407E"/>
    <w:rsid w:val="30403475"/>
    <w:rsid w:val="30405223"/>
    <w:rsid w:val="3040728C"/>
    <w:rsid w:val="304169AB"/>
    <w:rsid w:val="30427A92"/>
    <w:rsid w:val="3045283A"/>
    <w:rsid w:val="304704EE"/>
    <w:rsid w:val="30480FBC"/>
    <w:rsid w:val="304C1E1A"/>
    <w:rsid w:val="30522235"/>
    <w:rsid w:val="30554FC8"/>
    <w:rsid w:val="30580BC9"/>
    <w:rsid w:val="305979A2"/>
    <w:rsid w:val="305F3416"/>
    <w:rsid w:val="305F4B0D"/>
    <w:rsid w:val="306233EC"/>
    <w:rsid w:val="30625A47"/>
    <w:rsid w:val="306727B0"/>
    <w:rsid w:val="306830BE"/>
    <w:rsid w:val="306846CF"/>
    <w:rsid w:val="306857C7"/>
    <w:rsid w:val="30686BBB"/>
    <w:rsid w:val="30692855"/>
    <w:rsid w:val="306968EE"/>
    <w:rsid w:val="306B04F2"/>
    <w:rsid w:val="306C5C74"/>
    <w:rsid w:val="306C6018"/>
    <w:rsid w:val="306E7DF3"/>
    <w:rsid w:val="307373A7"/>
    <w:rsid w:val="30744ECD"/>
    <w:rsid w:val="307702BB"/>
    <w:rsid w:val="307A6987"/>
    <w:rsid w:val="307B625B"/>
    <w:rsid w:val="307D1FD3"/>
    <w:rsid w:val="307D6477"/>
    <w:rsid w:val="3080424D"/>
    <w:rsid w:val="30823F6D"/>
    <w:rsid w:val="3083092C"/>
    <w:rsid w:val="30837FAC"/>
    <w:rsid w:val="308454FB"/>
    <w:rsid w:val="308617B2"/>
    <w:rsid w:val="3088698D"/>
    <w:rsid w:val="308873DA"/>
    <w:rsid w:val="30890978"/>
    <w:rsid w:val="308B46F0"/>
    <w:rsid w:val="3095556F"/>
    <w:rsid w:val="30975FE6"/>
    <w:rsid w:val="309942E1"/>
    <w:rsid w:val="309A1B55"/>
    <w:rsid w:val="309A2B85"/>
    <w:rsid w:val="309D479F"/>
    <w:rsid w:val="309E390F"/>
    <w:rsid w:val="309F6D1B"/>
    <w:rsid w:val="30A21A3A"/>
    <w:rsid w:val="30A237E4"/>
    <w:rsid w:val="30A41F52"/>
    <w:rsid w:val="30A92F6D"/>
    <w:rsid w:val="30A97594"/>
    <w:rsid w:val="30AE05AC"/>
    <w:rsid w:val="30AE4883"/>
    <w:rsid w:val="30AE5029"/>
    <w:rsid w:val="30B005FB"/>
    <w:rsid w:val="30B0215E"/>
    <w:rsid w:val="30B04157"/>
    <w:rsid w:val="30B579BF"/>
    <w:rsid w:val="30B654E5"/>
    <w:rsid w:val="30B850ED"/>
    <w:rsid w:val="30BA3228"/>
    <w:rsid w:val="30BF25EC"/>
    <w:rsid w:val="30C0743E"/>
    <w:rsid w:val="30C0756A"/>
    <w:rsid w:val="30C10112"/>
    <w:rsid w:val="30C121E0"/>
    <w:rsid w:val="30C2461A"/>
    <w:rsid w:val="30C4128B"/>
    <w:rsid w:val="30C42A60"/>
    <w:rsid w:val="30C449ED"/>
    <w:rsid w:val="30C5530F"/>
    <w:rsid w:val="30C6397A"/>
    <w:rsid w:val="30C904F0"/>
    <w:rsid w:val="30CA1D36"/>
    <w:rsid w:val="30CA5EC3"/>
    <w:rsid w:val="30CE12FE"/>
    <w:rsid w:val="30CF6DE4"/>
    <w:rsid w:val="30D616E4"/>
    <w:rsid w:val="30D66C77"/>
    <w:rsid w:val="30D75B88"/>
    <w:rsid w:val="30D81900"/>
    <w:rsid w:val="30D86704"/>
    <w:rsid w:val="30DF67EA"/>
    <w:rsid w:val="30E12562"/>
    <w:rsid w:val="30E141BA"/>
    <w:rsid w:val="30E3452C"/>
    <w:rsid w:val="30E45A0E"/>
    <w:rsid w:val="30E738F1"/>
    <w:rsid w:val="30E87D95"/>
    <w:rsid w:val="30E931FA"/>
    <w:rsid w:val="30E958BB"/>
    <w:rsid w:val="30EB1633"/>
    <w:rsid w:val="30EB23FA"/>
    <w:rsid w:val="30EB5F55"/>
    <w:rsid w:val="30EC32BC"/>
    <w:rsid w:val="30EC5240"/>
    <w:rsid w:val="30ED66AA"/>
    <w:rsid w:val="30EF505A"/>
    <w:rsid w:val="30F06C49"/>
    <w:rsid w:val="30F1651D"/>
    <w:rsid w:val="30F229C1"/>
    <w:rsid w:val="30F304E8"/>
    <w:rsid w:val="30F32296"/>
    <w:rsid w:val="30F46739"/>
    <w:rsid w:val="30F54260"/>
    <w:rsid w:val="30F74D7E"/>
    <w:rsid w:val="30F77FD8"/>
    <w:rsid w:val="30F835E1"/>
    <w:rsid w:val="30F9791C"/>
    <w:rsid w:val="30FA4FDC"/>
    <w:rsid w:val="30FF0C3A"/>
    <w:rsid w:val="31006A14"/>
    <w:rsid w:val="310149B3"/>
    <w:rsid w:val="31017F40"/>
    <w:rsid w:val="3106646D"/>
    <w:rsid w:val="31073093"/>
    <w:rsid w:val="310838D0"/>
    <w:rsid w:val="310B3A83"/>
    <w:rsid w:val="310D3357"/>
    <w:rsid w:val="310F5713"/>
    <w:rsid w:val="31103CA4"/>
    <w:rsid w:val="31113292"/>
    <w:rsid w:val="311300E2"/>
    <w:rsid w:val="3115045E"/>
    <w:rsid w:val="311566B0"/>
    <w:rsid w:val="31166E9D"/>
    <w:rsid w:val="311B3251"/>
    <w:rsid w:val="311C024D"/>
    <w:rsid w:val="311D7312"/>
    <w:rsid w:val="311E2ED7"/>
    <w:rsid w:val="311E5564"/>
    <w:rsid w:val="311F752F"/>
    <w:rsid w:val="312835A8"/>
    <w:rsid w:val="3129256C"/>
    <w:rsid w:val="312B0EC3"/>
    <w:rsid w:val="312C306C"/>
    <w:rsid w:val="312D14DB"/>
    <w:rsid w:val="312E2574"/>
    <w:rsid w:val="3130737C"/>
    <w:rsid w:val="313528AE"/>
    <w:rsid w:val="31374878"/>
    <w:rsid w:val="31376626"/>
    <w:rsid w:val="313A4060"/>
    <w:rsid w:val="313A6169"/>
    <w:rsid w:val="313D4875"/>
    <w:rsid w:val="313E1763"/>
    <w:rsid w:val="313E4BD4"/>
    <w:rsid w:val="313E5C07"/>
    <w:rsid w:val="313E79B5"/>
    <w:rsid w:val="313F53C0"/>
    <w:rsid w:val="31411253"/>
    <w:rsid w:val="31412BCC"/>
    <w:rsid w:val="31413B9E"/>
    <w:rsid w:val="31415ED0"/>
    <w:rsid w:val="3143321D"/>
    <w:rsid w:val="314503CA"/>
    <w:rsid w:val="3145128A"/>
    <w:rsid w:val="31462D0D"/>
    <w:rsid w:val="31490108"/>
    <w:rsid w:val="314A45AB"/>
    <w:rsid w:val="314B3E80"/>
    <w:rsid w:val="314D1797"/>
    <w:rsid w:val="315035CC"/>
    <w:rsid w:val="3152520E"/>
    <w:rsid w:val="31527189"/>
    <w:rsid w:val="315471D8"/>
    <w:rsid w:val="315525EE"/>
    <w:rsid w:val="31552AFA"/>
    <w:rsid w:val="31556AAC"/>
    <w:rsid w:val="315619EE"/>
    <w:rsid w:val="315A2315"/>
    <w:rsid w:val="315B464A"/>
    <w:rsid w:val="315C449C"/>
    <w:rsid w:val="315C608D"/>
    <w:rsid w:val="315E0057"/>
    <w:rsid w:val="316046E6"/>
    <w:rsid w:val="316118F5"/>
    <w:rsid w:val="31625DD3"/>
    <w:rsid w:val="3163566D"/>
    <w:rsid w:val="31641DA8"/>
    <w:rsid w:val="316513E5"/>
    <w:rsid w:val="31682C84"/>
    <w:rsid w:val="31684A32"/>
    <w:rsid w:val="31692558"/>
    <w:rsid w:val="316C2338"/>
    <w:rsid w:val="316F7FAE"/>
    <w:rsid w:val="31700E49"/>
    <w:rsid w:val="3172765E"/>
    <w:rsid w:val="31743B16"/>
    <w:rsid w:val="31745184"/>
    <w:rsid w:val="317667A4"/>
    <w:rsid w:val="31794E91"/>
    <w:rsid w:val="31796C3F"/>
    <w:rsid w:val="317A4765"/>
    <w:rsid w:val="317C04DD"/>
    <w:rsid w:val="317D776A"/>
    <w:rsid w:val="318178A1"/>
    <w:rsid w:val="31840158"/>
    <w:rsid w:val="31885988"/>
    <w:rsid w:val="318A0E4C"/>
    <w:rsid w:val="318A49A8"/>
    <w:rsid w:val="318B7B2F"/>
    <w:rsid w:val="318C4BC4"/>
    <w:rsid w:val="318D5C82"/>
    <w:rsid w:val="318E77A1"/>
    <w:rsid w:val="31903F88"/>
    <w:rsid w:val="3191113B"/>
    <w:rsid w:val="319121DA"/>
    <w:rsid w:val="3192160B"/>
    <w:rsid w:val="3192385D"/>
    <w:rsid w:val="31927D00"/>
    <w:rsid w:val="31935369"/>
    <w:rsid w:val="31947229"/>
    <w:rsid w:val="31947CE4"/>
    <w:rsid w:val="31966E07"/>
    <w:rsid w:val="319B4E07"/>
    <w:rsid w:val="319C46DB"/>
    <w:rsid w:val="319F16FF"/>
    <w:rsid w:val="319F4825"/>
    <w:rsid w:val="31A33CBC"/>
    <w:rsid w:val="31A43590"/>
    <w:rsid w:val="31A57E14"/>
    <w:rsid w:val="31A60937"/>
    <w:rsid w:val="31A737AC"/>
    <w:rsid w:val="31A804E1"/>
    <w:rsid w:val="31A83080"/>
    <w:rsid w:val="31AB2B70"/>
    <w:rsid w:val="31AC3AB4"/>
    <w:rsid w:val="31AC4116"/>
    <w:rsid w:val="31AD68E8"/>
    <w:rsid w:val="31AD7CB5"/>
    <w:rsid w:val="31AD7DF1"/>
    <w:rsid w:val="31B82709"/>
    <w:rsid w:val="31B934DF"/>
    <w:rsid w:val="31B9703B"/>
    <w:rsid w:val="31BB7D29"/>
    <w:rsid w:val="31BC6B2B"/>
    <w:rsid w:val="31BE0AF5"/>
    <w:rsid w:val="31BE28A4"/>
    <w:rsid w:val="31BE4652"/>
    <w:rsid w:val="31BE6C8E"/>
    <w:rsid w:val="31C02394"/>
    <w:rsid w:val="31C02FEA"/>
    <w:rsid w:val="31C13206"/>
    <w:rsid w:val="31C24F6E"/>
    <w:rsid w:val="31C4292D"/>
    <w:rsid w:val="31C51E14"/>
    <w:rsid w:val="31C75BFC"/>
    <w:rsid w:val="31C83CCC"/>
    <w:rsid w:val="31CC3333"/>
    <w:rsid w:val="31CC4FC0"/>
    <w:rsid w:val="31CD6F8B"/>
    <w:rsid w:val="31CF6810"/>
    <w:rsid w:val="31D05482"/>
    <w:rsid w:val="31D06C5E"/>
    <w:rsid w:val="31D315AF"/>
    <w:rsid w:val="31D47320"/>
    <w:rsid w:val="31D55FB2"/>
    <w:rsid w:val="31D66089"/>
    <w:rsid w:val="31D71B7B"/>
    <w:rsid w:val="31D71BB7"/>
    <w:rsid w:val="31D7371A"/>
    <w:rsid w:val="31D76D98"/>
    <w:rsid w:val="31D9148B"/>
    <w:rsid w:val="31D963A1"/>
    <w:rsid w:val="31D976DD"/>
    <w:rsid w:val="31DA3F53"/>
    <w:rsid w:val="31DB0B80"/>
    <w:rsid w:val="31DB3E02"/>
    <w:rsid w:val="31DC6E2C"/>
    <w:rsid w:val="31DF267B"/>
    <w:rsid w:val="31E01BEE"/>
    <w:rsid w:val="31E0281A"/>
    <w:rsid w:val="31E07BFD"/>
    <w:rsid w:val="31E17E2F"/>
    <w:rsid w:val="31E22A36"/>
    <w:rsid w:val="31E3055C"/>
    <w:rsid w:val="31E31832"/>
    <w:rsid w:val="31E367AE"/>
    <w:rsid w:val="31E42FC1"/>
    <w:rsid w:val="31E528A4"/>
    <w:rsid w:val="31E56082"/>
    <w:rsid w:val="31E831D8"/>
    <w:rsid w:val="31EA5447"/>
    <w:rsid w:val="31EB11BF"/>
    <w:rsid w:val="31EC36AF"/>
    <w:rsid w:val="31EC7411"/>
    <w:rsid w:val="31ED1F65"/>
    <w:rsid w:val="31ED3189"/>
    <w:rsid w:val="31F938DC"/>
    <w:rsid w:val="31FE3AA7"/>
    <w:rsid w:val="32002EBC"/>
    <w:rsid w:val="320209E2"/>
    <w:rsid w:val="32024E86"/>
    <w:rsid w:val="320626C6"/>
    <w:rsid w:val="32064679"/>
    <w:rsid w:val="3209049E"/>
    <w:rsid w:val="32096215"/>
    <w:rsid w:val="320A7897"/>
    <w:rsid w:val="320C7AB3"/>
    <w:rsid w:val="320F75A3"/>
    <w:rsid w:val="32102AD6"/>
    <w:rsid w:val="32133C80"/>
    <w:rsid w:val="3213579B"/>
    <w:rsid w:val="32136CF0"/>
    <w:rsid w:val="32146927"/>
    <w:rsid w:val="32146967"/>
    <w:rsid w:val="3216623C"/>
    <w:rsid w:val="32176DCE"/>
    <w:rsid w:val="32180206"/>
    <w:rsid w:val="3218672B"/>
    <w:rsid w:val="32193F7E"/>
    <w:rsid w:val="321B00E9"/>
    <w:rsid w:val="321D305B"/>
    <w:rsid w:val="321D3A6E"/>
    <w:rsid w:val="3220355E"/>
    <w:rsid w:val="32241628"/>
    <w:rsid w:val="32256095"/>
    <w:rsid w:val="32283E0C"/>
    <w:rsid w:val="32290AB2"/>
    <w:rsid w:val="322C3CB1"/>
    <w:rsid w:val="322D0FBF"/>
    <w:rsid w:val="322F30FC"/>
    <w:rsid w:val="323112C7"/>
    <w:rsid w:val="32340DB8"/>
    <w:rsid w:val="3238450B"/>
    <w:rsid w:val="3239017C"/>
    <w:rsid w:val="32395E84"/>
    <w:rsid w:val="323963CE"/>
    <w:rsid w:val="323A041B"/>
    <w:rsid w:val="323A6E2B"/>
    <w:rsid w:val="323D372B"/>
    <w:rsid w:val="323E3166"/>
    <w:rsid w:val="32400B34"/>
    <w:rsid w:val="3240295E"/>
    <w:rsid w:val="32427031"/>
    <w:rsid w:val="32454D73"/>
    <w:rsid w:val="324663F0"/>
    <w:rsid w:val="32470AEB"/>
    <w:rsid w:val="32472899"/>
    <w:rsid w:val="32476D3D"/>
    <w:rsid w:val="324912C6"/>
    <w:rsid w:val="324A7982"/>
    <w:rsid w:val="324C4353"/>
    <w:rsid w:val="324D2CF5"/>
    <w:rsid w:val="324E00CB"/>
    <w:rsid w:val="3251196A"/>
    <w:rsid w:val="32513718"/>
    <w:rsid w:val="32535AE1"/>
    <w:rsid w:val="32557DC0"/>
    <w:rsid w:val="3256470F"/>
    <w:rsid w:val="325A6A70"/>
    <w:rsid w:val="325D3E6B"/>
    <w:rsid w:val="325D4E1F"/>
    <w:rsid w:val="325D5E84"/>
    <w:rsid w:val="325E1EEF"/>
    <w:rsid w:val="32621481"/>
    <w:rsid w:val="32661391"/>
    <w:rsid w:val="32690A61"/>
    <w:rsid w:val="3269799D"/>
    <w:rsid w:val="326A599A"/>
    <w:rsid w:val="326A650E"/>
    <w:rsid w:val="326E1CEC"/>
    <w:rsid w:val="32713DBA"/>
    <w:rsid w:val="32737410"/>
    <w:rsid w:val="327411B4"/>
    <w:rsid w:val="32744451"/>
    <w:rsid w:val="327613D0"/>
    <w:rsid w:val="3276317E"/>
    <w:rsid w:val="32786EF6"/>
    <w:rsid w:val="32794A1C"/>
    <w:rsid w:val="327A6399"/>
    <w:rsid w:val="327F139A"/>
    <w:rsid w:val="32803FFD"/>
    <w:rsid w:val="3280535E"/>
    <w:rsid w:val="328312D9"/>
    <w:rsid w:val="32870EE7"/>
    <w:rsid w:val="32873F9A"/>
    <w:rsid w:val="32877139"/>
    <w:rsid w:val="32880C6D"/>
    <w:rsid w:val="32892EB1"/>
    <w:rsid w:val="328A6C2A"/>
    <w:rsid w:val="328D3390"/>
    <w:rsid w:val="328E2276"/>
    <w:rsid w:val="32917FB8"/>
    <w:rsid w:val="32957AA8"/>
    <w:rsid w:val="32957F32"/>
    <w:rsid w:val="32974F27"/>
    <w:rsid w:val="329802A6"/>
    <w:rsid w:val="3298072E"/>
    <w:rsid w:val="329A19CF"/>
    <w:rsid w:val="329B1C92"/>
    <w:rsid w:val="329E6876"/>
    <w:rsid w:val="329F04B8"/>
    <w:rsid w:val="329F3E00"/>
    <w:rsid w:val="32A001FB"/>
    <w:rsid w:val="32A221C5"/>
    <w:rsid w:val="32A34F89"/>
    <w:rsid w:val="32A425E3"/>
    <w:rsid w:val="32A47CEB"/>
    <w:rsid w:val="32A54CA8"/>
    <w:rsid w:val="32A71B17"/>
    <w:rsid w:val="32A90FB1"/>
    <w:rsid w:val="32A94868"/>
    <w:rsid w:val="32AC4DF2"/>
    <w:rsid w:val="32AD6A1E"/>
    <w:rsid w:val="32B067DF"/>
    <w:rsid w:val="32B320D5"/>
    <w:rsid w:val="32B51EF8"/>
    <w:rsid w:val="32B75C71"/>
    <w:rsid w:val="32BA12BD"/>
    <w:rsid w:val="32BD0DAD"/>
    <w:rsid w:val="32BE789B"/>
    <w:rsid w:val="32BF5F72"/>
    <w:rsid w:val="32C1089D"/>
    <w:rsid w:val="32C263C3"/>
    <w:rsid w:val="32C35147"/>
    <w:rsid w:val="32C4038E"/>
    <w:rsid w:val="32C428D3"/>
    <w:rsid w:val="32C71C2C"/>
    <w:rsid w:val="32C73B8B"/>
    <w:rsid w:val="32C91500"/>
    <w:rsid w:val="32CB52C2"/>
    <w:rsid w:val="32CC2D9E"/>
    <w:rsid w:val="32CC7242"/>
    <w:rsid w:val="32CE0967"/>
    <w:rsid w:val="32CE6B16"/>
    <w:rsid w:val="32D103B5"/>
    <w:rsid w:val="32D22AAA"/>
    <w:rsid w:val="32D92DA2"/>
    <w:rsid w:val="32DB4FF0"/>
    <w:rsid w:val="32DC7485"/>
    <w:rsid w:val="32DD56AC"/>
    <w:rsid w:val="32DE4D9A"/>
    <w:rsid w:val="32DF0D23"/>
    <w:rsid w:val="32E17347"/>
    <w:rsid w:val="32E26F66"/>
    <w:rsid w:val="32E4458C"/>
    <w:rsid w:val="32E76858"/>
    <w:rsid w:val="32EE1220"/>
    <w:rsid w:val="32F26CA9"/>
    <w:rsid w:val="32F41A8F"/>
    <w:rsid w:val="32F43F4B"/>
    <w:rsid w:val="32F47455"/>
    <w:rsid w:val="32F50547"/>
    <w:rsid w:val="32F51B01"/>
    <w:rsid w:val="32F51BA7"/>
    <w:rsid w:val="32F57923"/>
    <w:rsid w:val="32F80037"/>
    <w:rsid w:val="32FF4F22"/>
    <w:rsid w:val="3301513E"/>
    <w:rsid w:val="330274F1"/>
    <w:rsid w:val="33084B58"/>
    <w:rsid w:val="330A1054"/>
    <w:rsid w:val="330A7969"/>
    <w:rsid w:val="330B1B18"/>
    <w:rsid w:val="330B74E9"/>
    <w:rsid w:val="330C5114"/>
    <w:rsid w:val="330E6522"/>
    <w:rsid w:val="330E785B"/>
    <w:rsid w:val="33102E02"/>
    <w:rsid w:val="33127A3B"/>
    <w:rsid w:val="33161A94"/>
    <w:rsid w:val="3317670F"/>
    <w:rsid w:val="331A0EED"/>
    <w:rsid w:val="331D2B16"/>
    <w:rsid w:val="331E0ABF"/>
    <w:rsid w:val="331F00F7"/>
    <w:rsid w:val="332130EA"/>
    <w:rsid w:val="33216732"/>
    <w:rsid w:val="33224175"/>
    <w:rsid w:val="33252F74"/>
    <w:rsid w:val="33293F57"/>
    <w:rsid w:val="3329603C"/>
    <w:rsid w:val="332A308A"/>
    <w:rsid w:val="332D47FC"/>
    <w:rsid w:val="333003F3"/>
    <w:rsid w:val="333015F2"/>
    <w:rsid w:val="333017B1"/>
    <w:rsid w:val="33315312"/>
    <w:rsid w:val="33340A9E"/>
    <w:rsid w:val="33344E2B"/>
    <w:rsid w:val="33353039"/>
    <w:rsid w:val="33354DE7"/>
    <w:rsid w:val="333633F2"/>
    <w:rsid w:val="333640E9"/>
    <w:rsid w:val="3336579C"/>
    <w:rsid w:val="3337290D"/>
    <w:rsid w:val="33380434"/>
    <w:rsid w:val="3338243D"/>
    <w:rsid w:val="33386686"/>
    <w:rsid w:val="333948D8"/>
    <w:rsid w:val="333F7A14"/>
    <w:rsid w:val="3343074E"/>
    <w:rsid w:val="33435756"/>
    <w:rsid w:val="3345560C"/>
    <w:rsid w:val="33460BB2"/>
    <w:rsid w:val="3346300E"/>
    <w:rsid w:val="33477398"/>
    <w:rsid w:val="33482D6D"/>
    <w:rsid w:val="33484B1B"/>
    <w:rsid w:val="33492094"/>
    <w:rsid w:val="334B6320"/>
    <w:rsid w:val="334B63B9"/>
    <w:rsid w:val="334E5EA9"/>
    <w:rsid w:val="33521F5E"/>
    <w:rsid w:val="335334BF"/>
    <w:rsid w:val="335366DD"/>
    <w:rsid w:val="3354204C"/>
    <w:rsid w:val="33565B82"/>
    <w:rsid w:val="335728AD"/>
    <w:rsid w:val="335A4B4A"/>
    <w:rsid w:val="335A5172"/>
    <w:rsid w:val="335C05C6"/>
    <w:rsid w:val="335C479F"/>
    <w:rsid w:val="335D7E9A"/>
    <w:rsid w:val="335E1881"/>
    <w:rsid w:val="335E72AD"/>
    <w:rsid w:val="33615BDC"/>
    <w:rsid w:val="33631954"/>
    <w:rsid w:val="336931DB"/>
    <w:rsid w:val="336A01B3"/>
    <w:rsid w:val="336A5B70"/>
    <w:rsid w:val="336C6CDA"/>
    <w:rsid w:val="336C7C44"/>
    <w:rsid w:val="336D4581"/>
    <w:rsid w:val="33702CA2"/>
    <w:rsid w:val="337069B1"/>
    <w:rsid w:val="33727DEA"/>
    <w:rsid w:val="33770F5C"/>
    <w:rsid w:val="33775031"/>
    <w:rsid w:val="337771AE"/>
    <w:rsid w:val="3379264E"/>
    <w:rsid w:val="337A6C9E"/>
    <w:rsid w:val="337B3994"/>
    <w:rsid w:val="337D1DC5"/>
    <w:rsid w:val="337D2159"/>
    <w:rsid w:val="337D3489"/>
    <w:rsid w:val="337E22EA"/>
    <w:rsid w:val="337F0E92"/>
    <w:rsid w:val="337F19BE"/>
    <w:rsid w:val="33802506"/>
    <w:rsid w:val="33831694"/>
    <w:rsid w:val="33833DA5"/>
    <w:rsid w:val="33835B53"/>
    <w:rsid w:val="338433E8"/>
    <w:rsid w:val="33843679"/>
    <w:rsid w:val="338513F6"/>
    <w:rsid w:val="33857B1D"/>
    <w:rsid w:val="33863895"/>
    <w:rsid w:val="338D077F"/>
    <w:rsid w:val="338D504C"/>
    <w:rsid w:val="338F6CFB"/>
    <w:rsid w:val="3393448F"/>
    <w:rsid w:val="33945FB2"/>
    <w:rsid w:val="339805F0"/>
    <w:rsid w:val="339935C8"/>
    <w:rsid w:val="339A2AD4"/>
    <w:rsid w:val="339A72C8"/>
    <w:rsid w:val="339D786A"/>
    <w:rsid w:val="33A146B4"/>
    <w:rsid w:val="33A15DF5"/>
    <w:rsid w:val="33A234D5"/>
    <w:rsid w:val="33A2702E"/>
    <w:rsid w:val="33A361F5"/>
    <w:rsid w:val="33A51F6D"/>
    <w:rsid w:val="33A73774"/>
    <w:rsid w:val="33A822A8"/>
    <w:rsid w:val="33A87CFA"/>
    <w:rsid w:val="33A91E3C"/>
    <w:rsid w:val="33AB1831"/>
    <w:rsid w:val="33AB32FB"/>
    <w:rsid w:val="33AC270D"/>
    <w:rsid w:val="33AC48B6"/>
    <w:rsid w:val="33AD6F69"/>
    <w:rsid w:val="33B45D0C"/>
    <w:rsid w:val="33B46DBD"/>
    <w:rsid w:val="33B7001B"/>
    <w:rsid w:val="33B74BC6"/>
    <w:rsid w:val="33B8407C"/>
    <w:rsid w:val="33BA709B"/>
    <w:rsid w:val="33BC1065"/>
    <w:rsid w:val="33BC1FC5"/>
    <w:rsid w:val="33BC2998"/>
    <w:rsid w:val="33BD3893"/>
    <w:rsid w:val="33BE6B8B"/>
    <w:rsid w:val="33C01318"/>
    <w:rsid w:val="33C1667B"/>
    <w:rsid w:val="33C323F3"/>
    <w:rsid w:val="33C817B8"/>
    <w:rsid w:val="33C85C5B"/>
    <w:rsid w:val="33C925C2"/>
    <w:rsid w:val="33CA21CE"/>
    <w:rsid w:val="33CB6D2A"/>
    <w:rsid w:val="33CD5A96"/>
    <w:rsid w:val="33CF6484"/>
    <w:rsid w:val="33D03D2A"/>
    <w:rsid w:val="33D558A4"/>
    <w:rsid w:val="33D71801"/>
    <w:rsid w:val="33D75275"/>
    <w:rsid w:val="33D77C4D"/>
    <w:rsid w:val="33D91F25"/>
    <w:rsid w:val="33D934D4"/>
    <w:rsid w:val="33DE0EF4"/>
    <w:rsid w:val="33DE7753"/>
    <w:rsid w:val="33DF2EC8"/>
    <w:rsid w:val="33E04393"/>
    <w:rsid w:val="33E24DAE"/>
    <w:rsid w:val="33E331FC"/>
    <w:rsid w:val="33E365F1"/>
    <w:rsid w:val="33E44A04"/>
    <w:rsid w:val="33E45E51"/>
    <w:rsid w:val="33E5680D"/>
    <w:rsid w:val="33E75A0D"/>
    <w:rsid w:val="33E81293"/>
    <w:rsid w:val="33E83C08"/>
    <w:rsid w:val="33EA1549"/>
    <w:rsid w:val="33EB1CE5"/>
    <w:rsid w:val="33EC194A"/>
    <w:rsid w:val="33EF1569"/>
    <w:rsid w:val="33F24A4C"/>
    <w:rsid w:val="33F2779A"/>
    <w:rsid w:val="33F407FF"/>
    <w:rsid w:val="33F43E4A"/>
    <w:rsid w:val="33F47132"/>
    <w:rsid w:val="33F7209D"/>
    <w:rsid w:val="33F754AE"/>
    <w:rsid w:val="33F75EA6"/>
    <w:rsid w:val="33F838A1"/>
    <w:rsid w:val="33F8442E"/>
    <w:rsid w:val="33FB1F14"/>
    <w:rsid w:val="33FB36BF"/>
    <w:rsid w:val="33FB393B"/>
    <w:rsid w:val="33FE2F6A"/>
    <w:rsid w:val="33FE7A5E"/>
    <w:rsid w:val="33FF0198"/>
    <w:rsid w:val="33FF2020"/>
    <w:rsid w:val="34014CC9"/>
    <w:rsid w:val="340622E0"/>
    <w:rsid w:val="34083D91"/>
    <w:rsid w:val="34097702"/>
    <w:rsid w:val="340A1DD0"/>
    <w:rsid w:val="340C4CE0"/>
    <w:rsid w:val="340C5B48"/>
    <w:rsid w:val="340D366E"/>
    <w:rsid w:val="340D7B12"/>
    <w:rsid w:val="340E07E5"/>
    <w:rsid w:val="3410443B"/>
    <w:rsid w:val="3411315F"/>
    <w:rsid w:val="3412121F"/>
    <w:rsid w:val="341356F7"/>
    <w:rsid w:val="34160775"/>
    <w:rsid w:val="341669C7"/>
    <w:rsid w:val="341872DC"/>
    <w:rsid w:val="34190265"/>
    <w:rsid w:val="34190FC9"/>
    <w:rsid w:val="341B7DAE"/>
    <w:rsid w:val="341C21B6"/>
    <w:rsid w:val="341E1D1F"/>
    <w:rsid w:val="341F417E"/>
    <w:rsid w:val="34210ECC"/>
    <w:rsid w:val="34234776"/>
    <w:rsid w:val="34235BF7"/>
    <w:rsid w:val="34251B70"/>
    <w:rsid w:val="342A06C4"/>
    <w:rsid w:val="342A2472"/>
    <w:rsid w:val="342D23CA"/>
    <w:rsid w:val="342D3D10"/>
    <w:rsid w:val="342F3C7C"/>
    <w:rsid w:val="34313002"/>
    <w:rsid w:val="34321327"/>
    <w:rsid w:val="34360E17"/>
    <w:rsid w:val="34367069"/>
    <w:rsid w:val="343706EB"/>
    <w:rsid w:val="343926B5"/>
    <w:rsid w:val="343B01DB"/>
    <w:rsid w:val="343B2752"/>
    <w:rsid w:val="343B6728"/>
    <w:rsid w:val="343D5B6E"/>
    <w:rsid w:val="34401C96"/>
    <w:rsid w:val="34407811"/>
    <w:rsid w:val="3442156A"/>
    <w:rsid w:val="34425A0E"/>
    <w:rsid w:val="34480B4A"/>
    <w:rsid w:val="34496D9C"/>
    <w:rsid w:val="34497FE5"/>
    <w:rsid w:val="344A6670"/>
    <w:rsid w:val="344C4197"/>
    <w:rsid w:val="344E1C6F"/>
    <w:rsid w:val="3450214F"/>
    <w:rsid w:val="345133AD"/>
    <w:rsid w:val="3452210A"/>
    <w:rsid w:val="3452461E"/>
    <w:rsid w:val="34525525"/>
    <w:rsid w:val="345319C9"/>
    <w:rsid w:val="34536E56"/>
    <w:rsid w:val="34545741"/>
    <w:rsid w:val="345B39E9"/>
    <w:rsid w:val="345E036E"/>
    <w:rsid w:val="345E42A8"/>
    <w:rsid w:val="345F48B1"/>
    <w:rsid w:val="34605322"/>
    <w:rsid w:val="34607C42"/>
    <w:rsid w:val="34612BCD"/>
    <w:rsid w:val="34654305"/>
    <w:rsid w:val="346672E6"/>
    <w:rsid w:val="34675474"/>
    <w:rsid w:val="346859D9"/>
    <w:rsid w:val="346E67E8"/>
    <w:rsid w:val="346F0125"/>
    <w:rsid w:val="346F263B"/>
    <w:rsid w:val="34707E97"/>
    <w:rsid w:val="34711E4F"/>
    <w:rsid w:val="34713E2B"/>
    <w:rsid w:val="34716F5E"/>
    <w:rsid w:val="34730186"/>
    <w:rsid w:val="34744454"/>
    <w:rsid w:val="34761214"/>
    <w:rsid w:val="34762FE1"/>
    <w:rsid w:val="347656B7"/>
    <w:rsid w:val="34783AC2"/>
    <w:rsid w:val="34796F56"/>
    <w:rsid w:val="347B2CCE"/>
    <w:rsid w:val="347C23F8"/>
    <w:rsid w:val="347D07F4"/>
    <w:rsid w:val="347E39FE"/>
    <w:rsid w:val="347E456C"/>
    <w:rsid w:val="348610D4"/>
    <w:rsid w:val="348634AF"/>
    <w:rsid w:val="34876319"/>
    <w:rsid w:val="348C1691"/>
    <w:rsid w:val="348C6C89"/>
    <w:rsid w:val="34911C57"/>
    <w:rsid w:val="3491429F"/>
    <w:rsid w:val="34930017"/>
    <w:rsid w:val="34931DC5"/>
    <w:rsid w:val="34943D90"/>
    <w:rsid w:val="34974E5D"/>
    <w:rsid w:val="3497779F"/>
    <w:rsid w:val="34982719"/>
    <w:rsid w:val="34987CFA"/>
    <w:rsid w:val="34990596"/>
    <w:rsid w:val="349A4349"/>
    <w:rsid w:val="349D0E96"/>
    <w:rsid w:val="349D2C44"/>
    <w:rsid w:val="349E10F8"/>
    <w:rsid w:val="349E2F7E"/>
    <w:rsid w:val="349E41D0"/>
    <w:rsid w:val="349F3161"/>
    <w:rsid w:val="349F69BC"/>
    <w:rsid w:val="34A336F4"/>
    <w:rsid w:val="34A42225"/>
    <w:rsid w:val="34AC7D20"/>
    <w:rsid w:val="34AE3172"/>
    <w:rsid w:val="34AE3B83"/>
    <w:rsid w:val="34AE3F7F"/>
    <w:rsid w:val="34AF2465"/>
    <w:rsid w:val="34B166F0"/>
    <w:rsid w:val="34B258AF"/>
    <w:rsid w:val="34B572F7"/>
    <w:rsid w:val="34B57341"/>
    <w:rsid w:val="34B61F58"/>
    <w:rsid w:val="34B63D06"/>
    <w:rsid w:val="34B85263"/>
    <w:rsid w:val="34B9569F"/>
    <w:rsid w:val="34BA51A6"/>
    <w:rsid w:val="34BD6E42"/>
    <w:rsid w:val="34BD78CB"/>
    <w:rsid w:val="34BE1F1C"/>
    <w:rsid w:val="34BE5A40"/>
    <w:rsid w:val="34BF0E0C"/>
    <w:rsid w:val="34BF15EF"/>
    <w:rsid w:val="34BF36BC"/>
    <w:rsid w:val="34BF705E"/>
    <w:rsid w:val="34C04B85"/>
    <w:rsid w:val="34C04E88"/>
    <w:rsid w:val="34C47358"/>
    <w:rsid w:val="34C5219B"/>
    <w:rsid w:val="34CA7D29"/>
    <w:rsid w:val="34CB7ED4"/>
    <w:rsid w:val="34D07F8F"/>
    <w:rsid w:val="34D151D0"/>
    <w:rsid w:val="34D4478E"/>
    <w:rsid w:val="34D523DE"/>
    <w:rsid w:val="34D66473"/>
    <w:rsid w:val="34D67F04"/>
    <w:rsid w:val="34D77542"/>
    <w:rsid w:val="34D80120"/>
    <w:rsid w:val="34D8206D"/>
    <w:rsid w:val="34D91FE0"/>
    <w:rsid w:val="34D946E3"/>
    <w:rsid w:val="34DA1230"/>
    <w:rsid w:val="34DA5C46"/>
    <w:rsid w:val="34DB19BE"/>
    <w:rsid w:val="34DD1293"/>
    <w:rsid w:val="34DF11C5"/>
    <w:rsid w:val="34DF4CA3"/>
    <w:rsid w:val="34DF500B"/>
    <w:rsid w:val="34E042B5"/>
    <w:rsid w:val="34E04849"/>
    <w:rsid w:val="34E20C87"/>
    <w:rsid w:val="34E212FF"/>
    <w:rsid w:val="34E24AFB"/>
    <w:rsid w:val="34E257A6"/>
    <w:rsid w:val="34E46AC5"/>
    <w:rsid w:val="34E55D35"/>
    <w:rsid w:val="34E645EB"/>
    <w:rsid w:val="34E70363"/>
    <w:rsid w:val="34E745FC"/>
    <w:rsid w:val="34E7791A"/>
    <w:rsid w:val="34EB1C02"/>
    <w:rsid w:val="34ED510A"/>
    <w:rsid w:val="34EE34A0"/>
    <w:rsid w:val="34F31592"/>
    <w:rsid w:val="34F5482E"/>
    <w:rsid w:val="34F565DC"/>
    <w:rsid w:val="34F63D0D"/>
    <w:rsid w:val="34F87612"/>
    <w:rsid w:val="34FB3F48"/>
    <w:rsid w:val="34FD1935"/>
    <w:rsid w:val="35004F81"/>
    <w:rsid w:val="35011425"/>
    <w:rsid w:val="35020704"/>
    <w:rsid w:val="3504774E"/>
    <w:rsid w:val="35062A2A"/>
    <w:rsid w:val="350635C4"/>
    <w:rsid w:val="35066A3B"/>
    <w:rsid w:val="350727B3"/>
    <w:rsid w:val="35074561"/>
    <w:rsid w:val="3509652C"/>
    <w:rsid w:val="350A12B3"/>
    <w:rsid w:val="350B742E"/>
    <w:rsid w:val="350C2FEC"/>
    <w:rsid w:val="350F0511"/>
    <w:rsid w:val="351068B7"/>
    <w:rsid w:val="35150A2C"/>
    <w:rsid w:val="351849C1"/>
    <w:rsid w:val="351C5B11"/>
    <w:rsid w:val="351D1FD7"/>
    <w:rsid w:val="351E5210"/>
    <w:rsid w:val="351F5D4F"/>
    <w:rsid w:val="35225FD9"/>
    <w:rsid w:val="352275ED"/>
    <w:rsid w:val="35243365"/>
    <w:rsid w:val="35246EC1"/>
    <w:rsid w:val="352553B7"/>
    <w:rsid w:val="35262D9A"/>
    <w:rsid w:val="35266C07"/>
    <w:rsid w:val="352A729A"/>
    <w:rsid w:val="352C3FC8"/>
    <w:rsid w:val="352C6D07"/>
    <w:rsid w:val="352D5816"/>
    <w:rsid w:val="35302FBD"/>
    <w:rsid w:val="3533133B"/>
    <w:rsid w:val="35333B42"/>
    <w:rsid w:val="35340EB4"/>
    <w:rsid w:val="35342B11"/>
    <w:rsid w:val="35356CED"/>
    <w:rsid w:val="3538471B"/>
    <w:rsid w:val="353A4937"/>
    <w:rsid w:val="353C02FB"/>
    <w:rsid w:val="353C06AF"/>
    <w:rsid w:val="353D3322"/>
    <w:rsid w:val="353F7D8A"/>
    <w:rsid w:val="35417A73"/>
    <w:rsid w:val="35496928"/>
    <w:rsid w:val="354A25A8"/>
    <w:rsid w:val="354A582D"/>
    <w:rsid w:val="354B444E"/>
    <w:rsid w:val="354C68CC"/>
    <w:rsid w:val="354D30E3"/>
    <w:rsid w:val="354D6418"/>
    <w:rsid w:val="354E3F3E"/>
    <w:rsid w:val="355359F9"/>
    <w:rsid w:val="355363ED"/>
    <w:rsid w:val="355377A7"/>
    <w:rsid w:val="355673CA"/>
    <w:rsid w:val="355A0B35"/>
    <w:rsid w:val="355A28E3"/>
    <w:rsid w:val="355A6D87"/>
    <w:rsid w:val="355B3966"/>
    <w:rsid w:val="355C61D9"/>
    <w:rsid w:val="355C79F5"/>
    <w:rsid w:val="355D46C4"/>
    <w:rsid w:val="355E607D"/>
    <w:rsid w:val="355E7A08"/>
    <w:rsid w:val="355F3547"/>
    <w:rsid w:val="35613C72"/>
    <w:rsid w:val="35633E8E"/>
    <w:rsid w:val="35635C3C"/>
    <w:rsid w:val="35641C60"/>
    <w:rsid w:val="3566572C"/>
    <w:rsid w:val="356814A4"/>
    <w:rsid w:val="35683252"/>
    <w:rsid w:val="356D0868"/>
    <w:rsid w:val="356D68A7"/>
    <w:rsid w:val="356E638F"/>
    <w:rsid w:val="35725E7F"/>
    <w:rsid w:val="35727A6C"/>
    <w:rsid w:val="35727A8C"/>
    <w:rsid w:val="35766398"/>
    <w:rsid w:val="357671D5"/>
    <w:rsid w:val="35791AD8"/>
    <w:rsid w:val="357A0C52"/>
    <w:rsid w:val="357D4824"/>
    <w:rsid w:val="357E2C60"/>
    <w:rsid w:val="3580670A"/>
    <w:rsid w:val="35831E3A"/>
    <w:rsid w:val="35832599"/>
    <w:rsid w:val="358362DE"/>
    <w:rsid w:val="3584726E"/>
    <w:rsid w:val="358A72E5"/>
    <w:rsid w:val="358C040D"/>
    <w:rsid w:val="358C3D84"/>
    <w:rsid w:val="358C53AB"/>
    <w:rsid w:val="358C5FA8"/>
    <w:rsid w:val="358D4A67"/>
    <w:rsid w:val="35902FF5"/>
    <w:rsid w:val="35922654"/>
    <w:rsid w:val="35925EFD"/>
    <w:rsid w:val="35951B6D"/>
    <w:rsid w:val="35956011"/>
    <w:rsid w:val="35966E67"/>
    <w:rsid w:val="35973B37"/>
    <w:rsid w:val="3598340C"/>
    <w:rsid w:val="3599165E"/>
    <w:rsid w:val="359D28C2"/>
    <w:rsid w:val="359E6C74"/>
    <w:rsid w:val="35A10512"/>
    <w:rsid w:val="35A26038"/>
    <w:rsid w:val="35A46254"/>
    <w:rsid w:val="35A53185"/>
    <w:rsid w:val="35A77AE8"/>
    <w:rsid w:val="35A87540"/>
    <w:rsid w:val="35A95619"/>
    <w:rsid w:val="35A9702C"/>
    <w:rsid w:val="35AA40A9"/>
    <w:rsid w:val="35AD4696"/>
    <w:rsid w:val="35AD62A7"/>
    <w:rsid w:val="35B31935"/>
    <w:rsid w:val="35B46497"/>
    <w:rsid w:val="35B50461"/>
    <w:rsid w:val="35B64510"/>
    <w:rsid w:val="35BC0A16"/>
    <w:rsid w:val="35BD0D23"/>
    <w:rsid w:val="35BE320D"/>
    <w:rsid w:val="35BE5D5B"/>
    <w:rsid w:val="35BE7316"/>
    <w:rsid w:val="35C006F1"/>
    <w:rsid w:val="35C15DF1"/>
    <w:rsid w:val="35C331E0"/>
    <w:rsid w:val="35C3492C"/>
    <w:rsid w:val="35C44201"/>
    <w:rsid w:val="35C65B7A"/>
    <w:rsid w:val="35CA5CBB"/>
    <w:rsid w:val="35D04475"/>
    <w:rsid w:val="35D05FB0"/>
    <w:rsid w:val="35D2691D"/>
    <w:rsid w:val="35D33A4A"/>
    <w:rsid w:val="35D408E8"/>
    <w:rsid w:val="35D55AAC"/>
    <w:rsid w:val="35D703D8"/>
    <w:rsid w:val="35D841C9"/>
    <w:rsid w:val="35D953AD"/>
    <w:rsid w:val="35DB7EC8"/>
    <w:rsid w:val="35DD12F1"/>
    <w:rsid w:val="35DE1D77"/>
    <w:rsid w:val="35DF103A"/>
    <w:rsid w:val="35E30B2B"/>
    <w:rsid w:val="35E4463E"/>
    <w:rsid w:val="35E46651"/>
    <w:rsid w:val="35E96362"/>
    <w:rsid w:val="35EA71FC"/>
    <w:rsid w:val="35EC11AB"/>
    <w:rsid w:val="35EF38C5"/>
    <w:rsid w:val="35F03248"/>
    <w:rsid w:val="35F40F8A"/>
    <w:rsid w:val="35F5085E"/>
    <w:rsid w:val="35F53947"/>
    <w:rsid w:val="35FB0557"/>
    <w:rsid w:val="35FC0A5A"/>
    <w:rsid w:val="35FC7E3E"/>
    <w:rsid w:val="360312D3"/>
    <w:rsid w:val="36070CBD"/>
    <w:rsid w:val="36074A7F"/>
    <w:rsid w:val="360770D0"/>
    <w:rsid w:val="36080AC8"/>
    <w:rsid w:val="36081B19"/>
    <w:rsid w:val="360A60B7"/>
    <w:rsid w:val="360B33B7"/>
    <w:rsid w:val="360D5BA8"/>
    <w:rsid w:val="361004C3"/>
    <w:rsid w:val="361142FD"/>
    <w:rsid w:val="36124B3F"/>
    <w:rsid w:val="36140CE4"/>
    <w:rsid w:val="361433DA"/>
    <w:rsid w:val="36156BBB"/>
    <w:rsid w:val="36174C78"/>
    <w:rsid w:val="36176A26"/>
    <w:rsid w:val="361C50EF"/>
    <w:rsid w:val="36213401"/>
    <w:rsid w:val="362227F5"/>
    <w:rsid w:val="36223952"/>
    <w:rsid w:val="36251143"/>
    <w:rsid w:val="362611B6"/>
    <w:rsid w:val="362829E1"/>
    <w:rsid w:val="362D1DA6"/>
    <w:rsid w:val="362F1FC2"/>
    <w:rsid w:val="36301896"/>
    <w:rsid w:val="36310B5F"/>
    <w:rsid w:val="36315D3A"/>
    <w:rsid w:val="36341386"/>
    <w:rsid w:val="36346D90"/>
    <w:rsid w:val="36364CCA"/>
    <w:rsid w:val="363722D2"/>
    <w:rsid w:val="3637256A"/>
    <w:rsid w:val="3638514A"/>
    <w:rsid w:val="363A06F6"/>
    <w:rsid w:val="363B44C3"/>
    <w:rsid w:val="363C2FCD"/>
    <w:rsid w:val="363C648D"/>
    <w:rsid w:val="363E2205"/>
    <w:rsid w:val="363E5F01"/>
    <w:rsid w:val="36405F7D"/>
    <w:rsid w:val="36413666"/>
    <w:rsid w:val="36413AA3"/>
    <w:rsid w:val="36435A6D"/>
    <w:rsid w:val="3646585E"/>
    <w:rsid w:val="36465B64"/>
    <w:rsid w:val="36473A40"/>
    <w:rsid w:val="364D2448"/>
    <w:rsid w:val="364D690C"/>
    <w:rsid w:val="364E44F8"/>
    <w:rsid w:val="364F6BC3"/>
    <w:rsid w:val="364F7F6E"/>
    <w:rsid w:val="36525CB0"/>
    <w:rsid w:val="365437D6"/>
    <w:rsid w:val="36575075"/>
    <w:rsid w:val="3659703F"/>
    <w:rsid w:val="365B4B65"/>
    <w:rsid w:val="365E3EDD"/>
    <w:rsid w:val="365F1F65"/>
    <w:rsid w:val="36624145"/>
    <w:rsid w:val="36631C6B"/>
    <w:rsid w:val="36636BDC"/>
    <w:rsid w:val="36650A39"/>
    <w:rsid w:val="366559E4"/>
    <w:rsid w:val="366754AB"/>
    <w:rsid w:val="36681030"/>
    <w:rsid w:val="366B28CE"/>
    <w:rsid w:val="366E2AEA"/>
    <w:rsid w:val="367125DA"/>
    <w:rsid w:val="36714388"/>
    <w:rsid w:val="36723C5D"/>
    <w:rsid w:val="36745C27"/>
    <w:rsid w:val="36747820"/>
    <w:rsid w:val="3676199F"/>
    <w:rsid w:val="367752B9"/>
    <w:rsid w:val="36785717"/>
    <w:rsid w:val="367C49A1"/>
    <w:rsid w:val="367E03ED"/>
    <w:rsid w:val="367E1CA9"/>
    <w:rsid w:val="367E6AA5"/>
    <w:rsid w:val="36826596"/>
    <w:rsid w:val="36850295"/>
    <w:rsid w:val="36855401"/>
    <w:rsid w:val="36862B8B"/>
    <w:rsid w:val="368816D2"/>
    <w:rsid w:val="368E0145"/>
    <w:rsid w:val="36923549"/>
    <w:rsid w:val="36950A98"/>
    <w:rsid w:val="36954AA4"/>
    <w:rsid w:val="36960EB4"/>
    <w:rsid w:val="36965B9D"/>
    <w:rsid w:val="36971A84"/>
    <w:rsid w:val="36994A90"/>
    <w:rsid w:val="369E2CA4"/>
    <w:rsid w:val="36A25D65"/>
    <w:rsid w:val="36A64449"/>
    <w:rsid w:val="36A93B22"/>
    <w:rsid w:val="36A97957"/>
    <w:rsid w:val="36AA0DE7"/>
    <w:rsid w:val="36AA5DFB"/>
    <w:rsid w:val="36AC3612"/>
    <w:rsid w:val="36AE1139"/>
    <w:rsid w:val="36B129D7"/>
    <w:rsid w:val="36B23863"/>
    <w:rsid w:val="36B44275"/>
    <w:rsid w:val="36B572B1"/>
    <w:rsid w:val="36B64491"/>
    <w:rsid w:val="36B75FBF"/>
    <w:rsid w:val="36B95D5F"/>
    <w:rsid w:val="36BA6522"/>
    <w:rsid w:val="36BD0C45"/>
    <w:rsid w:val="36BE11B5"/>
    <w:rsid w:val="36BE50F4"/>
    <w:rsid w:val="36C00E6C"/>
    <w:rsid w:val="36C22032"/>
    <w:rsid w:val="36C37415"/>
    <w:rsid w:val="36C502E4"/>
    <w:rsid w:val="36C51CBC"/>
    <w:rsid w:val="36C60C52"/>
    <w:rsid w:val="36C91158"/>
    <w:rsid w:val="36C92C81"/>
    <w:rsid w:val="36CC15BF"/>
    <w:rsid w:val="36CD5604"/>
    <w:rsid w:val="36CF03B3"/>
    <w:rsid w:val="36D344DC"/>
    <w:rsid w:val="36D44917"/>
    <w:rsid w:val="36D725C2"/>
    <w:rsid w:val="36D97FCE"/>
    <w:rsid w:val="36DB3EF8"/>
    <w:rsid w:val="36DD1A1E"/>
    <w:rsid w:val="36E03C92"/>
    <w:rsid w:val="36E1493B"/>
    <w:rsid w:val="36E67111"/>
    <w:rsid w:val="36E903C3"/>
    <w:rsid w:val="36EB413B"/>
    <w:rsid w:val="36EC3A0F"/>
    <w:rsid w:val="36EF52AD"/>
    <w:rsid w:val="36F03046"/>
    <w:rsid w:val="36F269B1"/>
    <w:rsid w:val="36F31BEC"/>
    <w:rsid w:val="36F643EB"/>
    <w:rsid w:val="36F91B41"/>
    <w:rsid w:val="36F9444A"/>
    <w:rsid w:val="36FA25D0"/>
    <w:rsid w:val="36FA406A"/>
    <w:rsid w:val="36FB1EA4"/>
    <w:rsid w:val="36FB1F52"/>
    <w:rsid w:val="36FD16FA"/>
    <w:rsid w:val="37021484"/>
    <w:rsid w:val="37030A49"/>
    <w:rsid w:val="37052FAA"/>
    <w:rsid w:val="37054AD1"/>
    <w:rsid w:val="37066EE3"/>
    <w:rsid w:val="37095997"/>
    <w:rsid w:val="3709636F"/>
    <w:rsid w:val="370A24CC"/>
    <w:rsid w:val="370B658B"/>
    <w:rsid w:val="370C40B1"/>
    <w:rsid w:val="370D4F47"/>
    <w:rsid w:val="3710329D"/>
    <w:rsid w:val="371240A3"/>
    <w:rsid w:val="37133692"/>
    <w:rsid w:val="37133BF4"/>
    <w:rsid w:val="37152977"/>
    <w:rsid w:val="37152F66"/>
    <w:rsid w:val="371E540F"/>
    <w:rsid w:val="371F662B"/>
    <w:rsid w:val="37220FEE"/>
    <w:rsid w:val="3723242D"/>
    <w:rsid w:val="3724764D"/>
    <w:rsid w:val="37270A27"/>
    <w:rsid w:val="37270EEB"/>
    <w:rsid w:val="37272C99"/>
    <w:rsid w:val="37297953"/>
    <w:rsid w:val="372B09DB"/>
    <w:rsid w:val="372E04CB"/>
    <w:rsid w:val="372E1628"/>
    <w:rsid w:val="37304935"/>
    <w:rsid w:val="3730777E"/>
    <w:rsid w:val="37307DA0"/>
    <w:rsid w:val="373438A0"/>
    <w:rsid w:val="37351F61"/>
    <w:rsid w:val="3737640D"/>
    <w:rsid w:val="3738226D"/>
    <w:rsid w:val="373A6E70"/>
    <w:rsid w:val="373B6744"/>
    <w:rsid w:val="373C3483"/>
    <w:rsid w:val="373F4487"/>
    <w:rsid w:val="37427AD3"/>
    <w:rsid w:val="37453280"/>
    <w:rsid w:val="37456FE4"/>
    <w:rsid w:val="37471669"/>
    <w:rsid w:val="374750E9"/>
    <w:rsid w:val="3748158D"/>
    <w:rsid w:val="37490E61"/>
    <w:rsid w:val="37492C0F"/>
    <w:rsid w:val="374970B3"/>
    <w:rsid w:val="374D6BA3"/>
    <w:rsid w:val="375033BD"/>
    <w:rsid w:val="37515F68"/>
    <w:rsid w:val="37525FAC"/>
    <w:rsid w:val="37532240"/>
    <w:rsid w:val="37537F32"/>
    <w:rsid w:val="37557806"/>
    <w:rsid w:val="375640F4"/>
    <w:rsid w:val="375752FB"/>
    <w:rsid w:val="3758331D"/>
    <w:rsid w:val="375A306E"/>
    <w:rsid w:val="375A4D81"/>
    <w:rsid w:val="375A4E1C"/>
    <w:rsid w:val="375C0B95"/>
    <w:rsid w:val="375F28CF"/>
    <w:rsid w:val="37620175"/>
    <w:rsid w:val="37621F23"/>
    <w:rsid w:val="3762324D"/>
    <w:rsid w:val="37634175"/>
    <w:rsid w:val="37643333"/>
    <w:rsid w:val="37645C9B"/>
    <w:rsid w:val="3766010A"/>
    <w:rsid w:val="37660D8E"/>
    <w:rsid w:val="37675641"/>
    <w:rsid w:val="376827AF"/>
    <w:rsid w:val="3768578B"/>
    <w:rsid w:val="37691EBB"/>
    <w:rsid w:val="376A110E"/>
    <w:rsid w:val="376A15FF"/>
    <w:rsid w:val="376D1376"/>
    <w:rsid w:val="376E4598"/>
    <w:rsid w:val="37734130"/>
    <w:rsid w:val="3776777C"/>
    <w:rsid w:val="377738AA"/>
    <w:rsid w:val="377759CE"/>
    <w:rsid w:val="377A726D"/>
    <w:rsid w:val="377C7D3E"/>
    <w:rsid w:val="377D0B0B"/>
    <w:rsid w:val="377D6D5D"/>
    <w:rsid w:val="377E6643"/>
    <w:rsid w:val="377F2AD5"/>
    <w:rsid w:val="378026FE"/>
    <w:rsid w:val="3781684D"/>
    <w:rsid w:val="37817626"/>
    <w:rsid w:val="3783452B"/>
    <w:rsid w:val="3784633D"/>
    <w:rsid w:val="378620B5"/>
    <w:rsid w:val="37865C12"/>
    <w:rsid w:val="3787198A"/>
    <w:rsid w:val="37883806"/>
    <w:rsid w:val="378B1022"/>
    <w:rsid w:val="378C443E"/>
    <w:rsid w:val="37922808"/>
    <w:rsid w:val="37931595"/>
    <w:rsid w:val="379540A7"/>
    <w:rsid w:val="37975B1F"/>
    <w:rsid w:val="37985945"/>
    <w:rsid w:val="379876F3"/>
    <w:rsid w:val="379B0658"/>
    <w:rsid w:val="379C0B45"/>
    <w:rsid w:val="379C665A"/>
    <w:rsid w:val="37A048E7"/>
    <w:rsid w:val="37A10C9D"/>
    <w:rsid w:val="37A1366D"/>
    <w:rsid w:val="37A34A15"/>
    <w:rsid w:val="37A573DF"/>
    <w:rsid w:val="37A91900"/>
    <w:rsid w:val="37A97B52"/>
    <w:rsid w:val="37AA734C"/>
    <w:rsid w:val="37AB363A"/>
    <w:rsid w:val="37AB38CA"/>
    <w:rsid w:val="37AC0952"/>
    <w:rsid w:val="37AC4A77"/>
    <w:rsid w:val="37AE5168"/>
    <w:rsid w:val="37AF20BD"/>
    <w:rsid w:val="37AF7AF5"/>
    <w:rsid w:val="37B02C8E"/>
    <w:rsid w:val="37B24C58"/>
    <w:rsid w:val="37B41A1F"/>
    <w:rsid w:val="37B61898"/>
    <w:rsid w:val="37B704C1"/>
    <w:rsid w:val="37BA3B0D"/>
    <w:rsid w:val="37BC2B86"/>
    <w:rsid w:val="37BC7885"/>
    <w:rsid w:val="37BD045A"/>
    <w:rsid w:val="37BD52CD"/>
    <w:rsid w:val="37BD53AB"/>
    <w:rsid w:val="37BF2424"/>
    <w:rsid w:val="37BF5D88"/>
    <w:rsid w:val="37C0608B"/>
    <w:rsid w:val="37C36E66"/>
    <w:rsid w:val="37C624B2"/>
    <w:rsid w:val="37C76019"/>
    <w:rsid w:val="37C76CFF"/>
    <w:rsid w:val="37CA080F"/>
    <w:rsid w:val="37CB1876"/>
    <w:rsid w:val="37CB6DCA"/>
    <w:rsid w:val="37D14EB4"/>
    <w:rsid w:val="37D21F2E"/>
    <w:rsid w:val="37D72693"/>
    <w:rsid w:val="37DA5F5D"/>
    <w:rsid w:val="37DC67C8"/>
    <w:rsid w:val="37DC7F27"/>
    <w:rsid w:val="37DE3C9F"/>
    <w:rsid w:val="37DE3DCA"/>
    <w:rsid w:val="37DE4FB0"/>
    <w:rsid w:val="37DE77FC"/>
    <w:rsid w:val="37DF3574"/>
    <w:rsid w:val="37DF3E15"/>
    <w:rsid w:val="37E00298"/>
    <w:rsid w:val="37E04D8A"/>
    <w:rsid w:val="37E40B8A"/>
    <w:rsid w:val="37E4539D"/>
    <w:rsid w:val="37E6019C"/>
    <w:rsid w:val="37E868CC"/>
    <w:rsid w:val="37E95F42"/>
    <w:rsid w:val="37EA2644"/>
    <w:rsid w:val="37EB1F18"/>
    <w:rsid w:val="37EB7A11"/>
    <w:rsid w:val="37ED0148"/>
    <w:rsid w:val="37ED4264"/>
    <w:rsid w:val="37ED7A3F"/>
    <w:rsid w:val="37F05781"/>
    <w:rsid w:val="37F45271"/>
    <w:rsid w:val="37F52D97"/>
    <w:rsid w:val="37F54B45"/>
    <w:rsid w:val="37F62DE6"/>
    <w:rsid w:val="37F9448D"/>
    <w:rsid w:val="37FA09B2"/>
    <w:rsid w:val="37FC2378"/>
    <w:rsid w:val="37FE1C4C"/>
    <w:rsid w:val="37FF59C4"/>
    <w:rsid w:val="38031EDD"/>
    <w:rsid w:val="380331C7"/>
    <w:rsid w:val="38042FDA"/>
    <w:rsid w:val="3809716F"/>
    <w:rsid w:val="380A136E"/>
    <w:rsid w:val="380A6843"/>
    <w:rsid w:val="380C315D"/>
    <w:rsid w:val="380C7391"/>
    <w:rsid w:val="380E0468"/>
    <w:rsid w:val="3812306E"/>
    <w:rsid w:val="381256F7"/>
    <w:rsid w:val="38190834"/>
    <w:rsid w:val="381918C1"/>
    <w:rsid w:val="38194CD8"/>
    <w:rsid w:val="381E5E4A"/>
    <w:rsid w:val="381E7142"/>
    <w:rsid w:val="38211DDE"/>
    <w:rsid w:val="38241D8A"/>
    <w:rsid w:val="38253733"/>
    <w:rsid w:val="382819F6"/>
    <w:rsid w:val="382A2A41"/>
    <w:rsid w:val="382D0783"/>
    <w:rsid w:val="382D1047"/>
    <w:rsid w:val="382D2531"/>
    <w:rsid w:val="382E5979"/>
    <w:rsid w:val="38351ED1"/>
    <w:rsid w:val="38374713"/>
    <w:rsid w:val="38377558"/>
    <w:rsid w:val="38381E28"/>
    <w:rsid w:val="38390ED6"/>
    <w:rsid w:val="383946D8"/>
    <w:rsid w:val="383A157A"/>
    <w:rsid w:val="383B2EA0"/>
    <w:rsid w:val="383B3820"/>
    <w:rsid w:val="383F75D1"/>
    <w:rsid w:val="38401827"/>
    <w:rsid w:val="3840387E"/>
    <w:rsid w:val="38404012"/>
    <w:rsid w:val="384046C7"/>
    <w:rsid w:val="38420F66"/>
    <w:rsid w:val="384220E9"/>
    <w:rsid w:val="3842422E"/>
    <w:rsid w:val="38431D54"/>
    <w:rsid w:val="384324C7"/>
    <w:rsid w:val="38437C1E"/>
    <w:rsid w:val="38465395"/>
    <w:rsid w:val="384667F5"/>
    <w:rsid w:val="38471845"/>
    <w:rsid w:val="38471CDE"/>
    <w:rsid w:val="38481119"/>
    <w:rsid w:val="38483E2E"/>
    <w:rsid w:val="38485EC8"/>
    <w:rsid w:val="384970F6"/>
    <w:rsid w:val="384B212A"/>
    <w:rsid w:val="384B62D1"/>
    <w:rsid w:val="384D3875"/>
    <w:rsid w:val="384D39CD"/>
    <w:rsid w:val="384E4FDD"/>
    <w:rsid w:val="38521F98"/>
    <w:rsid w:val="38533621"/>
    <w:rsid w:val="38543F62"/>
    <w:rsid w:val="38547ABE"/>
    <w:rsid w:val="38563836"/>
    <w:rsid w:val="38564DA4"/>
    <w:rsid w:val="3857385A"/>
    <w:rsid w:val="38597843"/>
    <w:rsid w:val="385F751D"/>
    <w:rsid w:val="38606463"/>
    <w:rsid w:val="386121DB"/>
    <w:rsid w:val="38626F0E"/>
    <w:rsid w:val="38635F53"/>
    <w:rsid w:val="38651304"/>
    <w:rsid w:val="38653A79"/>
    <w:rsid w:val="38683569"/>
    <w:rsid w:val="386A0704"/>
    <w:rsid w:val="386A5533"/>
    <w:rsid w:val="386A735B"/>
    <w:rsid w:val="386D5023"/>
    <w:rsid w:val="386F35A5"/>
    <w:rsid w:val="387258D1"/>
    <w:rsid w:val="38726A86"/>
    <w:rsid w:val="387371E8"/>
    <w:rsid w:val="38776F5E"/>
    <w:rsid w:val="38784DF3"/>
    <w:rsid w:val="387939C8"/>
    <w:rsid w:val="38797524"/>
    <w:rsid w:val="387E4B3B"/>
    <w:rsid w:val="387E6088"/>
    <w:rsid w:val="38815DA0"/>
    <w:rsid w:val="3882287D"/>
    <w:rsid w:val="38824072"/>
    <w:rsid w:val="38836865"/>
    <w:rsid w:val="38874ACF"/>
    <w:rsid w:val="38877EE4"/>
    <w:rsid w:val="388B6C24"/>
    <w:rsid w:val="388C4596"/>
    <w:rsid w:val="388C5C40"/>
    <w:rsid w:val="388F6D48"/>
    <w:rsid w:val="38904D18"/>
    <w:rsid w:val="38932C2B"/>
    <w:rsid w:val="38934A8A"/>
    <w:rsid w:val="38943CA9"/>
    <w:rsid w:val="3894435E"/>
    <w:rsid w:val="3897311D"/>
    <w:rsid w:val="38977BAA"/>
    <w:rsid w:val="38990B47"/>
    <w:rsid w:val="38991974"/>
    <w:rsid w:val="38997BC6"/>
    <w:rsid w:val="389B4F7A"/>
    <w:rsid w:val="389B749B"/>
    <w:rsid w:val="389D25E5"/>
    <w:rsid w:val="389D34C1"/>
    <w:rsid w:val="389E6F8B"/>
    <w:rsid w:val="38A00F55"/>
    <w:rsid w:val="38A04AB1"/>
    <w:rsid w:val="38A26F07"/>
    <w:rsid w:val="38A41D37"/>
    <w:rsid w:val="38A81BB8"/>
    <w:rsid w:val="38AA3B82"/>
    <w:rsid w:val="38AC6811"/>
    <w:rsid w:val="38AC7E18"/>
    <w:rsid w:val="38AD5420"/>
    <w:rsid w:val="38AE3672"/>
    <w:rsid w:val="38B15AA8"/>
    <w:rsid w:val="38B24865"/>
    <w:rsid w:val="38B302F9"/>
    <w:rsid w:val="38B4055C"/>
    <w:rsid w:val="38B467AE"/>
    <w:rsid w:val="38B5187E"/>
    <w:rsid w:val="38B607F6"/>
    <w:rsid w:val="38B62526"/>
    <w:rsid w:val="38B62560"/>
    <w:rsid w:val="38C01768"/>
    <w:rsid w:val="38C033A5"/>
    <w:rsid w:val="38C16E8D"/>
    <w:rsid w:val="38C2711D"/>
    <w:rsid w:val="38CA5FD2"/>
    <w:rsid w:val="38CC09D9"/>
    <w:rsid w:val="38CF1B1C"/>
    <w:rsid w:val="38CF5396"/>
    <w:rsid w:val="38D21816"/>
    <w:rsid w:val="38D345B7"/>
    <w:rsid w:val="38D8249D"/>
    <w:rsid w:val="38DB61EB"/>
    <w:rsid w:val="38DD2C44"/>
    <w:rsid w:val="38DD7AB3"/>
    <w:rsid w:val="38DE1078"/>
    <w:rsid w:val="38DF43A1"/>
    <w:rsid w:val="38DF7CCF"/>
    <w:rsid w:val="38E45BE2"/>
    <w:rsid w:val="38E5105E"/>
    <w:rsid w:val="38E54BBA"/>
    <w:rsid w:val="38E55FE1"/>
    <w:rsid w:val="38E946AA"/>
    <w:rsid w:val="38EC7CF6"/>
    <w:rsid w:val="38EF1B03"/>
    <w:rsid w:val="38F06FA0"/>
    <w:rsid w:val="38F117B0"/>
    <w:rsid w:val="38F12CD3"/>
    <w:rsid w:val="38F1355F"/>
    <w:rsid w:val="38F17A02"/>
    <w:rsid w:val="38F512A1"/>
    <w:rsid w:val="38F94775"/>
    <w:rsid w:val="38FB052D"/>
    <w:rsid w:val="38FB43DD"/>
    <w:rsid w:val="38FD1043"/>
    <w:rsid w:val="38FD1F03"/>
    <w:rsid w:val="38FF47B1"/>
    <w:rsid w:val="390336A3"/>
    <w:rsid w:val="3905700A"/>
    <w:rsid w:val="39070FD4"/>
    <w:rsid w:val="390915D9"/>
    <w:rsid w:val="390A5B7D"/>
    <w:rsid w:val="390F1C37"/>
    <w:rsid w:val="391060DB"/>
    <w:rsid w:val="391A35A8"/>
    <w:rsid w:val="391F00CC"/>
    <w:rsid w:val="391F4466"/>
    <w:rsid w:val="39203C7B"/>
    <w:rsid w:val="39225E0E"/>
    <w:rsid w:val="39227BBC"/>
    <w:rsid w:val="39276F80"/>
    <w:rsid w:val="39286E13"/>
    <w:rsid w:val="39292CF8"/>
    <w:rsid w:val="39294B38"/>
    <w:rsid w:val="39296279"/>
    <w:rsid w:val="392971ED"/>
    <w:rsid w:val="392A081F"/>
    <w:rsid w:val="392E47B3"/>
    <w:rsid w:val="392E6561"/>
    <w:rsid w:val="393042B1"/>
    <w:rsid w:val="39314EE0"/>
    <w:rsid w:val="39325651"/>
    <w:rsid w:val="393578EF"/>
    <w:rsid w:val="39362534"/>
    <w:rsid w:val="39383B4A"/>
    <w:rsid w:val="393873DF"/>
    <w:rsid w:val="39390C6D"/>
    <w:rsid w:val="39392B55"/>
    <w:rsid w:val="393A11B2"/>
    <w:rsid w:val="393D2C48"/>
    <w:rsid w:val="393F251C"/>
    <w:rsid w:val="39403C2F"/>
    <w:rsid w:val="394137CB"/>
    <w:rsid w:val="39417CCC"/>
    <w:rsid w:val="39445D84"/>
    <w:rsid w:val="3946034C"/>
    <w:rsid w:val="3947062F"/>
    <w:rsid w:val="39477622"/>
    <w:rsid w:val="39486CE5"/>
    <w:rsid w:val="395028E1"/>
    <w:rsid w:val="39535FC7"/>
    <w:rsid w:val="39552EDC"/>
    <w:rsid w:val="39561614"/>
    <w:rsid w:val="395B16C9"/>
    <w:rsid w:val="395D208A"/>
    <w:rsid w:val="39602492"/>
    <w:rsid w:val="396106E4"/>
    <w:rsid w:val="3962471C"/>
    <w:rsid w:val="39643D30"/>
    <w:rsid w:val="39645A07"/>
    <w:rsid w:val="39657AA9"/>
    <w:rsid w:val="39671568"/>
    <w:rsid w:val="39671A73"/>
    <w:rsid w:val="39677CC5"/>
    <w:rsid w:val="39697599"/>
    <w:rsid w:val="396A38FA"/>
    <w:rsid w:val="396A6F04"/>
    <w:rsid w:val="396B1563"/>
    <w:rsid w:val="396C0E37"/>
    <w:rsid w:val="396E4C10"/>
    <w:rsid w:val="396E6253"/>
    <w:rsid w:val="396F26D5"/>
    <w:rsid w:val="39700927"/>
    <w:rsid w:val="39701DC7"/>
    <w:rsid w:val="39755F3E"/>
    <w:rsid w:val="39764958"/>
    <w:rsid w:val="397B0DBD"/>
    <w:rsid w:val="397B2E65"/>
    <w:rsid w:val="397F6DBC"/>
    <w:rsid w:val="39803209"/>
    <w:rsid w:val="39822409"/>
    <w:rsid w:val="3983274D"/>
    <w:rsid w:val="398443D3"/>
    <w:rsid w:val="39862209"/>
    <w:rsid w:val="398A1DD2"/>
    <w:rsid w:val="398B5761"/>
    <w:rsid w:val="398B6032"/>
    <w:rsid w:val="398B750F"/>
    <w:rsid w:val="398C4EAD"/>
    <w:rsid w:val="398E6FFF"/>
    <w:rsid w:val="39900FC9"/>
    <w:rsid w:val="39904820"/>
    <w:rsid w:val="39932868"/>
    <w:rsid w:val="39965EB4"/>
    <w:rsid w:val="399B0F5F"/>
    <w:rsid w:val="399B2FE8"/>
    <w:rsid w:val="399B6127"/>
    <w:rsid w:val="399B7392"/>
    <w:rsid w:val="399F5B58"/>
    <w:rsid w:val="399F745E"/>
    <w:rsid w:val="39A16D33"/>
    <w:rsid w:val="39A24859"/>
    <w:rsid w:val="39A4785F"/>
    <w:rsid w:val="39A700C1"/>
    <w:rsid w:val="39A9208B"/>
    <w:rsid w:val="39AD3929"/>
    <w:rsid w:val="39AE5B52"/>
    <w:rsid w:val="39B13EDE"/>
    <w:rsid w:val="39B43314"/>
    <w:rsid w:val="39B806AA"/>
    <w:rsid w:val="39B82CDD"/>
    <w:rsid w:val="39BA4298"/>
    <w:rsid w:val="39BA6046"/>
    <w:rsid w:val="39BC1DBE"/>
    <w:rsid w:val="39BC591B"/>
    <w:rsid w:val="39BD5950"/>
    <w:rsid w:val="39BE51FE"/>
    <w:rsid w:val="39BE68A6"/>
    <w:rsid w:val="39BF502D"/>
    <w:rsid w:val="39C151CC"/>
    <w:rsid w:val="39C3314D"/>
    <w:rsid w:val="39CD7645"/>
    <w:rsid w:val="39D0586A"/>
    <w:rsid w:val="39D27D8D"/>
    <w:rsid w:val="39D32C64"/>
    <w:rsid w:val="39D864CC"/>
    <w:rsid w:val="39D91723"/>
    <w:rsid w:val="39DC24AF"/>
    <w:rsid w:val="39DC7D6B"/>
    <w:rsid w:val="39DD2CF4"/>
    <w:rsid w:val="39E157E4"/>
    <w:rsid w:val="39E41315"/>
    <w:rsid w:val="39E41AD2"/>
    <w:rsid w:val="39E5143D"/>
    <w:rsid w:val="39E66E3B"/>
    <w:rsid w:val="39E7589A"/>
    <w:rsid w:val="39E906DA"/>
    <w:rsid w:val="39E9692C"/>
    <w:rsid w:val="39EB4452"/>
    <w:rsid w:val="39EC76E2"/>
    <w:rsid w:val="39ED648E"/>
    <w:rsid w:val="39EF0695"/>
    <w:rsid w:val="39F2758E"/>
    <w:rsid w:val="39F32C42"/>
    <w:rsid w:val="39F37C04"/>
    <w:rsid w:val="39F41558"/>
    <w:rsid w:val="39F71049"/>
    <w:rsid w:val="39F74362"/>
    <w:rsid w:val="39FA0974"/>
    <w:rsid w:val="39FA4695"/>
    <w:rsid w:val="3A00568B"/>
    <w:rsid w:val="3A014596"/>
    <w:rsid w:val="3A027275"/>
    <w:rsid w:val="3A033549"/>
    <w:rsid w:val="3A035D23"/>
    <w:rsid w:val="3A0377AB"/>
    <w:rsid w:val="3A091088"/>
    <w:rsid w:val="3A0D0478"/>
    <w:rsid w:val="3A10602C"/>
    <w:rsid w:val="3A1173C0"/>
    <w:rsid w:val="3A1401CA"/>
    <w:rsid w:val="3A1439A9"/>
    <w:rsid w:val="3A1649FC"/>
    <w:rsid w:val="3A192D6D"/>
    <w:rsid w:val="3A1E0BFB"/>
    <w:rsid w:val="3A1E7776"/>
    <w:rsid w:val="3A200049"/>
    <w:rsid w:val="3A211197"/>
    <w:rsid w:val="3A2309D0"/>
    <w:rsid w:val="3A270F8D"/>
    <w:rsid w:val="3A2B0CF2"/>
    <w:rsid w:val="3A2B2AA0"/>
    <w:rsid w:val="3A2D6818"/>
    <w:rsid w:val="3A2F07E2"/>
    <w:rsid w:val="3A3000B7"/>
    <w:rsid w:val="3A331955"/>
    <w:rsid w:val="3A3325A9"/>
    <w:rsid w:val="3A34106E"/>
    <w:rsid w:val="3A350C13"/>
    <w:rsid w:val="3A371445"/>
    <w:rsid w:val="3A38610E"/>
    <w:rsid w:val="3A3A2CE3"/>
    <w:rsid w:val="3A40479E"/>
    <w:rsid w:val="3A43428E"/>
    <w:rsid w:val="3A437DEA"/>
    <w:rsid w:val="3A442CD2"/>
    <w:rsid w:val="3A45014E"/>
    <w:rsid w:val="3A451DB4"/>
    <w:rsid w:val="3A4600A5"/>
    <w:rsid w:val="3A4678DA"/>
    <w:rsid w:val="3A4702F5"/>
    <w:rsid w:val="3A4818A4"/>
    <w:rsid w:val="3A4A017C"/>
    <w:rsid w:val="3A4A04EE"/>
    <w:rsid w:val="3A4C4781"/>
    <w:rsid w:val="3A4D0C68"/>
    <w:rsid w:val="3A500759"/>
    <w:rsid w:val="3A502507"/>
    <w:rsid w:val="3A5169AB"/>
    <w:rsid w:val="3A52627F"/>
    <w:rsid w:val="3A5344DC"/>
    <w:rsid w:val="3A541D49"/>
    <w:rsid w:val="3A563FC1"/>
    <w:rsid w:val="3A572435"/>
    <w:rsid w:val="3A5746E7"/>
    <w:rsid w:val="3A5A2628"/>
    <w:rsid w:val="3A5E69D2"/>
    <w:rsid w:val="3A60099C"/>
    <w:rsid w:val="3A612966"/>
    <w:rsid w:val="3A613CAA"/>
    <w:rsid w:val="3A63048C"/>
    <w:rsid w:val="3A631502"/>
    <w:rsid w:val="3A6670EA"/>
    <w:rsid w:val="3A6674C2"/>
    <w:rsid w:val="3A683CF4"/>
    <w:rsid w:val="3A6D30B9"/>
    <w:rsid w:val="3A6D4E67"/>
    <w:rsid w:val="3A6F5B6C"/>
    <w:rsid w:val="3A72247D"/>
    <w:rsid w:val="3A775CE5"/>
    <w:rsid w:val="3A79380C"/>
    <w:rsid w:val="3A7A4BDB"/>
    <w:rsid w:val="3A7C32FC"/>
    <w:rsid w:val="3A7C3B02"/>
    <w:rsid w:val="3A7C7AC5"/>
    <w:rsid w:val="3A7D6A5A"/>
    <w:rsid w:val="3A7E7074"/>
    <w:rsid w:val="3A7F0485"/>
    <w:rsid w:val="3A80103E"/>
    <w:rsid w:val="3A804B9A"/>
    <w:rsid w:val="3A8328DC"/>
    <w:rsid w:val="3A865F28"/>
    <w:rsid w:val="3A870421"/>
    <w:rsid w:val="3A870CC6"/>
    <w:rsid w:val="3A872856"/>
    <w:rsid w:val="3A8838A6"/>
    <w:rsid w:val="3A8C21A6"/>
    <w:rsid w:val="3A8C4A07"/>
    <w:rsid w:val="3A8D375B"/>
    <w:rsid w:val="3A8F1281"/>
    <w:rsid w:val="3A941089"/>
    <w:rsid w:val="3A946897"/>
    <w:rsid w:val="3A952A57"/>
    <w:rsid w:val="3A962BD0"/>
    <w:rsid w:val="3A971EE4"/>
    <w:rsid w:val="3A992100"/>
    <w:rsid w:val="3A9A0320"/>
    <w:rsid w:val="3A9B7C26"/>
    <w:rsid w:val="3AA02EAA"/>
    <w:rsid w:val="3AA0523C"/>
    <w:rsid w:val="3AA306FC"/>
    <w:rsid w:val="3AA52853"/>
    <w:rsid w:val="3AA702D4"/>
    <w:rsid w:val="3AA765CB"/>
    <w:rsid w:val="3AA840F1"/>
    <w:rsid w:val="3AAC77D3"/>
    <w:rsid w:val="3AAD1D66"/>
    <w:rsid w:val="3AAD5BAB"/>
    <w:rsid w:val="3AAF4D4A"/>
    <w:rsid w:val="3AB05684"/>
    <w:rsid w:val="3AB331C1"/>
    <w:rsid w:val="3AB40CE8"/>
    <w:rsid w:val="3AB74334"/>
    <w:rsid w:val="3AB776E9"/>
    <w:rsid w:val="3AB82D75"/>
    <w:rsid w:val="3ABB02C8"/>
    <w:rsid w:val="3ABB22FF"/>
    <w:rsid w:val="3ABD4CA7"/>
    <w:rsid w:val="3ABF6B63"/>
    <w:rsid w:val="3AC01D6E"/>
    <w:rsid w:val="3AC151B3"/>
    <w:rsid w:val="3AC33738"/>
    <w:rsid w:val="3AC34738"/>
    <w:rsid w:val="3AC3717D"/>
    <w:rsid w:val="3AC53E41"/>
    <w:rsid w:val="3AC76CFB"/>
    <w:rsid w:val="3AC80897"/>
    <w:rsid w:val="3AC80DAF"/>
    <w:rsid w:val="3ACD1DA9"/>
    <w:rsid w:val="3ACD3B57"/>
    <w:rsid w:val="3ACE13FE"/>
    <w:rsid w:val="3ACE1898"/>
    <w:rsid w:val="3ACE7FFB"/>
    <w:rsid w:val="3ACF78CF"/>
    <w:rsid w:val="3AD36E75"/>
    <w:rsid w:val="3AD46577"/>
    <w:rsid w:val="3AD75181"/>
    <w:rsid w:val="3AD76784"/>
    <w:rsid w:val="3AD93464"/>
    <w:rsid w:val="3ADB7886"/>
    <w:rsid w:val="3ADE3FB6"/>
    <w:rsid w:val="3AE126DC"/>
    <w:rsid w:val="3AE2365A"/>
    <w:rsid w:val="3AE27603"/>
    <w:rsid w:val="3AE4403A"/>
    <w:rsid w:val="3AE6618E"/>
    <w:rsid w:val="3AE91240"/>
    <w:rsid w:val="3AEB3A42"/>
    <w:rsid w:val="3AEC0481"/>
    <w:rsid w:val="3AEE6477"/>
    <w:rsid w:val="3AEE6D14"/>
    <w:rsid w:val="3AEF4B61"/>
    <w:rsid w:val="3AF15A98"/>
    <w:rsid w:val="3AF259C7"/>
    <w:rsid w:val="3AF30529"/>
    <w:rsid w:val="3AF30ECD"/>
    <w:rsid w:val="3AF31810"/>
    <w:rsid w:val="3AF52098"/>
    <w:rsid w:val="3AF92B9E"/>
    <w:rsid w:val="3AFC17A6"/>
    <w:rsid w:val="3AFC38F1"/>
    <w:rsid w:val="3AFD1AA2"/>
    <w:rsid w:val="3AFE1F63"/>
    <w:rsid w:val="3AFE674A"/>
    <w:rsid w:val="3AFF289D"/>
    <w:rsid w:val="3B005CDB"/>
    <w:rsid w:val="3B016796"/>
    <w:rsid w:val="3B0357CB"/>
    <w:rsid w:val="3B043A1D"/>
    <w:rsid w:val="3B045EEA"/>
    <w:rsid w:val="3B05396E"/>
    <w:rsid w:val="3B0E03F8"/>
    <w:rsid w:val="3B0E664A"/>
    <w:rsid w:val="3B0F1B0C"/>
    <w:rsid w:val="3B107589"/>
    <w:rsid w:val="3B117EE8"/>
    <w:rsid w:val="3B131EB2"/>
    <w:rsid w:val="3B1654FE"/>
    <w:rsid w:val="3B1D063B"/>
    <w:rsid w:val="3B1E43B3"/>
    <w:rsid w:val="3B1F2605"/>
    <w:rsid w:val="3B233964"/>
    <w:rsid w:val="3B245E6D"/>
    <w:rsid w:val="3B273268"/>
    <w:rsid w:val="3B27471A"/>
    <w:rsid w:val="3B282520"/>
    <w:rsid w:val="3B286FE0"/>
    <w:rsid w:val="3B297C46"/>
    <w:rsid w:val="3B2A2D58"/>
    <w:rsid w:val="3B2C0C41"/>
    <w:rsid w:val="3B2E2848"/>
    <w:rsid w:val="3B312338"/>
    <w:rsid w:val="3B3572F1"/>
    <w:rsid w:val="3B365A10"/>
    <w:rsid w:val="3B365BA1"/>
    <w:rsid w:val="3B366827"/>
    <w:rsid w:val="3B36726D"/>
    <w:rsid w:val="3B3763D1"/>
    <w:rsid w:val="3B3D44C2"/>
    <w:rsid w:val="3B3D6F2F"/>
    <w:rsid w:val="3B410F1E"/>
    <w:rsid w:val="3B444E75"/>
    <w:rsid w:val="3B482DDE"/>
    <w:rsid w:val="3B4A7152"/>
    <w:rsid w:val="3B4A71E3"/>
    <w:rsid w:val="3B4C2247"/>
    <w:rsid w:val="3B4C22F3"/>
    <w:rsid w:val="3B4C60F1"/>
    <w:rsid w:val="3B506C62"/>
    <w:rsid w:val="3B516ED3"/>
    <w:rsid w:val="3B527541"/>
    <w:rsid w:val="3B547DD5"/>
    <w:rsid w:val="3B556152"/>
    <w:rsid w:val="3B5E036E"/>
    <w:rsid w:val="3B5F311B"/>
    <w:rsid w:val="3B5F40A8"/>
    <w:rsid w:val="3B667FE6"/>
    <w:rsid w:val="3B6C15C2"/>
    <w:rsid w:val="3B6D0F28"/>
    <w:rsid w:val="3B6F3892"/>
    <w:rsid w:val="3B6F4C0F"/>
    <w:rsid w:val="3B7010B2"/>
    <w:rsid w:val="3B703BBA"/>
    <w:rsid w:val="3B716BD9"/>
    <w:rsid w:val="3B732951"/>
    <w:rsid w:val="3B735E9D"/>
    <w:rsid w:val="3B781D15"/>
    <w:rsid w:val="3B7A5A8D"/>
    <w:rsid w:val="3B7A5E38"/>
    <w:rsid w:val="3B7B718B"/>
    <w:rsid w:val="3B7D363A"/>
    <w:rsid w:val="3B822B94"/>
    <w:rsid w:val="3B824942"/>
    <w:rsid w:val="3B84690C"/>
    <w:rsid w:val="3B855F61"/>
    <w:rsid w:val="3B8701AA"/>
    <w:rsid w:val="3B8821FA"/>
    <w:rsid w:val="3B895CD0"/>
    <w:rsid w:val="3B8A5951"/>
    <w:rsid w:val="3B8B2FB7"/>
    <w:rsid w:val="3B8E0DD5"/>
    <w:rsid w:val="3B8E1539"/>
    <w:rsid w:val="3B911029"/>
    <w:rsid w:val="3B912DD7"/>
    <w:rsid w:val="3B914042"/>
    <w:rsid w:val="3B92321D"/>
    <w:rsid w:val="3B927593"/>
    <w:rsid w:val="3B92797A"/>
    <w:rsid w:val="3B9308FD"/>
    <w:rsid w:val="3B9402D9"/>
    <w:rsid w:val="3B985F13"/>
    <w:rsid w:val="3B99218B"/>
    <w:rsid w:val="3B9B0DC0"/>
    <w:rsid w:val="3B9E2F68"/>
    <w:rsid w:val="3BA05D77"/>
    <w:rsid w:val="3BA1126C"/>
    <w:rsid w:val="3BA23700"/>
    <w:rsid w:val="3BA24FE4"/>
    <w:rsid w:val="3BA31223"/>
    <w:rsid w:val="3BA40D5C"/>
    <w:rsid w:val="3BA431F0"/>
    <w:rsid w:val="3BA64980"/>
    <w:rsid w:val="3BA66882"/>
    <w:rsid w:val="3BA763A5"/>
    <w:rsid w:val="3BA83053"/>
    <w:rsid w:val="3BAA5C47"/>
    <w:rsid w:val="3BAC0042"/>
    <w:rsid w:val="3BAC188C"/>
    <w:rsid w:val="3BB014AF"/>
    <w:rsid w:val="3BB02F1B"/>
    <w:rsid w:val="3BB23479"/>
    <w:rsid w:val="3BB32D4D"/>
    <w:rsid w:val="3BB348AF"/>
    <w:rsid w:val="3BB645EB"/>
    <w:rsid w:val="3BB70898"/>
    <w:rsid w:val="3BB865B6"/>
    <w:rsid w:val="3BBA1722"/>
    <w:rsid w:val="3BBC1F74"/>
    <w:rsid w:val="3BC01629"/>
    <w:rsid w:val="3BC5343D"/>
    <w:rsid w:val="3BC62A80"/>
    <w:rsid w:val="3BC650FA"/>
    <w:rsid w:val="3BC85F47"/>
    <w:rsid w:val="3BCE1547"/>
    <w:rsid w:val="3BCF2C3C"/>
    <w:rsid w:val="3BD3570B"/>
    <w:rsid w:val="3BD4171E"/>
    <w:rsid w:val="3BD86003"/>
    <w:rsid w:val="3BD8694B"/>
    <w:rsid w:val="3BD9439C"/>
    <w:rsid w:val="3BD96E63"/>
    <w:rsid w:val="3BDA477E"/>
    <w:rsid w:val="3BDD52A9"/>
    <w:rsid w:val="3BDF3482"/>
    <w:rsid w:val="3BE31DA8"/>
    <w:rsid w:val="3BE876F1"/>
    <w:rsid w:val="3BEA4F9D"/>
    <w:rsid w:val="3BEB19FB"/>
    <w:rsid w:val="3BEE4497"/>
    <w:rsid w:val="3BEE71E0"/>
    <w:rsid w:val="3BF53366"/>
    <w:rsid w:val="3BF5780A"/>
    <w:rsid w:val="3BF770DE"/>
    <w:rsid w:val="3BFA0A04"/>
    <w:rsid w:val="3BFB4906"/>
    <w:rsid w:val="3BFC46F4"/>
    <w:rsid w:val="3C010394"/>
    <w:rsid w:val="3C025A83"/>
    <w:rsid w:val="3C0607EC"/>
    <w:rsid w:val="3C077987"/>
    <w:rsid w:val="3C090BBF"/>
    <w:rsid w:val="3C1512D8"/>
    <w:rsid w:val="3C154FD1"/>
    <w:rsid w:val="3C1732DC"/>
    <w:rsid w:val="3C1934F8"/>
    <w:rsid w:val="3C194D75"/>
    <w:rsid w:val="3C1A3598"/>
    <w:rsid w:val="3C1E1A07"/>
    <w:rsid w:val="3C237ED3"/>
    <w:rsid w:val="3C2459F9"/>
    <w:rsid w:val="3C247153"/>
    <w:rsid w:val="3C266D2C"/>
    <w:rsid w:val="3C2D4ECB"/>
    <w:rsid w:val="3C2E6878"/>
    <w:rsid w:val="3C2F6E1E"/>
    <w:rsid w:val="3C37397E"/>
    <w:rsid w:val="3C37789E"/>
    <w:rsid w:val="3C395948"/>
    <w:rsid w:val="3C3975B5"/>
    <w:rsid w:val="3C3C6FB7"/>
    <w:rsid w:val="3C3C71E7"/>
    <w:rsid w:val="3C3F0A85"/>
    <w:rsid w:val="3C3F2833"/>
    <w:rsid w:val="3C406CD7"/>
    <w:rsid w:val="3C430575"/>
    <w:rsid w:val="3C432323"/>
    <w:rsid w:val="3C45301B"/>
    <w:rsid w:val="3C46007A"/>
    <w:rsid w:val="3C4829FA"/>
    <w:rsid w:val="3C4B3255"/>
    <w:rsid w:val="3C4C6886"/>
    <w:rsid w:val="3C4D13F4"/>
    <w:rsid w:val="3C4D296B"/>
    <w:rsid w:val="3C4F64BA"/>
    <w:rsid w:val="3C504A40"/>
    <w:rsid w:val="3C524EC5"/>
    <w:rsid w:val="3C525929"/>
    <w:rsid w:val="3C5457A1"/>
    <w:rsid w:val="3C567117"/>
    <w:rsid w:val="3C5A1FAA"/>
    <w:rsid w:val="3C5A3F3E"/>
    <w:rsid w:val="3C5A58BF"/>
    <w:rsid w:val="3C5C5193"/>
    <w:rsid w:val="3C5E53AF"/>
    <w:rsid w:val="3C601127"/>
    <w:rsid w:val="3C614939"/>
    <w:rsid w:val="3C621FF3"/>
    <w:rsid w:val="3C64171D"/>
    <w:rsid w:val="3C647E97"/>
    <w:rsid w:val="3C680C5E"/>
    <w:rsid w:val="3C6B45C1"/>
    <w:rsid w:val="3C6B7ACC"/>
    <w:rsid w:val="3C7050E2"/>
    <w:rsid w:val="3C7659A0"/>
    <w:rsid w:val="3C77021F"/>
    <w:rsid w:val="3C795D45"/>
    <w:rsid w:val="3C7B5F52"/>
    <w:rsid w:val="3C7C119B"/>
    <w:rsid w:val="3C7C4B98"/>
    <w:rsid w:val="3C7C5835"/>
    <w:rsid w:val="3C7E313B"/>
    <w:rsid w:val="3C7F0E81"/>
    <w:rsid w:val="3C805E3C"/>
    <w:rsid w:val="3C8060C7"/>
    <w:rsid w:val="3C860477"/>
    <w:rsid w:val="3C88242C"/>
    <w:rsid w:val="3C8C696C"/>
    <w:rsid w:val="3C8D359E"/>
    <w:rsid w:val="3C8F7316"/>
    <w:rsid w:val="3C90308E"/>
    <w:rsid w:val="3C942B7F"/>
    <w:rsid w:val="3C973AFF"/>
    <w:rsid w:val="3C975968"/>
    <w:rsid w:val="3C9A5C48"/>
    <w:rsid w:val="3C9A65B0"/>
    <w:rsid w:val="3C9E3501"/>
    <w:rsid w:val="3CA06148"/>
    <w:rsid w:val="3CA1529C"/>
    <w:rsid w:val="3CA172FB"/>
    <w:rsid w:val="3CA535A7"/>
    <w:rsid w:val="3CA837C7"/>
    <w:rsid w:val="3CA84D99"/>
    <w:rsid w:val="3CA90EDB"/>
    <w:rsid w:val="3CAB4D29"/>
    <w:rsid w:val="3CAB7EC8"/>
    <w:rsid w:val="3CAD43BA"/>
    <w:rsid w:val="3CAE1468"/>
    <w:rsid w:val="3CAF5C0A"/>
    <w:rsid w:val="3CB076A6"/>
    <w:rsid w:val="3CB21D96"/>
    <w:rsid w:val="3CB46D7D"/>
    <w:rsid w:val="3CB65CB0"/>
    <w:rsid w:val="3CB66F99"/>
    <w:rsid w:val="3CB86586"/>
    <w:rsid w:val="3CBA010B"/>
    <w:rsid w:val="3CBA04C5"/>
    <w:rsid w:val="3CBD56A5"/>
    <w:rsid w:val="3CBE13B9"/>
    <w:rsid w:val="3CBE5E4E"/>
    <w:rsid w:val="3CC22929"/>
    <w:rsid w:val="3CC27EE0"/>
    <w:rsid w:val="3CC316B6"/>
    <w:rsid w:val="3CC32B42"/>
    <w:rsid w:val="3CC56749"/>
    <w:rsid w:val="3CC571DC"/>
    <w:rsid w:val="3CCD0AF3"/>
    <w:rsid w:val="3CD16206"/>
    <w:rsid w:val="3CD33311"/>
    <w:rsid w:val="3CD4485F"/>
    <w:rsid w:val="3CD50C21"/>
    <w:rsid w:val="3CD63197"/>
    <w:rsid w:val="3CD6488B"/>
    <w:rsid w:val="3CD75F97"/>
    <w:rsid w:val="3CDA245A"/>
    <w:rsid w:val="3CDB07AE"/>
    <w:rsid w:val="3CDD7800"/>
    <w:rsid w:val="3CE06A49"/>
    <w:rsid w:val="3CE138EA"/>
    <w:rsid w:val="3CE3263E"/>
    <w:rsid w:val="3CE358B4"/>
    <w:rsid w:val="3CE615DE"/>
    <w:rsid w:val="3CE77152"/>
    <w:rsid w:val="3CE84C78"/>
    <w:rsid w:val="3CEB21BC"/>
    <w:rsid w:val="3CEB5A78"/>
    <w:rsid w:val="3CEC4769"/>
    <w:rsid w:val="3CF17FD1"/>
    <w:rsid w:val="3CF357E2"/>
    <w:rsid w:val="3CF361EB"/>
    <w:rsid w:val="3CF96E86"/>
    <w:rsid w:val="3CFB0395"/>
    <w:rsid w:val="3CFB4ABD"/>
    <w:rsid w:val="3CFB7256"/>
    <w:rsid w:val="3CFC24D2"/>
    <w:rsid w:val="3CFC5325"/>
    <w:rsid w:val="3D021C82"/>
    <w:rsid w:val="3D0777F5"/>
    <w:rsid w:val="3D0C0423"/>
    <w:rsid w:val="3D0C4E0B"/>
    <w:rsid w:val="3D0D4CAD"/>
    <w:rsid w:val="3D0E450F"/>
    <w:rsid w:val="3D0F48FB"/>
    <w:rsid w:val="3D0F66A9"/>
    <w:rsid w:val="3D125298"/>
    <w:rsid w:val="3D165E8C"/>
    <w:rsid w:val="3D1C6419"/>
    <w:rsid w:val="3D1D14CD"/>
    <w:rsid w:val="3D1E06B7"/>
    <w:rsid w:val="3D1F0296"/>
    <w:rsid w:val="3D1F2422"/>
    <w:rsid w:val="3D255522"/>
    <w:rsid w:val="3D2A34E3"/>
    <w:rsid w:val="3D2C1009"/>
    <w:rsid w:val="3D2E2245"/>
    <w:rsid w:val="3D2E3A57"/>
    <w:rsid w:val="3D2E4D81"/>
    <w:rsid w:val="3D2F0AF9"/>
    <w:rsid w:val="3D2F2275"/>
    <w:rsid w:val="3D30144A"/>
    <w:rsid w:val="3D3103CE"/>
    <w:rsid w:val="3D32175E"/>
    <w:rsid w:val="3D324146"/>
    <w:rsid w:val="3D330514"/>
    <w:rsid w:val="3D3305EA"/>
    <w:rsid w:val="3D330F63"/>
    <w:rsid w:val="3D3370F2"/>
    <w:rsid w:val="3D346110"/>
    <w:rsid w:val="3D3608A2"/>
    <w:rsid w:val="3D36161A"/>
    <w:rsid w:val="3D363C36"/>
    <w:rsid w:val="3D371FCA"/>
    <w:rsid w:val="3D375BF2"/>
    <w:rsid w:val="3D3A29BA"/>
    <w:rsid w:val="3D3B2FFA"/>
    <w:rsid w:val="3D3C09A7"/>
    <w:rsid w:val="3D3D6D72"/>
    <w:rsid w:val="3D3E13E8"/>
    <w:rsid w:val="3D404AB5"/>
    <w:rsid w:val="3D404D15"/>
    <w:rsid w:val="3D4313C4"/>
    <w:rsid w:val="3D4715E3"/>
    <w:rsid w:val="3D47382B"/>
    <w:rsid w:val="3D483969"/>
    <w:rsid w:val="3D4B0C2A"/>
    <w:rsid w:val="3D4B2F34"/>
    <w:rsid w:val="3D4B60B1"/>
    <w:rsid w:val="3D507D15"/>
    <w:rsid w:val="3D510A75"/>
    <w:rsid w:val="3D540560"/>
    <w:rsid w:val="3D566086"/>
    <w:rsid w:val="3D583BAC"/>
    <w:rsid w:val="3D59292C"/>
    <w:rsid w:val="3D5961F5"/>
    <w:rsid w:val="3D5F3681"/>
    <w:rsid w:val="3D5F6493"/>
    <w:rsid w:val="3D600CB3"/>
    <w:rsid w:val="3D613D21"/>
    <w:rsid w:val="3D622C7D"/>
    <w:rsid w:val="3D633920"/>
    <w:rsid w:val="3D645801"/>
    <w:rsid w:val="3D66072E"/>
    <w:rsid w:val="3D6814C2"/>
    <w:rsid w:val="3D686B37"/>
    <w:rsid w:val="3D69400B"/>
    <w:rsid w:val="3D6C5506"/>
    <w:rsid w:val="3D6C58AA"/>
    <w:rsid w:val="3D6C7658"/>
    <w:rsid w:val="3D6F23F9"/>
    <w:rsid w:val="3D712D52"/>
    <w:rsid w:val="3D7529B0"/>
    <w:rsid w:val="3D762284"/>
    <w:rsid w:val="3D766728"/>
    <w:rsid w:val="3D787A9E"/>
    <w:rsid w:val="3D793B23"/>
    <w:rsid w:val="3D7B6A1C"/>
    <w:rsid w:val="3D7B789B"/>
    <w:rsid w:val="3D7C3999"/>
    <w:rsid w:val="3D7F282B"/>
    <w:rsid w:val="3D814C4F"/>
    <w:rsid w:val="3D816E2B"/>
    <w:rsid w:val="3D8175A7"/>
    <w:rsid w:val="3D880A09"/>
    <w:rsid w:val="3D89645B"/>
    <w:rsid w:val="3D8A3F82"/>
    <w:rsid w:val="3D8C6DAA"/>
    <w:rsid w:val="3D8D4ED4"/>
    <w:rsid w:val="3D927C04"/>
    <w:rsid w:val="3D932E36"/>
    <w:rsid w:val="3D93315C"/>
    <w:rsid w:val="3D9370BA"/>
    <w:rsid w:val="3D956BAE"/>
    <w:rsid w:val="3D9A2417"/>
    <w:rsid w:val="3D9D6CD4"/>
    <w:rsid w:val="3DA45043"/>
    <w:rsid w:val="3DA52B6A"/>
    <w:rsid w:val="3DA65127"/>
    <w:rsid w:val="3DA6590D"/>
    <w:rsid w:val="3DA711EE"/>
    <w:rsid w:val="3DA7291A"/>
    <w:rsid w:val="3DA96D91"/>
    <w:rsid w:val="3DAB2662"/>
    <w:rsid w:val="3DAB6873"/>
    <w:rsid w:val="3DAC5CA6"/>
    <w:rsid w:val="3DB02AE0"/>
    <w:rsid w:val="3DB361D9"/>
    <w:rsid w:val="3DB42E22"/>
    <w:rsid w:val="3DB619A5"/>
    <w:rsid w:val="3DB8289D"/>
    <w:rsid w:val="3DBD7EB3"/>
    <w:rsid w:val="3DBE7452"/>
    <w:rsid w:val="3DBF59D9"/>
    <w:rsid w:val="3DC25471"/>
    <w:rsid w:val="3DC254CA"/>
    <w:rsid w:val="3DC67F88"/>
    <w:rsid w:val="3DC7543B"/>
    <w:rsid w:val="3DC83193"/>
    <w:rsid w:val="3DC94AAA"/>
    <w:rsid w:val="3DC97D1D"/>
    <w:rsid w:val="3DCA1494"/>
    <w:rsid w:val="3DCA29D2"/>
    <w:rsid w:val="3DD220F2"/>
    <w:rsid w:val="3DD27E02"/>
    <w:rsid w:val="3DD34DBB"/>
    <w:rsid w:val="3DD60F75"/>
    <w:rsid w:val="3DD643A6"/>
    <w:rsid w:val="3DDB0D64"/>
    <w:rsid w:val="3DDC47DD"/>
    <w:rsid w:val="3DDD79FE"/>
    <w:rsid w:val="3DDF42CD"/>
    <w:rsid w:val="3DE2791A"/>
    <w:rsid w:val="3DE34CE3"/>
    <w:rsid w:val="3DE6740A"/>
    <w:rsid w:val="3DE90CA8"/>
    <w:rsid w:val="3DEC2546"/>
    <w:rsid w:val="3DEC71CF"/>
    <w:rsid w:val="3DED5940"/>
    <w:rsid w:val="3DEE4511"/>
    <w:rsid w:val="3DEE7DD7"/>
    <w:rsid w:val="3DEF5A53"/>
    <w:rsid w:val="3DF17B5D"/>
    <w:rsid w:val="3DF25CAC"/>
    <w:rsid w:val="3DF37D79"/>
    <w:rsid w:val="3DF410A1"/>
    <w:rsid w:val="3DF71617"/>
    <w:rsid w:val="3DF75F0F"/>
    <w:rsid w:val="3DFA11CB"/>
    <w:rsid w:val="3DFA3744"/>
    <w:rsid w:val="3DFD6502"/>
    <w:rsid w:val="3E002082"/>
    <w:rsid w:val="3E022B23"/>
    <w:rsid w:val="3E02585D"/>
    <w:rsid w:val="3E037592"/>
    <w:rsid w:val="3E063608"/>
    <w:rsid w:val="3E0755D2"/>
    <w:rsid w:val="3E083824"/>
    <w:rsid w:val="3E0A15F3"/>
    <w:rsid w:val="3E0A6226"/>
    <w:rsid w:val="3E0B0C1F"/>
    <w:rsid w:val="3E0C31DA"/>
    <w:rsid w:val="3E0C3CE3"/>
    <w:rsid w:val="3E111FAD"/>
    <w:rsid w:val="3E12166E"/>
    <w:rsid w:val="3E126451"/>
    <w:rsid w:val="3E135D25"/>
    <w:rsid w:val="3E1666BD"/>
    <w:rsid w:val="3E18158D"/>
    <w:rsid w:val="3E18333B"/>
    <w:rsid w:val="3E1878C6"/>
    <w:rsid w:val="3E1A70B4"/>
    <w:rsid w:val="3E1D14A6"/>
    <w:rsid w:val="3E207235"/>
    <w:rsid w:val="3E2241BA"/>
    <w:rsid w:val="3E246184"/>
    <w:rsid w:val="3E257731"/>
    <w:rsid w:val="3E26733D"/>
    <w:rsid w:val="3E2711EB"/>
    <w:rsid w:val="3E285C74"/>
    <w:rsid w:val="3E2E2C17"/>
    <w:rsid w:val="3E2F6F09"/>
    <w:rsid w:val="3E300685"/>
    <w:rsid w:val="3E3413B9"/>
    <w:rsid w:val="3E350FBB"/>
    <w:rsid w:val="3E353EED"/>
    <w:rsid w:val="3E375EB7"/>
    <w:rsid w:val="3E3816FC"/>
    <w:rsid w:val="3E3A1504"/>
    <w:rsid w:val="3E3A7756"/>
    <w:rsid w:val="3E3A797F"/>
    <w:rsid w:val="3E3D50F1"/>
    <w:rsid w:val="3E42222A"/>
    <w:rsid w:val="3E42660A"/>
    <w:rsid w:val="3E45497D"/>
    <w:rsid w:val="3E48127B"/>
    <w:rsid w:val="3E4A0DB2"/>
    <w:rsid w:val="3E4F479A"/>
    <w:rsid w:val="3E500D27"/>
    <w:rsid w:val="3E546A69"/>
    <w:rsid w:val="3E56332E"/>
    <w:rsid w:val="3E5768E1"/>
    <w:rsid w:val="3E58138D"/>
    <w:rsid w:val="3E585AE1"/>
    <w:rsid w:val="3E587BB8"/>
    <w:rsid w:val="3E5C5D50"/>
    <w:rsid w:val="3E636CAD"/>
    <w:rsid w:val="3E66081E"/>
    <w:rsid w:val="3E6624BD"/>
    <w:rsid w:val="3E68246B"/>
    <w:rsid w:val="3E687442"/>
    <w:rsid w:val="3E6A66F5"/>
    <w:rsid w:val="3E6C5ED5"/>
    <w:rsid w:val="3E6D18D9"/>
    <w:rsid w:val="3E6E6D1C"/>
    <w:rsid w:val="3E703177"/>
    <w:rsid w:val="3E714DEB"/>
    <w:rsid w:val="3E720982"/>
    <w:rsid w:val="3E734EAD"/>
    <w:rsid w:val="3E7358B0"/>
    <w:rsid w:val="3E75253C"/>
    <w:rsid w:val="3E781495"/>
    <w:rsid w:val="3E781559"/>
    <w:rsid w:val="3E78202C"/>
    <w:rsid w:val="3E79027E"/>
    <w:rsid w:val="3E792CEF"/>
    <w:rsid w:val="3E797ACA"/>
    <w:rsid w:val="3E7A6B9F"/>
    <w:rsid w:val="3E7B7E66"/>
    <w:rsid w:val="3E7E19EA"/>
    <w:rsid w:val="3E7E7642"/>
    <w:rsid w:val="3E7F33BB"/>
    <w:rsid w:val="3E7F6304"/>
    <w:rsid w:val="3E815385"/>
    <w:rsid w:val="3E817133"/>
    <w:rsid w:val="3E846C23"/>
    <w:rsid w:val="3E86299B"/>
    <w:rsid w:val="3E890D8A"/>
    <w:rsid w:val="3E894239"/>
    <w:rsid w:val="3E8955C5"/>
    <w:rsid w:val="3E8A248B"/>
    <w:rsid w:val="3E8A3535"/>
    <w:rsid w:val="3E8B1D5F"/>
    <w:rsid w:val="3E8B6203"/>
    <w:rsid w:val="3E8E6C98"/>
    <w:rsid w:val="3E8F7AA2"/>
    <w:rsid w:val="3E8F7D65"/>
    <w:rsid w:val="3E9502A0"/>
    <w:rsid w:val="3E961130"/>
    <w:rsid w:val="3E965EAF"/>
    <w:rsid w:val="3E973EB1"/>
    <w:rsid w:val="3E974BA8"/>
    <w:rsid w:val="3E99004D"/>
    <w:rsid w:val="3E99646B"/>
    <w:rsid w:val="3E996FED"/>
    <w:rsid w:val="3E9E5F37"/>
    <w:rsid w:val="3E9F4DC2"/>
    <w:rsid w:val="3E9F580B"/>
    <w:rsid w:val="3EA0113F"/>
    <w:rsid w:val="3EA13331"/>
    <w:rsid w:val="3EA34EEA"/>
    <w:rsid w:val="3EA648D0"/>
    <w:rsid w:val="3EA65B86"/>
    <w:rsid w:val="3EA80B63"/>
    <w:rsid w:val="3EA84AA2"/>
    <w:rsid w:val="3EA90E68"/>
    <w:rsid w:val="3EAB0654"/>
    <w:rsid w:val="3EAC2B6C"/>
    <w:rsid w:val="3EAD455B"/>
    <w:rsid w:val="3EAD5B30"/>
    <w:rsid w:val="3EAD7A0F"/>
    <w:rsid w:val="3EAE5084"/>
    <w:rsid w:val="3EAE5C76"/>
    <w:rsid w:val="3EAF00B0"/>
    <w:rsid w:val="3EAF31F2"/>
    <w:rsid w:val="3EB0426F"/>
    <w:rsid w:val="3EB04344"/>
    <w:rsid w:val="3EB2553E"/>
    <w:rsid w:val="3EB66B30"/>
    <w:rsid w:val="3EB72B54"/>
    <w:rsid w:val="3EB92D70"/>
    <w:rsid w:val="3EBA2645"/>
    <w:rsid w:val="3EBA2880"/>
    <w:rsid w:val="3EBB0897"/>
    <w:rsid w:val="3EBE0387"/>
    <w:rsid w:val="3EBE3EE3"/>
    <w:rsid w:val="3EBF1A09"/>
    <w:rsid w:val="3EBF7C5B"/>
    <w:rsid w:val="3EC05EAD"/>
    <w:rsid w:val="3EC11F69"/>
    <w:rsid w:val="3EC314F9"/>
    <w:rsid w:val="3EC55271"/>
    <w:rsid w:val="3EC62D97"/>
    <w:rsid w:val="3EC65A4A"/>
    <w:rsid w:val="3EC73F78"/>
    <w:rsid w:val="3EC96B1D"/>
    <w:rsid w:val="3ECA1B1E"/>
    <w:rsid w:val="3ECA2E72"/>
    <w:rsid w:val="3ECB6600"/>
    <w:rsid w:val="3ECC2AA4"/>
    <w:rsid w:val="3ECF03C7"/>
    <w:rsid w:val="3ECF4549"/>
    <w:rsid w:val="3ED2798E"/>
    <w:rsid w:val="3ED454B4"/>
    <w:rsid w:val="3ED731F7"/>
    <w:rsid w:val="3ED96F6F"/>
    <w:rsid w:val="3EDA0523"/>
    <w:rsid w:val="3EDA6843"/>
    <w:rsid w:val="3EDC39D6"/>
    <w:rsid w:val="3EDC7FFF"/>
    <w:rsid w:val="3EDD21F3"/>
    <w:rsid w:val="3EE14075"/>
    <w:rsid w:val="3EE2124B"/>
    <w:rsid w:val="3EE4626A"/>
    <w:rsid w:val="3EE53B65"/>
    <w:rsid w:val="3EE55913"/>
    <w:rsid w:val="3EE55977"/>
    <w:rsid w:val="3EE576C2"/>
    <w:rsid w:val="3EE961EF"/>
    <w:rsid w:val="3EEA2F2A"/>
    <w:rsid w:val="3EEB0A50"/>
    <w:rsid w:val="3EED47C8"/>
    <w:rsid w:val="3EEE389B"/>
    <w:rsid w:val="3EF142B8"/>
    <w:rsid w:val="3EF545D4"/>
    <w:rsid w:val="3EF73899"/>
    <w:rsid w:val="3EF868E3"/>
    <w:rsid w:val="3EF94085"/>
    <w:rsid w:val="3EFC2C5D"/>
    <w:rsid w:val="3EFC74B0"/>
    <w:rsid w:val="3EFF39C6"/>
    <w:rsid w:val="3F0044FB"/>
    <w:rsid w:val="3F015396"/>
    <w:rsid w:val="3F035E4B"/>
    <w:rsid w:val="3F051B12"/>
    <w:rsid w:val="3F073ADC"/>
    <w:rsid w:val="3F09182E"/>
    <w:rsid w:val="3F0F0BE2"/>
    <w:rsid w:val="3F112F6C"/>
    <w:rsid w:val="3F1208E3"/>
    <w:rsid w:val="3F122481"/>
    <w:rsid w:val="3F14062D"/>
    <w:rsid w:val="3F142569"/>
    <w:rsid w:val="3F14291D"/>
    <w:rsid w:val="3F147FA7"/>
    <w:rsid w:val="3F1539A0"/>
    <w:rsid w:val="3F156ABE"/>
    <w:rsid w:val="3F172AE0"/>
    <w:rsid w:val="3F175ECD"/>
    <w:rsid w:val="3F192DCC"/>
    <w:rsid w:val="3F1955BD"/>
    <w:rsid w:val="3F1B4D81"/>
    <w:rsid w:val="3F1B6D01"/>
    <w:rsid w:val="3F1D4438"/>
    <w:rsid w:val="3F1E0E25"/>
    <w:rsid w:val="3F1E6AC5"/>
    <w:rsid w:val="3F1E6EAC"/>
    <w:rsid w:val="3F1F197C"/>
    <w:rsid w:val="3F1F33CF"/>
    <w:rsid w:val="3F20694C"/>
    <w:rsid w:val="3F216F89"/>
    <w:rsid w:val="3F222850"/>
    <w:rsid w:val="3F225086"/>
    <w:rsid w:val="3F25407F"/>
    <w:rsid w:val="3F277CDA"/>
    <w:rsid w:val="3F285800"/>
    <w:rsid w:val="3F286E52"/>
    <w:rsid w:val="3F2A70AB"/>
    <w:rsid w:val="3F2C52F0"/>
    <w:rsid w:val="3F2F29B8"/>
    <w:rsid w:val="3F3641F6"/>
    <w:rsid w:val="3F365185"/>
    <w:rsid w:val="3F390270"/>
    <w:rsid w:val="3F3917BB"/>
    <w:rsid w:val="3F397A0D"/>
    <w:rsid w:val="3F3A62A8"/>
    <w:rsid w:val="3F3B5533"/>
    <w:rsid w:val="3F400D9C"/>
    <w:rsid w:val="3F425C0C"/>
    <w:rsid w:val="3F4330FB"/>
    <w:rsid w:val="3F4979BE"/>
    <w:rsid w:val="3F4A1C1A"/>
    <w:rsid w:val="3F4A593F"/>
    <w:rsid w:val="3F4C314B"/>
    <w:rsid w:val="3F4C4101"/>
    <w:rsid w:val="3F4D4504"/>
    <w:rsid w:val="3F504B23"/>
    <w:rsid w:val="3F577E93"/>
    <w:rsid w:val="3F5900B0"/>
    <w:rsid w:val="3F5A4804"/>
    <w:rsid w:val="3F5B3E28"/>
    <w:rsid w:val="3F5F4339"/>
    <w:rsid w:val="3F626516"/>
    <w:rsid w:val="3F63555C"/>
    <w:rsid w:val="3F653925"/>
    <w:rsid w:val="3F655E6E"/>
    <w:rsid w:val="3F6800A1"/>
    <w:rsid w:val="3F690F28"/>
    <w:rsid w:val="3F6970B0"/>
    <w:rsid w:val="3F6A7BC7"/>
    <w:rsid w:val="3F6B68D0"/>
    <w:rsid w:val="3F6B6998"/>
    <w:rsid w:val="3F6D5D27"/>
    <w:rsid w:val="3F6F342F"/>
    <w:rsid w:val="3F6F71E7"/>
    <w:rsid w:val="3F7171A7"/>
    <w:rsid w:val="3F744BC2"/>
    <w:rsid w:val="3F754EDC"/>
    <w:rsid w:val="3F757BAD"/>
    <w:rsid w:val="3F79189D"/>
    <w:rsid w:val="3F797E8F"/>
    <w:rsid w:val="3F7D5B4C"/>
    <w:rsid w:val="3F7E19F3"/>
    <w:rsid w:val="3F8213B4"/>
    <w:rsid w:val="3F8356B0"/>
    <w:rsid w:val="3F896AA1"/>
    <w:rsid w:val="3F8A2017"/>
    <w:rsid w:val="3F8C158B"/>
    <w:rsid w:val="3F8D2251"/>
    <w:rsid w:val="3F8E7D59"/>
    <w:rsid w:val="3F8F729A"/>
    <w:rsid w:val="3F8F7490"/>
    <w:rsid w:val="3F905625"/>
    <w:rsid w:val="3F9066A3"/>
    <w:rsid w:val="3F927A83"/>
    <w:rsid w:val="3F93536F"/>
    <w:rsid w:val="3F93711E"/>
    <w:rsid w:val="3F993113"/>
    <w:rsid w:val="3F9A6B43"/>
    <w:rsid w:val="3F9B2476"/>
    <w:rsid w:val="3F9E1855"/>
    <w:rsid w:val="3F9F7403"/>
    <w:rsid w:val="3FA05CDE"/>
    <w:rsid w:val="3FA25176"/>
    <w:rsid w:val="3FA47A47"/>
    <w:rsid w:val="3FA70E1B"/>
    <w:rsid w:val="3FA7313D"/>
    <w:rsid w:val="3FA806EF"/>
    <w:rsid w:val="3FA90056"/>
    <w:rsid w:val="3FAA26B9"/>
    <w:rsid w:val="3FAA2BC3"/>
    <w:rsid w:val="3FAE03FB"/>
    <w:rsid w:val="3FAE3F57"/>
    <w:rsid w:val="3FB05F21"/>
    <w:rsid w:val="3FB157F6"/>
    <w:rsid w:val="3FB452E6"/>
    <w:rsid w:val="3FB672B0"/>
    <w:rsid w:val="3FB83028"/>
    <w:rsid w:val="3FB84DD6"/>
    <w:rsid w:val="3FB928FC"/>
    <w:rsid w:val="3FB955DB"/>
    <w:rsid w:val="3FB95832"/>
    <w:rsid w:val="3FB9703B"/>
    <w:rsid w:val="3FBA5158"/>
    <w:rsid w:val="3FBA6341"/>
    <w:rsid w:val="3FBA6D25"/>
    <w:rsid w:val="3FBA6DA0"/>
    <w:rsid w:val="3FBD419A"/>
    <w:rsid w:val="3FBF7490"/>
    <w:rsid w:val="3FC01B77"/>
    <w:rsid w:val="3FC04E49"/>
    <w:rsid w:val="3FC1012F"/>
    <w:rsid w:val="3FC26FB4"/>
    <w:rsid w:val="3FC47958"/>
    <w:rsid w:val="3FC80D3C"/>
    <w:rsid w:val="3FC86086"/>
    <w:rsid w:val="3FC92B3F"/>
    <w:rsid w:val="3FC96FE3"/>
    <w:rsid w:val="3FCB573D"/>
    <w:rsid w:val="3FCE0D59"/>
    <w:rsid w:val="3FCE7201"/>
    <w:rsid w:val="3FCF4794"/>
    <w:rsid w:val="3FD373E5"/>
    <w:rsid w:val="3FD414E4"/>
    <w:rsid w:val="3FD55988"/>
    <w:rsid w:val="3FD90814"/>
    <w:rsid w:val="3FD95AED"/>
    <w:rsid w:val="3FDB6D16"/>
    <w:rsid w:val="3FDF05B5"/>
    <w:rsid w:val="3FDF32D6"/>
    <w:rsid w:val="3FE15B2E"/>
    <w:rsid w:val="3FE519E8"/>
    <w:rsid w:val="3FE623E8"/>
    <w:rsid w:val="3FE91433"/>
    <w:rsid w:val="3FE931E1"/>
    <w:rsid w:val="3FE94709"/>
    <w:rsid w:val="3FEA0D08"/>
    <w:rsid w:val="3FEA146D"/>
    <w:rsid w:val="3FEB51AC"/>
    <w:rsid w:val="3FEB5E3A"/>
    <w:rsid w:val="3FEC291B"/>
    <w:rsid w:val="3FEC4A80"/>
    <w:rsid w:val="3FEE6A4A"/>
    <w:rsid w:val="3FEF631E"/>
    <w:rsid w:val="3FF102E8"/>
    <w:rsid w:val="3FF23058"/>
    <w:rsid w:val="3FF25C02"/>
    <w:rsid w:val="3FF322B2"/>
    <w:rsid w:val="3FF37BBC"/>
    <w:rsid w:val="3FF70C5D"/>
    <w:rsid w:val="3FFB35D2"/>
    <w:rsid w:val="400022D9"/>
    <w:rsid w:val="400224F5"/>
    <w:rsid w:val="40026051"/>
    <w:rsid w:val="40034C4C"/>
    <w:rsid w:val="40037097"/>
    <w:rsid w:val="4004001B"/>
    <w:rsid w:val="40047D11"/>
    <w:rsid w:val="400953F9"/>
    <w:rsid w:val="400B75FC"/>
    <w:rsid w:val="400D3374"/>
    <w:rsid w:val="400F420F"/>
    <w:rsid w:val="40104C12"/>
    <w:rsid w:val="401069C0"/>
    <w:rsid w:val="4012224B"/>
    <w:rsid w:val="40127F50"/>
    <w:rsid w:val="401364B0"/>
    <w:rsid w:val="40140A3F"/>
    <w:rsid w:val="40147FD7"/>
    <w:rsid w:val="40175FA1"/>
    <w:rsid w:val="40180602"/>
    <w:rsid w:val="401B7113"/>
    <w:rsid w:val="401C35B7"/>
    <w:rsid w:val="401F798A"/>
    <w:rsid w:val="40210BCD"/>
    <w:rsid w:val="402204A1"/>
    <w:rsid w:val="40236D1D"/>
    <w:rsid w:val="40251D40"/>
    <w:rsid w:val="40253D4F"/>
    <w:rsid w:val="40275AB8"/>
    <w:rsid w:val="402C642A"/>
    <w:rsid w:val="402E32EA"/>
    <w:rsid w:val="402F109E"/>
    <w:rsid w:val="4030282F"/>
    <w:rsid w:val="40324481"/>
    <w:rsid w:val="40354679"/>
    <w:rsid w:val="40356427"/>
    <w:rsid w:val="403703F1"/>
    <w:rsid w:val="40390864"/>
    <w:rsid w:val="403A1C8F"/>
    <w:rsid w:val="403B0109"/>
    <w:rsid w:val="403B1563"/>
    <w:rsid w:val="403F2E01"/>
    <w:rsid w:val="40420B44"/>
    <w:rsid w:val="40424B3E"/>
    <w:rsid w:val="40461A33"/>
    <w:rsid w:val="404623E2"/>
    <w:rsid w:val="404B5726"/>
    <w:rsid w:val="404B7625"/>
    <w:rsid w:val="404D19C2"/>
    <w:rsid w:val="404E08C7"/>
    <w:rsid w:val="404E5DB2"/>
    <w:rsid w:val="404E74E8"/>
    <w:rsid w:val="404F3240"/>
    <w:rsid w:val="40531551"/>
    <w:rsid w:val="40533106"/>
    <w:rsid w:val="40541C2A"/>
    <w:rsid w:val="405576EE"/>
    <w:rsid w:val="40567F90"/>
    <w:rsid w:val="40572841"/>
    <w:rsid w:val="405745EF"/>
    <w:rsid w:val="405805AB"/>
    <w:rsid w:val="40582115"/>
    <w:rsid w:val="405B7A40"/>
    <w:rsid w:val="405E3BCF"/>
    <w:rsid w:val="40610FCA"/>
    <w:rsid w:val="4061546E"/>
    <w:rsid w:val="40632F94"/>
    <w:rsid w:val="40642868"/>
    <w:rsid w:val="406867FC"/>
    <w:rsid w:val="406929C0"/>
    <w:rsid w:val="406B009A"/>
    <w:rsid w:val="406B1E48"/>
    <w:rsid w:val="406C796F"/>
    <w:rsid w:val="406D5BC1"/>
    <w:rsid w:val="406E36E7"/>
    <w:rsid w:val="406E671A"/>
    <w:rsid w:val="40703903"/>
    <w:rsid w:val="40721429"/>
    <w:rsid w:val="40724CBC"/>
    <w:rsid w:val="40726EA1"/>
    <w:rsid w:val="40733DF9"/>
    <w:rsid w:val="407371D3"/>
    <w:rsid w:val="40747699"/>
    <w:rsid w:val="40750F19"/>
    <w:rsid w:val="407707ED"/>
    <w:rsid w:val="40774C91"/>
    <w:rsid w:val="407A02DD"/>
    <w:rsid w:val="407A6407"/>
    <w:rsid w:val="407C12F4"/>
    <w:rsid w:val="4080740B"/>
    <w:rsid w:val="40817506"/>
    <w:rsid w:val="408178BE"/>
    <w:rsid w:val="40856FC5"/>
    <w:rsid w:val="408A25FC"/>
    <w:rsid w:val="40904ADC"/>
    <w:rsid w:val="40923879"/>
    <w:rsid w:val="40925627"/>
    <w:rsid w:val="409273D5"/>
    <w:rsid w:val="4093139F"/>
    <w:rsid w:val="40936B23"/>
    <w:rsid w:val="40953369"/>
    <w:rsid w:val="40953E25"/>
    <w:rsid w:val="409929F8"/>
    <w:rsid w:val="409962F0"/>
    <w:rsid w:val="409969B6"/>
    <w:rsid w:val="409A272E"/>
    <w:rsid w:val="409A44DC"/>
    <w:rsid w:val="409C46F8"/>
    <w:rsid w:val="409F1AF2"/>
    <w:rsid w:val="409F4959"/>
    <w:rsid w:val="40A227E5"/>
    <w:rsid w:val="40A435AC"/>
    <w:rsid w:val="40A44348"/>
    <w:rsid w:val="40A44B1E"/>
    <w:rsid w:val="40A61C9A"/>
    <w:rsid w:val="40A857C3"/>
    <w:rsid w:val="40A92971"/>
    <w:rsid w:val="40B03CFF"/>
    <w:rsid w:val="40B14DDB"/>
    <w:rsid w:val="40B336F9"/>
    <w:rsid w:val="40B7508E"/>
    <w:rsid w:val="40B82BB4"/>
    <w:rsid w:val="40B97058"/>
    <w:rsid w:val="40BA4B7E"/>
    <w:rsid w:val="40BC4452"/>
    <w:rsid w:val="40BC6B48"/>
    <w:rsid w:val="40BE01CA"/>
    <w:rsid w:val="40BE3F7C"/>
    <w:rsid w:val="40BE7DDC"/>
    <w:rsid w:val="40BF3F42"/>
    <w:rsid w:val="40C2495B"/>
    <w:rsid w:val="40C41559"/>
    <w:rsid w:val="40C477AB"/>
    <w:rsid w:val="40C8118A"/>
    <w:rsid w:val="40C9317E"/>
    <w:rsid w:val="40D33D9B"/>
    <w:rsid w:val="40D356B8"/>
    <w:rsid w:val="40D4197F"/>
    <w:rsid w:val="40D519B8"/>
    <w:rsid w:val="40D55514"/>
    <w:rsid w:val="40D6429F"/>
    <w:rsid w:val="40D93256"/>
    <w:rsid w:val="40D95004"/>
    <w:rsid w:val="40DA5214"/>
    <w:rsid w:val="40DB5AB7"/>
    <w:rsid w:val="40DC42C4"/>
    <w:rsid w:val="40DE086C"/>
    <w:rsid w:val="40E03525"/>
    <w:rsid w:val="40E06760"/>
    <w:rsid w:val="40E57E4D"/>
    <w:rsid w:val="40E65973"/>
    <w:rsid w:val="40EA5463"/>
    <w:rsid w:val="40EB11DB"/>
    <w:rsid w:val="40EB2F89"/>
    <w:rsid w:val="40EB7C06"/>
    <w:rsid w:val="40EC3394"/>
    <w:rsid w:val="40EC3634"/>
    <w:rsid w:val="40ED4F53"/>
    <w:rsid w:val="40ED544E"/>
    <w:rsid w:val="40EE0B7B"/>
    <w:rsid w:val="40EE0EEF"/>
    <w:rsid w:val="40F2714A"/>
    <w:rsid w:val="40F462E2"/>
    <w:rsid w:val="40F630DE"/>
    <w:rsid w:val="40F81381"/>
    <w:rsid w:val="40F938F8"/>
    <w:rsid w:val="40FA5AE6"/>
    <w:rsid w:val="40FB2898"/>
    <w:rsid w:val="40FD3720"/>
    <w:rsid w:val="40FE4A6B"/>
    <w:rsid w:val="40FF607C"/>
    <w:rsid w:val="4100407A"/>
    <w:rsid w:val="41006A35"/>
    <w:rsid w:val="4100750C"/>
    <w:rsid w:val="410130EC"/>
    <w:rsid w:val="410459F9"/>
    <w:rsid w:val="410507AD"/>
    <w:rsid w:val="41061B71"/>
    <w:rsid w:val="410A5980"/>
    <w:rsid w:val="410B6321"/>
    <w:rsid w:val="410C362B"/>
    <w:rsid w:val="410D2F00"/>
    <w:rsid w:val="41126768"/>
    <w:rsid w:val="41127D08"/>
    <w:rsid w:val="411571E4"/>
    <w:rsid w:val="411B386E"/>
    <w:rsid w:val="411D11EF"/>
    <w:rsid w:val="41222DD8"/>
    <w:rsid w:val="412321E8"/>
    <w:rsid w:val="41233D36"/>
    <w:rsid w:val="4125649B"/>
    <w:rsid w:val="41257AB9"/>
    <w:rsid w:val="41282335"/>
    <w:rsid w:val="41287D39"/>
    <w:rsid w:val="412A5860"/>
    <w:rsid w:val="4131397A"/>
    <w:rsid w:val="41320BB8"/>
    <w:rsid w:val="41367C64"/>
    <w:rsid w:val="41384420"/>
    <w:rsid w:val="41393CF5"/>
    <w:rsid w:val="413C5593"/>
    <w:rsid w:val="413E0983"/>
    <w:rsid w:val="413E130B"/>
    <w:rsid w:val="4141359D"/>
    <w:rsid w:val="414231F5"/>
    <w:rsid w:val="41423781"/>
    <w:rsid w:val="41432DC5"/>
    <w:rsid w:val="414333AC"/>
    <w:rsid w:val="41436921"/>
    <w:rsid w:val="414470C2"/>
    <w:rsid w:val="414508EB"/>
    <w:rsid w:val="4148218A"/>
    <w:rsid w:val="414A4154"/>
    <w:rsid w:val="414D59F2"/>
    <w:rsid w:val="41505F94"/>
    <w:rsid w:val="415154E2"/>
    <w:rsid w:val="415360E4"/>
    <w:rsid w:val="41550554"/>
    <w:rsid w:val="415626EE"/>
    <w:rsid w:val="415648A7"/>
    <w:rsid w:val="41566655"/>
    <w:rsid w:val="415A4FF7"/>
    <w:rsid w:val="415E7FC1"/>
    <w:rsid w:val="416045F4"/>
    <w:rsid w:val="41613255"/>
    <w:rsid w:val="41631A5A"/>
    <w:rsid w:val="41636FC4"/>
    <w:rsid w:val="41650F8E"/>
    <w:rsid w:val="41654AEA"/>
    <w:rsid w:val="41660B31"/>
    <w:rsid w:val="4166318C"/>
    <w:rsid w:val="41682EC5"/>
    <w:rsid w:val="41687964"/>
    <w:rsid w:val="41687BCA"/>
    <w:rsid w:val="416A2100"/>
    <w:rsid w:val="416A7C0C"/>
    <w:rsid w:val="416B286A"/>
    <w:rsid w:val="416D1BF0"/>
    <w:rsid w:val="416E7E42"/>
    <w:rsid w:val="4171348E"/>
    <w:rsid w:val="417230D7"/>
    <w:rsid w:val="417307A4"/>
    <w:rsid w:val="41762D0E"/>
    <w:rsid w:val="417E204F"/>
    <w:rsid w:val="417F2D7D"/>
    <w:rsid w:val="41814045"/>
    <w:rsid w:val="41821FC3"/>
    <w:rsid w:val="41850CE8"/>
    <w:rsid w:val="4185291C"/>
    <w:rsid w:val="41876389"/>
    <w:rsid w:val="41884E3E"/>
    <w:rsid w:val="41886A2A"/>
    <w:rsid w:val="418C2076"/>
    <w:rsid w:val="418E2292"/>
    <w:rsid w:val="41906EA5"/>
    <w:rsid w:val="41910C72"/>
    <w:rsid w:val="41911D83"/>
    <w:rsid w:val="41913B31"/>
    <w:rsid w:val="419302A8"/>
    <w:rsid w:val="419360DF"/>
    <w:rsid w:val="41967399"/>
    <w:rsid w:val="41990C37"/>
    <w:rsid w:val="41994793"/>
    <w:rsid w:val="419A264F"/>
    <w:rsid w:val="419A4476"/>
    <w:rsid w:val="419D4283"/>
    <w:rsid w:val="419E1DAA"/>
    <w:rsid w:val="419E624E"/>
    <w:rsid w:val="41A02164"/>
    <w:rsid w:val="41A05B22"/>
    <w:rsid w:val="41A27AEC"/>
    <w:rsid w:val="41A31D74"/>
    <w:rsid w:val="41A41AB6"/>
    <w:rsid w:val="41A73EAE"/>
    <w:rsid w:val="41A74A66"/>
    <w:rsid w:val="41A80367"/>
    <w:rsid w:val="41AA4BF2"/>
    <w:rsid w:val="41AB11B7"/>
    <w:rsid w:val="41AB1483"/>
    <w:rsid w:val="41AC5038"/>
    <w:rsid w:val="41AD214B"/>
    <w:rsid w:val="41B15F81"/>
    <w:rsid w:val="41B32555"/>
    <w:rsid w:val="41B4744A"/>
    <w:rsid w:val="41B65345"/>
    <w:rsid w:val="41B94E35"/>
    <w:rsid w:val="41BB0D3B"/>
    <w:rsid w:val="41BB2AAA"/>
    <w:rsid w:val="41BB2BC0"/>
    <w:rsid w:val="41BB6E00"/>
    <w:rsid w:val="41BD66D4"/>
    <w:rsid w:val="41BE244C"/>
    <w:rsid w:val="41BF6190"/>
    <w:rsid w:val="41C1290F"/>
    <w:rsid w:val="41C537DA"/>
    <w:rsid w:val="41C60834"/>
    <w:rsid w:val="41CD676B"/>
    <w:rsid w:val="41D1217F"/>
    <w:rsid w:val="41D43A1D"/>
    <w:rsid w:val="41D61543"/>
    <w:rsid w:val="41D62248"/>
    <w:rsid w:val="41D63781"/>
    <w:rsid w:val="41D8263C"/>
    <w:rsid w:val="41DA3E6A"/>
    <w:rsid w:val="41DA54D8"/>
    <w:rsid w:val="41DB2FFE"/>
    <w:rsid w:val="41DC01FF"/>
    <w:rsid w:val="41DD4BED"/>
    <w:rsid w:val="41E00614"/>
    <w:rsid w:val="41E2265E"/>
    <w:rsid w:val="41E41EB2"/>
    <w:rsid w:val="41E427F7"/>
    <w:rsid w:val="41E7177E"/>
    <w:rsid w:val="41E8605B"/>
    <w:rsid w:val="41EA3241"/>
    <w:rsid w:val="41EE095B"/>
    <w:rsid w:val="41EE13B5"/>
    <w:rsid w:val="41F06AA9"/>
    <w:rsid w:val="41F4062A"/>
    <w:rsid w:val="41F52311"/>
    <w:rsid w:val="41F60289"/>
    <w:rsid w:val="41F632FD"/>
    <w:rsid w:val="41F801F1"/>
    <w:rsid w:val="41FA16D6"/>
    <w:rsid w:val="41FA3EE9"/>
    <w:rsid w:val="41FB4DDE"/>
    <w:rsid w:val="41FB6C8C"/>
    <w:rsid w:val="41FD3554"/>
    <w:rsid w:val="41FF08E4"/>
    <w:rsid w:val="41FF6CEC"/>
    <w:rsid w:val="41FF7B80"/>
    <w:rsid w:val="4200449D"/>
    <w:rsid w:val="4205007B"/>
    <w:rsid w:val="42065DF1"/>
    <w:rsid w:val="42070318"/>
    <w:rsid w:val="42075BA1"/>
    <w:rsid w:val="42091919"/>
    <w:rsid w:val="420C31B7"/>
    <w:rsid w:val="420C6A14"/>
    <w:rsid w:val="420C765B"/>
    <w:rsid w:val="420E1E49"/>
    <w:rsid w:val="420E539B"/>
    <w:rsid w:val="42112B13"/>
    <w:rsid w:val="42117A56"/>
    <w:rsid w:val="421329F6"/>
    <w:rsid w:val="421405CB"/>
    <w:rsid w:val="42164036"/>
    <w:rsid w:val="42167605"/>
    <w:rsid w:val="42187DAE"/>
    <w:rsid w:val="421976BA"/>
    <w:rsid w:val="421B164C"/>
    <w:rsid w:val="421B789E"/>
    <w:rsid w:val="421D4942"/>
    <w:rsid w:val="421D53C4"/>
    <w:rsid w:val="421F113C"/>
    <w:rsid w:val="421F484F"/>
    <w:rsid w:val="42201886"/>
    <w:rsid w:val="42221E6F"/>
    <w:rsid w:val="4226071D"/>
    <w:rsid w:val="42276243"/>
    <w:rsid w:val="422819FA"/>
    <w:rsid w:val="422B5D33"/>
    <w:rsid w:val="422C0A82"/>
    <w:rsid w:val="422E321D"/>
    <w:rsid w:val="422F1318"/>
    <w:rsid w:val="42313173"/>
    <w:rsid w:val="423170C2"/>
    <w:rsid w:val="42334BE8"/>
    <w:rsid w:val="42354227"/>
    <w:rsid w:val="42360234"/>
    <w:rsid w:val="42366486"/>
    <w:rsid w:val="4238604B"/>
    <w:rsid w:val="42386ACF"/>
    <w:rsid w:val="423A3BCC"/>
    <w:rsid w:val="423A41C8"/>
    <w:rsid w:val="423B1781"/>
    <w:rsid w:val="423B42E9"/>
    <w:rsid w:val="423D5B27"/>
    <w:rsid w:val="423F3C9B"/>
    <w:rsid w:val="42415557"/>
    <w:rsid w:val="4245613D"/>
    <w:rsid w:val="424566C9"/>
    <w:rsid w:val="424768A0"/>
    <w:rsid w:val="424B0183"/>
    <w:rsid w:val="424C1B2D"/>
    <w:rsid w:val="424E57D2"/>
    <w:rsid w:val="424F61D6"/>
    <w:rsid w:val="425328A4"/>
    <w:rsid w:val="42537038"/>
    <w:rsid w:val="42541098"/>
    <w:rsid w:val="4255559C"/>
    <w:rsid w:val="4255585C"/>
    <w:rsid w:val="42575C9F"/>
    <w:rsid w:val="42582CAE"/>
    <w:rsid w:val="42590545"/>
    <w:rsid w:val="425A0BFC"/>
    <w:rsid w:val="425A754D"/>
    <w:rsid w:val="425B286F"/>
    <w:rsid w:val="425C4B5E"/>
    <w:rsid w:val="425E31F6"/>
    <w:rsid w:val="425F59DD"/>
    <w:rsid w:val="426052B1"/>
    <w:rsid w:val="42644DA1"/>
    <w:rsid w:val="42683E52"/>
    <w:rsid w:val="426923B8"/>
    <w:rsid w:val="42697C7A"/>
    <w:rsid w:val="426B0097"/>
    <w:rsid w:val="426C1EA8"/>
    <w:rsid w:val="426D35C9"/>
    <w:rsid w:val="426E3E72"/>
    <w:rsid w:val="426F1F20"/>
    <w:rsid w:val="4271167E"/>
    <w:rsid w:val="427156E3"/>
    <w:rsid w:val="42734FE4"/>
    <w:rsid w:val="42755200"/>
    <w:rsid w:val="42767D74"/>
    <w:rsid w:val="42772D26"/>
    <w:rsid w:val="42784CF1"/>
    <w:rsid w:val="427A45C5"/>
    <w:rsid w:val="427C658F"/>
    <w:rsid w:val="427F1BDB"/>
    <w:rsid w:val="42817701"/>
    <w:rsid w:val="42823479"/>
    <w:rsid w:val="4283436E"/>
    <w:rsid w:val="428555A9"/>
    <w:rsid w:val="42864501"/>
    <w:rsid w:val="4286740D"/>
    <w:rsid w:val="428B0580"/>
    <w:rsid w:val="429034E8"/>
    <w:rsid w:val="42903DE8"/>
    <w:rsid w:val="42911602"/>
    <w:rsid w:val="429220CA"/>
    <w:rsid w:val="42930B0E"/>
    <w:rsid w:val="42935686"/>
    <w:rsid w:val="42935E71"/>
    <w:rsid w:val="42936691"/>
    <w:rsid w:val="42942483"/>
    <w:rsid w:val="429531AD"/>
    <w:rsid w:val="429970A4"/>
    <w:rsid w:val="429A187A"/>
    <w:rsid w:val="429A4C67"/>
    <w:rsid w:val="429C43A0"/>
    <w:rsid w:val="429D02B3"/>
    <w:rsid w:val="429E6AC2"/>
    <w:rsid w:val="429F227D"/>
    <w:rsid w:val="429F402B"/>
    <w:rsid w:val="42A03FC3"/>
    <w:rsid w:val="42A258CA"/>
    <w:rsid w:val="42A47894"/>
    <w:rsid w:val="42A6360C"/>
    <w:rsid w:val="42A71F77"/>
    <w:rsid w:val="42A7790F"/>
    <w:rsid w:val="42AA1A13"/>
    <w:rsid w:val="42AB0CD7"/>
    <w:rsid w:val="42AB4095"/>
    <w:rsid w:val="42AC396F"/>
    <w:rsid w:val="42AE24C0"/>
    <w:rsid w:val="42B05500"/>
    <w:rsid w:val="42B059BD"/>
    <w:rsid w:val="42B06238"/>
    <w:rsid w:val="42B11F4A"/>
    <w:rsid w:val="42B26C49"/>
    <w:rsid w:val="42B36733"/>
    <w:rsid w:val="42B70BE9"/>
    <w:rsid w:val="42B81A6C"/>
    <w:rsid w:val="42B850ED"/>
    <w:rsid w:val="42B9194D"/>
    <w:rsid w:val="42BA0E65"/>
    <w:rsid w:val="42BA4BD3"/>
    <w:rsid w:val="42BD701F"/>
    <w:rsid w:val="42BF2BF6"/>
    <w:rsid w:val="42BF3066"/>
    <w:rsid w:val="42BF46CD"/>
    <w:rsid w:val="42C02F16"/>
    <w:rsid w:val="42C11B70"/>
    <w:rsid w:val="42C13FA2"/>
    <w:rsid w:val="42C156C6"/>
    <w:rsid w:val="42C27D1A"/>
    <w:rsid w:val="42C51E29"/>
    <w:rsid w:val="42C83582"/>
    <w:rsid w:val="42C86713"/>
    <w:rsid w:val="42C90960"/>
    <w:rsid w:val="42C91E8E"/>
    <w:rsid w:val="42CA246C"/>
    <w:rsid w:val="42CA554C"/>
    <w:rsid w:val="42CD2946"/>
    <w:rsid w:val="42CD438E"/>
    <w:rsid w:val="42CD6DEA"/>
    <w:rsid w:val="42D25D3C"/>
    <w:rsid w:val="42D33CD5"/>
    <w:rsid w:val="42D55C9F"/>
    <w:rsid w:val="42D75573"/>
    <w:rsid w:val="42D812EB"/>
    <w:rsid w:val="42D90367"/>
    <w:rsid w:val="42DA1507"/>
    <w:rsid w:val="42DF08CC"/>
    <w:rsid w:val="42DF267A"/>
    <w:rsid w:val="42E12896"/>
    <w:rsid w:val="42E3660E"/>
    <w:rsid w:val="42E63A08"/>
    <w:rsid w:val="42E859D2"/>
    <w:rsid w:val="42EA1516"/>
    <w:rsid w:val="42EA528A"/>
    <w:rsid w:val="42F04887"/>
    <w:rsid w:val="42F06D29"/>
    <w:rsid w:val="42F14EE8"/>
    <w:rsid w:val="42F35C5E"/>
    <w:rsid w:val="42F41CBF"/>
    <w:rsid w:val="42F500EF"/>
    <w:rsid w:val="42F55C86"/>
    <w:rsid w:val="42F702D2"/>
    <w:rsid w:val="42F83220"/>
    <w:rsid w:val="42FB67D6"/>
    <w:rsid w:val="42FC6BE7"/>
    <w:rsid w:val="42FE28D0"/>
    <w:rsid w:val="4301285A"/>
    <w:rsid w:val="43040332"/>
    <w:rsid w:val="430414DA"/>
    <w:rsid w:val="430461C5"/>
    <w:rsid w:val="43083167"/>
    <w:rsid w:val="43097575"/>
    <w:rsid w:val="430C0EA1"/>
    <w:rsid w:val="430E75BB"/>
    <w:rsid w:val="431140F9"/>
    <w:rsid w:val="4315253F"/>
    <w:rsid w:val="4316708E"/>
    <w:rsid w:val="43195B8C"/>
    <w:rsid w:val="431A71FD"/>
    <w:rsid w:val="431C38CE"/>
    <w:rsid w:val="431C58E7"/>
    <w:rsid w:val="431E235B"/>
    <w:rsid w:val="43235D6E"/>
    <w:rsid w:val="4324407A"/>
    <w:rsid w:val="4327064E"/>
    <w:rsid w:val="432A5FEB"/>
    <w:rsid w:val="432B1D63"/>
    <w:rsid w:val="432C2E45"/>
    <w:rsid w:val="432E76C2"/>
    <w:rsid w:val="432F1853"/>
    <w:rsid w:val="43301127"/>
    <w:rsid w:val="433230F1"/>
    <w:rsid w:val="43340C18"/>
    <w:rsid w:val="43344251"/>
    <w:rsid w:val="43351E85"/>
    <w:rsid w:val="43362938"/>
    <w:rsid w:val="4337790D"/>
    <w:rsid w:val="433A6FE6"/>
    <w:rsid w:val="433D509D"/>
    <w:rsid w:val="43407D79"/>
    <w:rsid w:val="43421586"/>
    <w:rsid w:val="434314A4"/>
    <w:rsid w:val="434439AB"/>
    <w:rsid w:val="434515B3"/>
    <w:rsid w:val="43454FB0"/>
    <w:rsid w:val="43473E81"/>
    <w:rsid w:val="43476B9D"/>
    <w:rsid w:val="43480868"/>
    <w:rsid w:val="43497143"/>
    <w:rsid w:val="434A3F97"/>
    <w:rsid w:val="434A49DE"/>
    <w:rsid w:val="434A4F34"/>
    <w:rsid w:val="434B04D6"/>
    <w:rsid w:val="434B5F61"/>
    <w:rsid w:val="434F15AD"/>
    <w:rsid w:val="434F1C16"/>
    <w:rsid w:val="43505326"/>
    <w:rsid w:val="4350713C"/>
    <w:rsid w:val="435117C9"/>
    <w:rsid w:val="43525542"/>
    <w:rsid w:val="435272F0"/>
    <w:rsid w:val="43551020"/>
    <w:rsid w:val="43562321"/>
    <w:rsid w:val="435816D4"/>
    <w:rsid w:val="435859CC"/>
    <w:rsid w:val="435C130E"/>
    <w:rsid w:val="435C1F1C"/>
    <w:rsid w:val="435C3CCA"/>
    <w:rsid w:val="435E2C7F"/>
    <w:rsid w:val="435E50C6"/>
    <w:rsid w:val="435F4534"/>
    <w:rsid w:val="435F570B"/>
    <w:rsid w:val="43601A0D"/>
    <w:rsid w:val="43614135"/>
    <w:rsid w:val="43625D24"/>
    <w:rsid w:val="436653E0"/>
    <w:rsid w:val="43672D9B"/>
    <w:rsid w:val="436B405F"/>
    <w:rsid w:val="436B58AE"/>
    <w:rsid w:val="436C3281"/>
    <w:rsid w:val="436C4574"/>
    <w:rsid w:val="436E4BF3"/>
    <w:rsid w:val="436E7C98"/>
    <w:rsid w:val="436F39FE"/>
    <w:rsid w:val="436F7EA2"/>
    <w:rsid w:val="43721740"/>
    <w:rsid w:val="43732BD4"/>
    <w:rsid w:val="43737557"/>
    <w:rsid w:val="43770B04"/>
    <w:rsid w:val="437969D8"/>
    <w:rsid w:val="437B492A"/>
    <w:rsid w:val="437D3B96"/>
    <w:rsid w:val="438020AF"/>
    <w:rsid w:val="438526DB"/>
    <w:rsid w:val="438576C5"/>
    <w:rsid w:val="438629B9"/>
    <w:rsid w:val="438731E5"/>
    <w:rsid w:val="4387399E"/>
    <w:rsid w:val="43882D11"/>
    <w:rsid w:val="438E18FE"/>
    <w:rsid w:val="438F22F2"/>
    <w:rsid w:val="43931DE2"/>
    <w:rsid w:val="43931EEF"/>
    <w:rsid w:val="43943464"/>
    <w:rsid w:val="43952FF9"/>
    <w:rsid w:val="439535CE"/>
    <w:rsid w:val="43966024"/>
    <w:rsid w:val="439671DC"/>
    <w:rsid w:val="43967588"/>
    <w:rsid w:val="439710CD"/>
    <w:rsid w:val="439711A6"/>
    <w:rsid w:val="4398577C"/>
    <w:rsid w:val="439A6BDE"/>
    <w:rsid w:val="439B0C97"/>
    <w:rsid w:val="439B2A45"/>
    <w:rsid w:val="439D3861"/>
    <w:rsid w:val="43A01E09"/>
    <w:rsid w:val="43A062AD"/>
    <w:rsid w:val="43A35D9D"/>
    <w:rsid w:val="43A37B4B"/>
    <w:rsid w:val="43A402DA"/>
    <w:rsid w:val="43A55671"/>
    <w:rsid w:val="43AC0758"/>
    <w:rsid w:val="43B212B3"/>
    <w:rsid w:val="43B47FC5"/>
    <w:rsid w:val="43B835F7"/>
    <w:rsid w:val="43B9736F"/>
    <w:rsid w:val="43BA373D"/>
    <w:rsid w:val="43BB6C43"/>
    <w:rsid w:val="43BC29BB"/>
    <w:rsid w:val="43BE6733"/>
    <w:rsid w:val="43C148EA"/>
    <w:rsid w:val="43C277BA"/>
    <w:rsid w:val="43C31F9B"/>
    <w:rsid w:val="43C4431A"/>
    <w:rsid w:val="43C47FC7"/>
    <w:rsid w:val="43C95804"/>
    <w:rsid w:val="43CC0E50"/>
    <w:rsid w:val="43CC755C"/>
    <w:rsid w:val="43CD2F9A"/>
    <w:rsid w:val="43CE22A6"/>
    <w:rsid w:val="43D11305"/>
    <w:rsid w:val="43D16D0C"/>
    <w:rsid w:val="43D2530B"/>
    <w:rsid w:val="43D2785E"/>
    <w:rsid w:val="43D30430"/>
    <w:rsid w:val="43D47D05"/>
    <w:rsid w:val="43D72702"/>
    <w:rsid w:val="43D76CE0"/>
    <w:rsid w:val="43D83C99"/>
    <w:rsid w:val="43D85A47"/>
    <w:rsid w:val="43D87AD1"/>
    <w:rsid w:val="43D91F77"/>
    <w:rsid w:val="43DA6BD7"/>
    <w:rsid w:val="43DB20E4"/>
    <w:rsid w:val="43DB5537"/>
    <w:rsid w:val="43DD4E0B"/>
    <w:rsid w:val="43DE2113"/>
    <w:rsid w:val="43DF4C94"/>
    <w:rsid w:val="43E03E1D"/>
    <w:rsid w:val="43E048FB"/>
    <w:rsid w:val="43E13E99"/>
    <w:rsid w:val="43E1679D"/>
    <w:rsid w:val="43E22422"/>
    <w:rsid w:val="43E55965"/>
    <w:rsid w:val="43E63405"/>
    <w:rsid w:val="43E837B0"/>
    <w:rsid w:val="43EC1203"/>
    <w:rsid w:val="43EC14F2"/>
    <w:rsid w:val="43EC32A0"/>
    <w:rsid w:val="43ED0DC6"/>
    <w:rsid w:val="43ED3141"/>
    <w:rsid w:val="43EF0FE2"/>
    <w:rsid w:val="43F51494"/>
    <w:rsid w:val="43F87E97"/>
    <w:rsid w:val="43FA5069"/>
    <w:rsid w:val="43FB3067"/>
    <w:rsid w:val="43FC24A9"/>
    <w:rsid w:val="43FD2DB8"/>
    <w:rsid w:val="44006212"/>
    <w:rsid w:val="44024872"/>
    <w:rsid w:val="4403263E"/>
    <w:rsid w:val="4403771C"/>
    <w:rsid w:val="440510D1"/>
    <w:rsid w:val="44056110"/>
    <w:rsid w:val="44064FD7"/>
    <w:rsid w:val="4407632C"/>
    <w:rsid w:val="440A1978"/>
    <w:rsid w:val="440F4F24"/>
    <w:rsid w:val="441157AA"/>
    <w:rsid w:val="441427F7"/>
    <w:rsid w:val="44153450"/>
    <w:rsid w:val="441B3B85"/>
    <w:rsid w:val="4420119C"/>
    <w:rsid w:val="44203850"/>
    <w:rsid w:val="44216D87"/>
    <w:rsid w:val="44225C33"/>
    <w:rsid w:val="44242F0E"/>
    <w:rsid w:val="44247871"/>
    <w:rsid w:val="4427252A"/>
    <w:rsid w:val="44283C5C"/>
    <w:rsid w:val="442A537D"/>
    <w:rsid w:val="442B201A"/>
    <w:rsid w:val="442C5D93"/>
    <w:rsid w:val="442E1B0B"/>
    <w:rsid w:val="442E5047"/>
    <w:rsid w:val="442F0FC2"/>
    <w:rsid w:val="442F7531"/>
    <w:rsid w:val="44315157"/>
    <w:rsid w:val="44337121"/>
    <w:rsid w:val="443451AE"/>
    <w:rsid w:val="443656CE"/>
    <w:rsid w:val="44366C11"/>
    <w:rsid w:val="44381073"/>
    <w:rsid w:val="44381106"/>
    <w:rsid w:val="443C41B4"/>
    <w:rsid w:val="443C4228"/>
    <w:rsid w:val="443E057B"/>
    <w:rsid w:val="443E095B"/>
    <w:rsid w:val="443F1622"/>
    <w:rsid w:val="44405D05"/>
    <w:rsid w:val="44430C48"/>
    <w:rsid w:val="444430DC"/>
    <w:rsid w:val="44444E8A"/>
    <w:rsid w:val="44461755"/>
    <w:rsid w:val="4447497A"/>
    <w:rsid w:val="44494F14"/>
    <w:rsid w:val="444A1E6A"/>
    <w:rsid w:val="444A6219"/>
    <w:rsid w:val="444D3659"/>
    <w:rsid w:val="444E4F44"/>
    <w:rsid w:val="445105E7"/>
    <w:rsid w:val="44511355"/>
    <w:rsid w:val="445157F9"/>
    <w:rsid w:val="44534DBA"/>
    <w:rsid w:val="445552E9"/>
    <w:rsid w:val="44555970"/>
    <w:rsid w:val="44577515"/>
    <w:rsid w:val="44583407"/>
    <w:rsid w:val="445A46AE"/>
    <w:rsid w:val="445D5F4C"/>
    <w:rsid w:val="445F1CC4"/>
    <w:rsid w:val="446329E9"/>
    <w:rsid w:val="446505FA"/>
    <w:rsid w:val="446612A5"/>
    <w:rsid w:val="4466465B"/>
    <w:rsid w:val="446759F5"/>
    <w:rsid w:val="446948F1"/>
    <w:rsid w:val="4469669F"/>
    <w:rsid w:val="446A464D"/>
    <w:rsid w:val="446A4AB9"/>
    <w:rsid w:val="446E619A"/>
    <w:rsid w:val="446F7A2D"/>
    <w:rsid w:val="44703EBA"/>
    <w:rsid w:val="4471166F"/>
    <w:rsid w:val="4471758D"/>
    <w:rsid w:val="44723FE4"/>
    <w:rsid w:val="44752932"/>
    <w:rsid w:val="44761711"/>
    <w:rsid w:val="4476700E"/>
    <w:rsid w:val="44770A1B"/>
    <w:rsid w:val="44780948"/>
    <w:rsid w:val="44790355"/>
    <w:rsid w:val="4479487C"/>
    <w:rsid w:val="447A4003"/>
    <w:rsid w:val="447C0516"/>
    <w:rsid w:val="447C57DF"/>
    <w:rsid w:val="447D039C"/>
    <w:rsid w:val="447E118B"/>
    <w:rsid w:val="447E3337"/>
    <w:rsid w:val="447E68E8"/>
    <w:rsid w:val="448076E9"/>
    <w:rsid w:val="448226F3"/>
    <w:rsid w:val="448434D9"/>
    <w:rsid w:val="44844246"/>
    <w:rsid w:val="4484797D"/>
    <w:rsid w:val="44872701"/>
    <w:rsid w:val="44890AEF"/>
    <w:rsid w:val="44896D41"/>
    <w:rsid w:val="448D4A83"/>
    <w:rsid w:val="449050CF"/>
    <w:rsid w:val="449434EA"/>
    <w:rsid w:val="44964D2F"/>
    <w:rsid w:val="44972E05"/>
    <w:rsid w:val="449916CB"/>
    <w:rsid w:val="44A03126"/>
    <w:rsid w:val="44A13755"/>
    <w:rsid w:val="44A35E10"/>
    <w:rsid w:val="44A42D2D"/>
    <w:rsid w:val="44A6195A"/>
    <w:rsid w:val="44A62EA8"/>
    <w:rsid w:val="44A65B45"/>
    <w:rsid w:val="44A66F1C"/>
    <w:rsid w:val="44AD0C81"/>
    <w:rsid w:val="44AE1C97"/>
    <w:rsid w:val="44AE7BC2"/>
    <w:rsid w:val="44B27DAE"/>
    <w:rsid w:val="44B32010"/>
    <w:rsid w:val="44B32363"/>
    <w:rsid w:val="44B33DBE"/>
    <w:rsid w:val="44B43423"/>
    <w:rsid w:val="44B518E4"/>
    <w:rsid w:val="44B85878"/>
    <w:rsid w:val="44B951CC"/>
    <w:rsid w:val="44BA6EFA"/>
    <w:rsid w:val="44BD11F5"/>
    <w:rsid w:val="44BD1E9C"/>
    <w:rsid w:val="44BE2E8F"/>
    <w:rsid w:val="44C4421D"/>
    <w:rsid w:val="44C71617"/>
    <w:rsid w:val="44C8013D"/>
    <w:rsid w:val="44CA77E1"/>
    <w:rsid w:val="44CB1108"/>
    <w:rsid w:val="44CB735A"/>
    <w:rsid w:val="44CC370B"/>
    <w:rsid w:val="44CD14E0"/>
    <w:rsid w:val="44D271E6"/>
    <w:rsid w:val="44D35F39"/>
    <w:rsid w:val="44D73727"/>
    <w:rsid w:val="44DC4D1E"/>
    <w:rsid w:val="44DC50C3"/>
    <w:rsid w:val="44DF4BB3"/>
    <w:rsid w:val="44E011A6"/>
    <w:rsid w:val="44E1092B"/>
    <w:rsid w:val="44E126D9"/>
    <w:rsid w:val="44E421C9"/>
    <w:rsid w:val="44E623E5"/>
    <w:rsid w:val="44E6420B"/>
    <w:rsid w:val="44E977E0"/>
    <w:rsid w:val="44EA47C7"/>
    <w:rsid w:val="44EC0A57"/>
    <w:rsid w:val="44F06DC0"/>
    <w:rsid w:val="44F072B6"/>
    <w:rsid w:val="44F20B0B"/>
    <w:rsid w:val="44F22B38"/>
    <w:rsid w:val="44F543D6"/>
    <w:rsid w:val="44F56185"/>
    <w:rsid w:val="44F561AE"/>
    <w:rsid w:val="44F71EFD"/>
    <w:rsid w:val="44F763A1"/>
    <w:rsid w:val="44F87A23"/>
    <w:rsid w:val="44FC1E1F"/>
    <w:rsid w:val="44FD233C"/>
    <w:rsid w:val="44FE6029"/>
    <w:rsid w:val="44FE772F"/>
    <w:rsid w:val="45007B27"/>
    <w:rsid w:val="45007E5B"/>
    <w:rsid w:val="45017C00"/>
    <w:rsid w:val="45027B78"/>
    <w:rsid w:val="4504461A"/>
    <w:rsid w:val="45050150"/>
    <w:rsid w:val="4505448C"/>
    <w:rsid w:val="450B0646"/>
    <w:rsid w:val="450B16DB"/>
    <w:rsid w:val="450B206A"/>
    <w:rsid w:val="450B7580"/>
    <w:rsid w:val="450D1E02"/>
    <w:rsid w:val="45116CBE"/>
    <w:rsid w:val="45156827"/>
    <w:rsid w:val="451707F1"/>
    <w:rsid w:val="4517434D"/>
    <w:rsid w:val="45181186"/>
    <w:rsid w:val="45181E73"/>
    <w:rsid w:val="451900C5"/>
    <w:rsid w:val="451973FC"/>
    <w:rsid w:val="451A5223"/>
    <w:rsid w:val="451F76A5"/>
    <w:rsid w:val="45230F44"/>
    <w:rsid w:val="4525114C"/>
    <w:rsid w:val="45252F0E"/>
    <w:rsid w:val="45254913"/>
    <w:rsid w:val="452627E2"/>
    <w:rsid w:val="452A355F"/>
    <w:rsid w:val="452C7F15"/>
    <w:rsid w:val="452D1DC2"/>
    <w:rsid w:val="452D409F"/>
    <w:rsid w:val="452E1696"/>
    <w:rsid w:val="452E5F4C"/>
    <w:rsid w:val="45321526"/>
    <w:rsid w:val="453E1C21"/>
    <w:rsid w:val="453E2B94"/>
    <w:rsid w:val="453E3FCF"/>
    <w:rsid w:val="453E7B2C"/>
    <w:rsid w:val="453F5652"/>
    <w:rsid w:val="4542310F"/>
    <w:rsid w:val="45435142"/>
    <w:rsid w:val="4545710C"/>
    <w:rsid w:val="45460864"/>
    <w:rsid w:val="45460CEC"/>
    <w:rsid w:val="454665AA"/>
    <w:rsid w:val="45471D9C"/>
    <w:rsid w:val="45486BFC"/>
    <w:rsid w:val="45486EE6"/>
    <w:rsid w:val="454A4722"/>
    <w:rsid w:val="454B049A"/>
    <w:rsid w:val="454B2248"/>
    <w:rsid w:val="454D7D6F"/>
    <w:rsid w:val="454F3AE7"/>
    <w:rsid w:val="45521829"/>
    <w:rsid w:val="455230EF"/>
    <w:rsid w:val="45527FE1"/>
    <w:rsid w:val="455562C2"/>
    <w:rsid w:val="45575091"/>
    <w:rsid w:val="455A248C"/>
    <w:rsid w:val="455A6FF1"/>
    <w:rsid w:val="45610008"/>
    <w:rsid w:val="45612018"/>
    <w:rsid w:val="45622D6C"/>
    <w:rsid w:val="45633716"/>
    <w:rsid w:val="456357E4"/>
    <w:rsid w:val="45660E30"/>
    <w:rsid w:val="45691677"/>
    <w:rsid w:val="456A6B72"/>
    <w:rsid w:val="456D0411"/>
    <w:rsid w:val="456F5F37"/>
    <w:rsid w:val="45765517"/>
    <w:rsid w:val="4577128F"/>
    <w:rsid w:val="457C2402"/>
    <w:rsid w:val="457C4B49"/>
    <w:rsid w:val="457D171F"/>
    <w:rsid w:val="457E7E7E"/>
    <w:rsid w:val="45806396"/>
    <w:rsid w:val="4584768D"/>
    <w:rsid w:val="45864B7E"/>
    <w:rsid w:val="458830C5"/>
    <w:rsid w:val="458946E9"/>
    <w:rsid w:val="458A0FC3"/>
    <w:rsid w:val="458B6AE9"/>
    <w:rsid w:val="458D0AB3"/>
    <w:rsid w:val="458D13C7"/>
    <w:rsid w:val="458D32DA"/>
    <w:rsid w:val="458F7DDF"/>
    <w:rsid w:val="45921C25"/>
    <w:rsid w:val="45993BC5"/>
    <w:rsid w:val="459B359C"/>
    <w:rsid w:val="459C73B1"/>
    <w:rsid w:val="45A2455E"/>
    <w:rsid w:val="45A33E32"/>
    <w:rsid w:val="45A47C0E"/>
    <w:rsid w:val="45A53D2D"/>
    <w:rsid w:val="45A55DFD"/>
    <w:rsid w:val="45A6445A"/>
    <w:rsid w:val="45A656D1"/>
    <w:rsid w:val="45A67F50"/>
    <w:rsid w:val="45A831F7"/>
    <w:rsid w:val="45A95DE5"/>
    <w:rsid w:val="45AA51C1"/>
    <w:rsid w:val="45AB11F6"/>
    <w:rsid w:val="45AD26EB"/>
    <w:rsid w:val="45AD6A5F"/>
    <w:rsid w:val="45AE297F"/>
    <w:rsid w:val="45AF1A69"/>
    <w:rsid w:val="45AF268C"/>
    <w:rsid w:val="45AF4585"/>
    <w:rsid w:val="45B15A16"/>
    <w:rsid w:val="45B31FB0"/>
    <w:rsid w:val="45B352DC"/>
    <w:rsid w:val="45B47DEE"/>
    <w:rsid w:val="45B90E43"/>
    <w:rsid w:val="45BA635B"/>
    <w:rsid w:val="45BB41EB"/>
    <w:rsid w:val="45BB73CE"/>
    <w:rsid w:val="45BC6CA2"/>
    <w:rsid w:val="45BD3146"/>
    <w:rsid w:val="45C118AB"/>
    <w:rsid w:val="45C269AF"/>
    <w:rsid w:val="45C36283"/>
    <w:rsid w:val="45C469DF"/>
    <w:rsid w:val="45C47CD2"/>
    <w:rsid w:val="45C53DA9"/>
    <w:rsid w:val="45C767DD"/>
    <w:rsid w:val="45C83899"/>
    <w:rsid w:val="45C91BBA"/>
    <w:rsid w:val="45C96E92"/>
    <w:rsid w:val="45CB66AB"/>
    <w:rsid w:val="45CE4422"/>
    <w:rsid w:val="45CF2E79"/>
    <w:rsid w:val="45D00B17"/>
    <w:rsid w:val="45D66F38"/>
    <w:rsid w:val="45DD64EA"/>
    <w:rsid w:val="45E05087"/>
    <w:rsid w:val="45E05A82"/>
    <w:rsid w:val="45E07589"/>
    <w:rsid w:val="45E1035A"/>
    <w:rsid w:val="45E22BAD"/>
    <w:rsid w:val="45E306D3"/>
    <w:rsid w:val="45E701C3"/>
    <w:rsid w:val="45E76415"/>
    <w:rsid w:val="45E968B0"/>
    <w:rsid w:val="45EA7C9B"/>
    <w:rsid w:val="45EC57BF"/>
    <w:rsid w:val="45EC6061"/>
    <w:rsid w:val="45EC6CE6"/>
    <w:rsid w:val="45EC7588"/>
    <w:rsid w:val="45ED1B6B"/>
    <w:rsid w:val="45F1002A"/>
    <w:rsid w:val="45F119A9"/>
    <w:rsid w:val="45F36B68"/>
    <w:rsid w:val="45F4468E"/>
    <w:rsid w:val="45F75F2C"/>
    <w:rsid w:val="45F96148"/>
    <w:rsid w:val="45FA0DF9"/>
    <w:rsid w:val="45FB5A1D"/>
    <w:rsid w:val="45FC3821"/>
    <w:rsid w:val="45FD035D"/>
    <w:rsid w:val="45FD63F2"/>
    <w:rsid w:val="45FE20A2"/>
    <w:rsid w:val="45FF24DD"/>
    <w:rsid w:val="46004DE1"/>
    <w:rsid w:val="46006016"/>
    <w:rsid w:val="46033494"/>
    <w:rsid w:val="460348D1"/>
    <w:rsid w:val="46036C31"/>
    <w:rsid w:val="46050649"/>
    <w:rsid w:val="46056688"/>
    <w:rsid w:val="4607122C"/>
    <w:rsid w:val="46080139"/>
    <w:rsid w:val="46083C3C"/>
    <w:rsid w:val="460871BF"/>
    <w:rsid w:val="460C7C2A"/>
    <w:rsid w:val="460D2155"/>
    <w:rsid w:val="460D74FE"/>
    <w:rsid w:val="460E39A2"/>
    <w:rsid w:val="4610181C"/>
    <w:rsid w:val="461070F2"/>
    <w:rsid w:val="46113984"/>
    <w:rsid w:val="46136735"/>
    <w:rsid w:val="4613720A"/>
    <w:rsid w:val="46160AA8"/>
    <w:rsid w:val="461807D7"/>
    <w:rsid w:val="46192347"/>
    <w:rsid w:val="461940F5"/>
    <w:rsid w:val="461D3C54"/>
    <w:rsid w:val="462246A7"/>
    <w:rsid w:val="462369CB"/>
    <w:rsid w:val="46236D21"/>
    <w:rsid w:val="46244F73"/>
    <w:rsid w:val="4628744D"/>
    <w:rsid w:val="462C02CC"/>
    <w:rsid w:val="462F3918"/>
    <w:rsid w:val="46302DC8"/>
    <w:rsid w:val="4632339B"/>
    <w:rsid w:val="46323D07"/>
    <w:rsid w:val="46350939"/>
    <w:rsid w:val="463725F7"/>
    <w:rsid w:val="4637424C"/>
    <w:rsid w:val="463937C1"/>
    <w:rsid w:val="463D71A7"/>
    <w:rsid w:val="463E3995"/>
    <w:rsid w:val="4642189D"/>
    <w:rsid w:val="464437EC"/>
    <w:rsid w:val="46456C98"/>
    <w:rsid w:val="464624CF"/>
    <w:rsid w:val="46470C62"/>
    <w:rsid w:val="46494FE1"/>
    <w:rsid w:val="46496CF6"/>
    <w:rsid w:val="464F401B"/>
    <w:rsid w:val="464F5D68"/>
    <w:rsid w:val="464F69EF"/>
    <w:rsid w:val="46513F38"/>
    <w:rsid w:val="46535859"/>
    <w:rsid w:val="46567232"/>
    <w:rsid w:val="46577FD6"/>
    <w:rsid w:val="46584C1D"/>
    <w:rsid w:val="46585AA8"/>
    <w:rsid w:val="465B470D"/>
    <w:rsid w:val="46623CEE"/>
    <w:rsid w:val="46640FF3"/>
    <w:rsid w:val="46641814"/>
    <w:rsid w:val="46644B64"/>
    <w:rsid w:val="466C06C8"/>
    <w:rsid w:val="466C691A"/>
    <w:rsid w:val="466E2692"/>
    <w:rsid w:val="466E4440"/>
    <w:rsid w:val="467001B9"/>
    <w:rsid w:val="4670640B"/>
    <w:rsid w:val="46753A21"/>
    <w:rsid w:val="46774806"/>
    <w:rsid w:val="467852BF"/>
    <w:rsid w:val="46786335"/>
    <w:rsid w:val="467A268B"/>
    <w:rsid w:val="467B6B5D"/>
    <w:rsid w:val="467D6D68"/>
    <w:rsid w:val="4681175F"/>
    <w:rsid w:val="4681257C"/>
    <w:rsid w:val="46823C82"/>
    <w:rsid w:val="46827948"/>
    <w:rsid w:val="4687645B"/>
    <w:rsid w:val="468B17FF"/>
    <w:rsid w:val="468C2B19"/>
    <w:rsid w:val="468C6871"/>
    <w:rsid w:val="468E6891"/>
    <w:rsid w:val="469000A9"/>
    <w:rsid w:val="46911EDD"/>
    <w:rsid w:val="46932F03"/>
    <w:rsid w:val="469519CD"/>
    <w:rsid w:val="46965745"/>
    <w:rsid w:val="4697713C"/>
    <w:rsid w:val="4698326B"/>
    <w:rsid w:val="469A62E0"/>
    <w:rsid w:val="469D0882"/>
    <w:rsid w:val="469D3A9C"/>
    <w:rsid w:val="469F14E0"/>
    <w:rsid w:val="469F4EB7"/>
    <w:rsid w:val="46A63BDA"/>
    <w:rsid w:val="46A77952"/>
    <w:rsid w:val="46A968C0"/>
    <w:rsid w:val="46AA2F9F"/>
    <w:rsid w:val="46AA6B93"/>
    <w:rsid w:val="46AC14FA"/>
    <w:rsid w:val="46AE4C87"/>
    <w:rsid w:val="46B0414A"/>
    <w:rsid w:val="46B115C5"/>
    <w:rsid w:val="46B121E7"/>
    <w:rsid w:val="46B34549"/>
    <w:rsid w:val="46B856BC"/>
    <w:rsid w:val="46B959B2"/>
    <w:rsid w:val="46BD7176"/>
    <w:rsid w:val="46BE4B63"/>
    <w:rsid w:val="46BE4DCE"/>
    <w:rsid w:val="46C02A06"/>
    <w:rsid w:val="46C11F29"/>
    <w:rsid w:val="46C2653A"/>
    <w:rsid w:val="46C37F67"/>
    <w:rsid w:val="46C87FF5"/>
    <w:rsid w:val="46C91B7F"/>
    <w:rsid w:val="46CA31D6"/>
    <w:rsid w:val="46CC37DE"/>
    <w:rsid w:val="46CC73B9"/>
    <w:rsid w:val="46CE3131"/>
    <w:rsid w:val="46D00B0C"/>
    <w:rsid w:val="46D02A05"/>
    <w:rsid w:val="46D0717E"/>
    <w:rsid w:val="46D324F5"/>
    <w:rsid w:val="46D40867"/>
    <w:rsid w:val="46D955A7"/>
    <w:rsid w:val="46DA1AD6"/>
    <w:rsid w:val="46DB2223"/>
    <w:rsid w:val="46DC0857"/>
    <w:rsid w:val="46DC584E"/>
    <w:rsid w:val="46DD28B3"/>
    <w:rsid w:val="46DD3374"/>
    <w:rsid w:val="46DE6A19"/>
    <w:rsid w:val="46E12E64"/>
    <w:rsid w:val="46E14C12"/>
    <w:rsid w:val="46E6047B"/>
    <w:rsid w:val="46E62229"/>
    <w:rsid w:val="46E75FA1"/>
    <w:rsid w:val="46E9625D"/>
    <w:rsid w:val="46EB783F"/>
    <w:rsid w:val="46EE6B27"/>
    <w:rsid w:val="46EF5AA9"/>
    <w:rsid w:val="46F50F42"/>
    <w:rsid w:val="46F60841"/>
    <w:rsid w:val="46F61C78"/>
    <w:rsid w:val="46F648FA"/>
    <w:rsid w:val="46F661E4"/>
    <w:rsid w:val="46F74436"/>
    <w:rsid w:val="46FC1A4C"/>
    <w:rsid w:val="46FD7572"/>
    <w:rsid w:val="46FF216D"/>
    <w:rsid w:val="47005FD6"/>
    <w:rsid w:val="47016F91"/>
    <w:rsid w:val="4707219F"/>
    <w:rsid w:val="47094169"/>
    <w:rsid w:val="470B1C8F"/>
    <w:rsid w:val="470B7817"/>
    <w:rsid w:val="470D1EAB"/>
    <w:rsid w:val="470E1780"/>
    <w:rsid w:val="470E4CAE"/>
    <w:rsid w:val="47133957"/>
    <w:rsid w:val="47142EB5"/>
    <w:rsid w:val="47151722"/>
    <w:rsid w:val="47165547"/>
    <w:rsid w:val="47177FE7"/>
    <w:rsid w:val="471958DF"/>
    <w:rsid w:val="471A0124"/>
    <w:rsid w:val="471B1C04"/>
    <w:rsid w:val="471D19C3"/>
    <w:rsid w:val="471D6852"/>
    <w:rsid w:val="471D6ED8"/>
    <w:rsid w:val="47220315"/>
    <w:rsid w:val="47226FD9"/>
    <w:rsid w:val="4723347D"/>
    <w:rsid w:val="47256537"/>
    <w:rsid w:val="47294051"/>
    <w:rsid w:val="472D6B05"/>
    <w:rsid w:val="473016F6"/>
    <w:rsid w:val="473137BB"/>
    <w:rsid w:val="47321912"/>
    <w:rsid w:val="47330325"/>
    <w:rsid w:val="47347438"/>
    <w:rsid w:val="4735780C"/>
    <w:rsid w:val="47370CD6"/>
    <w:rsid w:val="473B2C32"/>
    <w:rsid w:val="473D1A0C"/>
    <w:rsid w:val="473F1CAF"/>
    <w:rsid w:val="474402AE"/>
    <w:rsid w:val="474451A1"/>
    <w:rsid w:val="474A6C5C"/>
    <w:rsid w:val="474A6F38"/>
    <w:rsid w:val="47507FEA"/>
    <w:rsid w:val="47511BBD"/>
    <w:rsid w:val="47535B1B"/>
    <w:rsid w:val="47543636"/>
    <w:rsid w:val="47552B9C"/>
    <w:rsid w:val="475A714B"/>
    <w:rsid w:val="4760366E"/>
    <w:rsid w:val="47651E3E"/>
    <w:rsid w:val="4765307D"/>
    <w:rsid w:val="47674701"/>
    <w:rsid w:val="47680E90"/>
    <w:rsid w:val="47694C08"/>
    <w:rsid w:val="47727F60"/>
    <w:rsid w:val="4774202F"/>
    <w:rsid w:val="477737C9"/>
    <w:rsid w:val="477826A9"/>
    <w:rsid w:val="47787C1B"/>
    <w:rsid w:val="477A0293"/>
    <w:rsid w:val="478008D4"/>
    <w:rsid w:val="478101A3"/>
    <w:rsid w:val="47833F1C"/>
    <w:rsid w:val="478353D6"/>
    <w:rsid w:val="478657BA"/>
    <w:rsid w:val="47881532"/>
    <w:rsid w:val="478832E0"/>
    <w:rsid w:val="478B2DD0"/>
    <w:rsid w:val="478D08F6"/>
    <w:rsid w:val="478E3315"/>
    <w:rsid w:val="478F0D81"/>
    <w:rsid w:val="47903B64"/>
    <w:rsid w:val="4794161C"/>
    <w:rsid w:val="47947891"/>
    <w:rsid w:val="47947ED7"/>
    <w:rsid w:val="47961EA1"/>
    <w:rsid w:val="47964BFF"/>
    <w:rsid w:val="47975C19"/>
    <w:rsid w:val="47980691"/>
    <w:rsid w:val="479C1141"/>
    <w:rsid w:val="479D0B49"/>
    <w:rsid w:val="479E1F7F"/>
    <w:rsid w:val="479F450D"/>
    <w:rsid w:val="47A064D3"/>
    <w:rsid w:val="47A07E0C"/>
    <w:rsid w:val="47A143A2"/>
    <w:rsid w:val="47A33473"/>
    <w:rsid w:val="47A47B3C"/>
    <w:rsid w:val="47A548C2"/>
    <w:rsid w:val="47A619B8"/>
    <w:rsid w:val="47A9726E"/>
    <w:rsid w:val="47AB36D7"/>
    <w:rsid w:val="47AD132E"/>
    <w:rsid w:val="47AD69D5"/>
    <w:rsid w:val="47AF2F63"/>
    <w:rsid w:val="47B265AF"/>
    <w:rsid w:val="47B417CB"/>
    <w:rsid w:val="47B420B7"/>
    <w:rsid w:val="47B474C1"/>
    <w:rsid w:val="47B554A7"/>
    <w:rsid w:val="47B75973"/>
    <w:rsid w:val="47B91094"/>
    <w:rsid w:val="47BB018B"/>
    <w:rsid w:val="47BB73F7"/>
    <w:rsid w:val="47BC1400"/>
    <w:rsid w:val="47BC742D"/>
    <w:rsid w:val="47BF19DF"/>
    <w:rsid w:val="47C12F88"/>
    <w:rsid w:val="47C12FDC"/>
    <w:rsid w:val="47C16E6F"/>
    <w:rsid w:val="47C20415"/>
    <w:rsid w:val="47C3256A"/>
    <w:rsid w:val="47C51FDE"/>
    <w:rsid w:val="47C63E08"/>
    <w:rsid w:val="47C6479A"/>
    <w:rsid w:val="47C65414"/>
    <w:rsid w:val="47C72AC9"/>
    <w:rsid w:val="47CA1B4A"/>
    <w:rsid w:val="47CB17C2"/>
    <w:rsid w:val="47CE4FE7"/>
    <w:rsid w:val="47CF14F8"/>
    <w:rsid w:val="47D14008"/>
    <w:rsid w:val="47D26C51"/>
    <w:rsid w:val="47D301A3"/>
    <w:rsid w:val="47D33CD5"/>
    <w:rsid w:val="47D4106D"/>
    <w:rsid w:val="47D463A2"/>
    <w:rsid w:val="47D8004A"/>
    <w:rsid w:val="47D834D9"/>
    <w:rsid w:val="47D93B3C"/>
    <w:rsid w:val="47D97FDF"/>
    <w:rsid w:val="47DB5B06"/>
    <w:rsid w:val="47DC187E"/>
    <w:rsid w:val="47DE1152"/>
    <w:rsid w:val="47E0117E"/>
    <w:rsid w:val="47E0191A"/>
    <w:rsid w:val="47E03A30"/>
    <w:rsid w:val="47E06C6D"/>
    <w:rsid w:val="47E07D36"/>
    <w:rsid w:val="47E13100"/>
    <w:rsid w:val="47E1334E"/>
    <w:rsid w:val="47E26E94"/>
    <w:rsid w:val="47E33FA5"/>
    <w:rsid w:val="47E50732"/>
    <w:rsid w:val="47EB6189"/>
    <w:rsid w:val="47EC1AC1"/>
    <w:rsid w:val="47ED3A8B"/>
    <w:rsid w:val="47ED60C7"/>
    <w:rsid w:val="47EE6854"/>
    <w:rsid w:val="47EF7803"/>
    <w:rsid w:val="47F20A8C"/>
    <w:rsid w:val="47F26A53"/>
    <w:rsid w:val="47F54D56"/>
    <w:rsid w:val="47F623C2"/>
    <w:rsid w:val="47F6649C"/>
    <w:rsid w:val="47F80A20"/>
    <w:rsid w:val="47F866B8"/>
    <w:rsid w:val="47FA175E"/>
    <w:rsid w:val="47FB6E8C"/>
    <w:rsid w:val="47FD6774"/>
    <w:rsid w:val="47FE17F4"/>
    <w:rsid w:val="47FF2425"/>
    <w:rsid w:val="48013092"/>
    <w:rsid w:val="480261E6"/>
    <w:rsid w:val="48026C30"/>
    <w:rsid w:val="48027536"/>
    <w:rsid w:val="4807322A"/>
    <w:rsid w:val="48076E4F"/>
    <w:rsid w:val="480C5CBF"/>
    <w:rsid w:val="480E5EDB"/>
    <w:rsid w:val="48131819"/>
    <w:rsid w:val="48142DC6"/>
    <w:rsid w:val="481564EA"/>
    <w:rsid w:val="48157E59"/>
    <w:rsid w:val="48195B03"/>
    <w:rsid w:val="481972A3"/>
    <w:rsid w:val="481C4D7D"/>
    <w:rsid w:val="481F67E0"/>
    <w:rsid w:val="4821367A"/>
    <w:rsid w:val="482361FF"/>
    <w:rsid w:val="4824120A"/>
    <w:rsid w:val="48241E24"/>
    <w:rsid w:val="4828061F"/>
    <w:rsid w:val="48280C73"/>
    <w:rsid w:val="482A25E9"/>
    <w:rsid w:val="482D3F1D"/>
    <w:rsid w:val="482E032B"/>
    <w:rsid w:val="482E7F45"/>
    <w:rsid w:val="482F19AD"/>
    <w:rsid w:val="48312719"/>
    <w:rsid w:val="48315726"/>
    <w:rsid w:val="48335209"/>
    <w:rsid w:val="48346A7C"/>
    <w:rsid w:val="48362D3C"/>
    <w:rsid w:val="4838031B"/>
    <w:rsid w:val="483B3AEF"/>
    <w:rsid w:val="483B42AA"/>
    <w:rsid w:val="483F3DD2"/>
    <w:rsid w:val="484007C6"/>
    <w:rsid w:val="48427933"/>
    <w:rsid w:val="48455675"/>
    <w:rsid w:val="48457FB8"/>
    <w:rsid w:val="48474F49"/>
    <w:rsid w:val="48475265"/>
    <w:rsid w:val="484E277B"/>
    <w:rsid w:val="484F02A2"/>
    <w:rsid w:val="484F3DFE"/>
    <w:rsid w:val="484F6A16"/>
    <w:rsid w:val="4851401A"/>
    <w:rsid w:val="48515DC8"/>
    <w:rsid w:val="48517B76"/>
    <w:rsid w:val="48523EE0"/>
    <w:rsid w:val="48526727"/>
    <w:rsid w:val="48527E70"/>
    <w:rsid w:val="485338EE"/>
    <w:rsid w:val="485633DE"/>
    <w:rsid w:val="4856518C"/>
    <w:rsid w:val="485655CF"/>
    <w:rsid w:val="4857574E"/>
    <w:rsid w:val="48580F04"/>
    <w:rsid w:val="48587156"/>
    <w:rsid w:val="485B1AFA"/>
    <w:rsid w:val="48601B5F"/>
    <w:rsid w:val="486024AF"/>
    <w:rsid w:val="48604AF5"/>
    <w:rsid w:val="4863059E"/>
    <w:rsid w:val="486814B0"/>
    <w:rsid w:val="486A50DB"/>
    <w:rsid w:val="486C41F5"/>
    <w:rsid w:val="486D271A"/>
    <w:rsid w:val="4870272E"/>
    <w:rsid w:val="48717A59"/>
    <w:rsid w:val="487321E2"/>
    <w:rsid w:val="48735DEA"/>
    <w:rsid w:val="48754A5C"/>
    <w:rsid w:val="4876582E"/>
    <w:rsid w:val="48766976"/>
    <w:rsid w:val="487804C5"/>
    <w:rsid w:val="487A3570"/>
    <w:rsid w:val="487A3659"/>
    <w:rsid w:val="487B2E45"/>
    <w:rsid w:val="4880045B"/>
    <w:rsid w:val="48823B0D"/>
    <w:rsid w:val="48833B1A"/>
    <w:rsid w:val="48861F15"/>
    <w:rsid w:val="48877A3B"/>
    <w:rsid w:val="488867DB"/>
    <w:rsid w:val="488A7B94"/>
    <w:rsid w:val="488C73EC"/>
    <w:rsid w:val="488D33A5"/>
    <w:rsid w:val="488F069E"/>
    <w:rsid w:val="4890319F"/>
    <w:rsid w:val="48934632"/>
    <w:rsid w:val="48943F06"/>
    <w:rsid w:val="48945CB4"/>
    <w:rsid w:val="48961A2D"/>
    <w:rsid w:val="489857A5"/>
    <w:rsid w:val="489A0227"/>
    <w:rsid w:val="489A151D"/>
    <w:rsid w:val="489B0C9C"/>
    <w:rsid w:val="489B34E7"/>
    <w:rsid w:val="489D2DBB"/>
    <w:rsid w:val="489D5FF7"/>
    <w:rsid w:val="489E39BE"/>
    <w:rsid w:val="489F6B33"/>
    <w:rsid w:val="48A00AFD"/>
    <w:rsid w:val="48A07D95"/>
    <w:rsid w:val="48A203D1"/>
    <w:rsid w:val="48A3401C"/>
    <w:rsid w:val="48A73C3A"/>
    <w:rsid w:val="48A83CDE"/>
    <w:rsid w:val="48A90487"/>
    <w:rsid w:val="48A91760"/>
    <w:rsid w:val="48A94830"/>
    <w:rsid w:val="48A979B2"/>
    <w:rsid w:val="48AA54D8"/>
    <w:rsid w:val="48AC1250"/>
    <w:rsid w:val="48AE3E76"/>
    <w:rsid w:val="48AF18EA"/>
    <w:rsid w:val="48B027F2"/>
    <w:rsid w:val="48B51431"/>
    <w:rsid w:val="48B62FB6"/>
    <w:rsid w:val="48B6702D"/>
    <w:rsid w:val="48BA1BBF"/>
    <w:rsid w:val="48BB7D87"/>
    <w:rsid w:val="48BF1820"/>
    <w:rsid w:val="48C06F71"/>
    <w:rsid w:val="48C2043E"/>
    <w:rsid w:val="48C42A3E"/>
    <w:rsid w:val="48C540C0"/>
    <w:rsid w:val="48C714A4"/>
    <w:rsid w:val="48CA47F7"/>
    <w:rsid w:val="48CB5B7A"/>
    <w:rsid w:val="48CC36A0"/>
    <w:rsid w:val="48CC544E"/>
    <w:rsid w:val="48CF115C"/>
    <w:rsid w:val="48D10CB7"/>
    <w:rsid w:val="48D250C5"/>
    <w:rsid w:val="48D2515B"/>
    <w:rsid w:val="48D507A7"/>
    <w:rsid w:val="48D52555"/>
    <w:rsid w:val="48D6284A"/>
    <w:rsid w:val="48D63B37"/>
    <w:rsid w:val="48D6451F"/>
    <w:rsid w:val="48DC79D9"/>
    <w:rsid w:val="48DD3AFF"/>
    <w:rsid w:val="48DD74CB"/>
    <w:rsid w:val="48DE3668"/>
    <w:rsid w:val="48E20A41"/>
    <w:rsid w:val="48E245CC"/>
    <w:rsid w:val="48E42798"/>
    <w:rsid w:val="48E44CC2"/>
    <w:rsid w:val="48E50AE5"/>
    <w:rsid w:val="48E72288"/>
    <w:rsid w:val="48E94252"/>
    <w:rsid w:val="48EA7714"/>
    <w:rsid w:val="48F067CC"/>
    <w:rsid w:val="48F50E49"/>
    <w:rsid w:val="48F742FC"/>
    <w:rsid w:val="48F74BC1"/>
    <w:rsid w:val="48F97310"/>
    <w:rsid w:val="48FB5D34"/>
    <w:rsid w:val="48FD09C5"/>
    <w:rsid w:val="48FF5823"/>
    <w:rsid w:val="490020C5"/>
    <w:rsid w:val="490032F6"/>
    <w:rsid w:val="4901441A"/>
    <w:rsid w:val="4905510C"/>
    <w:rsid w:val="49060960"/>
    <w:rsid w:val="4907292A"/>
    <w:rsid w:val="49080B7C"/>
    <w:rsid w:val="4908216E"/>
    <w:rsid w:val="490A32C0"/>
    <w:rsid w:val="490B241B"/>
    <w:rsid w:val="490B6ACD"/>
    <w:rsid w:val="490E1F0B"/>
    <w:rsid w:val="49102059"/>
    <w:rsid w:val="49106503"/>
    <w:rsid w:val="49110F82"/>
    <w:rsid w:val="49137F22"/>
    <w:rsid w:val="4914329F"/>
    <w:rsid w:val="491568B3"/>
    <w:rsid w:val="49165F0D"/>
    <w:rsid w:val="49176C25"/>
    <w:rsid w:val="491C4628"/>
    <w:rsid w:val="491D214E"/>
    <w:rsid w:val="491F1A22"/>
    <w:rsid w:val="491F7C74"/>
    <w:rsid w:val="49221512"/>
    <w:rsid w:val="4924528A"/>
    <w:rsid w:val="49256BFC"/>
    <w:rsid w:val="4926601A"/>
    <w:rsid w:val="49266137"/>
    <w:rsid w:val="4929464F"/>
    <w:rsid w:val="49296D45"/>
    <w:rsid w:val="492A1B28"/>
    <w:rsid w:val="492C27EC"/>
    <w:rsid w:val="492D10A0"/>
    <w:rsid w:val="492D6D40"/>
    <w:rsid w:val="492E6109"/>
    <w:rsid w:val="493059DD"/>
    <w:rsid w:val="493279A7"/>
    <w:rsid w:val="4933371F"/>
    <w:rsid w:val="493556E9"/>
    <w:rsid w:val="49356DCF"/>
    <w:rsid w:val="49364D4F"/>
    <w:rsid w:val="49373210"/>
    <w:rsid w:val="49380D36"/>
    <w:rsid w:val="493A5A83"/>
    <w:rsid w:val="493B154F"/>
    <w:rsid w:val="493C4CB5"/>
    <w:rsid w:val="493E459E"/>
    <w:rsid w:val="493F0316"/>
    <w:rsid w:val="494705DC"/>
    <w:rsid w:val="4948654D"/>
    <w:rsid w:val="49487CB3"/>
    <w:rsid w:val="494B6B1F"/>
    <w:rsid w:val="494D705E"/>
    <w:rsid w:val="49523BA5"/>
    <w:rsid w:val="495518E8"/>
    <w:rsid w:val="49575660"/>
    <w:rsid w:val="4958470A"/>
    <w:rsid w:val="49584F65"/>
    <w:rsid w:val="495A5B62"/>
    <w:rsid w:val="495C4A24"/>
    <w:rsid w:val="495C73DE"/>
    <w:rsid w:val="495D4016"/>
    <w:rsid w:val="495D59AA"/>
    <w:rsid w:val="4961233B"/>
    <w:rsid w:val="49625A84"/>
    <w:rsid w:val="49635DB3"/>
    <w:rsid w:val="49645E24"/>
    <w:rsid w:val="496543F0"/>
    <w:rsid w:val="49657BD5"/>
    <w:rsid w:val="49665633"/>
    <w:rsid w:val="496833C9"/>
    <w:rsid w:val="496B7A53"/>
    <w:rsid w:val="496C67DD"/>
    <w:rsid w:val="496F0BFB"/>
    <w:rsid w:val="496F7666"/>
    <w:rsid w:val="497004D0"/>
    <w:rsid w:val="4972249A"/>
    <w:rsid w:val="497A30FC"/>
    <w:rsid w:val="497E6AFF"/>
    <w:rsid w:val="497F561D"/>
    <w:rsid w:val="497F6965"/>
    <w:rsid w:val="498126DD"/>
    <w:rsid w:val="498B70B7"/>
    <w:rsid w:val="498E3542"/>
    <w:rsid w:val="498E62B3"/>
    <w:rsid w:val="498F4DFA"/>
    <w:rsid w:val="49900B72"/>
    <w:rsid w:val="49902920"/>
    <w:rsid w:val="499046CE"/>
    <w:rsid w:val="49905E56"/>
    <w:rsid w:val="4994681E"/>
    <w:rsid w:val="49973CA1"/>
    <w:rsid w:val="49995205"/>
    <w:rsid w:val="499A1384"/>
    <w:rsid w:val="499C7517"/>
    <w:rsid w:val="499D73BF"/>
    <w:rsid w:val="499E328F"/>
    <w:rsid w:val="49A346C1"/>
    <w:rsid w:val="49A40179"/>
    <w:rsid w:val="49A563CB"/>
    <w:rsid w:val="49A5778B"/>
    <w:rsid w:val="49A60395"/>
    <w:rsid w:val="49A76A2C"/>
    <w:rsid w:val="49AA39E1"/>
    <w:rsid w:val="49AA56FB"/>
    <w:rsid w:val="49AD1724"/>
    <w:rsid w:val="49AD34D2"/>
    <w:rsid w:val="49AF724A"/>
    <w:rsid w:val="49B17B2C"/>
    <w:rsid w:val="49B303BC"/>
    <w:rsid w:val="49BA6E46"/>
    <w:rsid w:val="49BB5BEF"/>
    <w:rsid w:val="49BC1967"/>
    <w:rsid w:val="49BC54C3"/>
    <w:rsid w:val="49BC7AB0"/>
    <w:rsid w:val="49BE7E39"/>
    <w:rsid w:val="49BF6D61"/>
    <w:rsid w:val="49C01457"/>
    <w:rsid w:val="49C425C9"/>
    <w:rsid w:val="49C600F0"/>
    <w:rsid w:val="49C63ECC"/>
    <w:rsid w:val="49C8668D"/>
    <w:rsid w:val="49CA56CE"/>
    <w:rsid w:val="49CF0436"/>
    <w:rsid w:val="49D0185F"/>
    <w:rsid w:val="49D35EE3"/>
    <w:rsid w:val="49D77F66"/>
    <w:rsid w:val="49DB0459"/>
    <w:rsid w:val="49DC7715"/>
    <w:rsid w:val="49E04D5D"/>
    <w:rsid w:val="49E14F29"/>
    <w:rsid w:val="49E3612E"/>
    <w:rsid w:val="49E40DEC"/>
    <w:rsid w:val="49E62AF6"/>
    <w:rsid w:val="49E862B8"/>
    <w:rsid w:val="49EA408D"/>
    <w:rsid w:val="49ED1B20"/>
    <w:rsid w:val="49ED7D72"/>
    <w:rsid w:val="49F237D6"/>
    <w:rsid w:val="49F41F8B"/>
    <w:rsid w:val="49F42EAF"/>
    <w:rsid w:val="49F66C27"/>
    <w:rsid w:val="49F7474D"/>
    <w:rsid w:val="49FC0FF3"/>
    <w:rsid w:val="4A007AA5"/>
    <w:rsid w:val="4A023139"/>
    <w:rsid w:val="4A0250DD"/>
    <w:rsid w:val="4A0259D3"/>
    <w:rsid w:val="4A031344"/>
    <w:rsid w:val="4A03680C"/>
    <w:rsid w:val="4A04007B"/>
    <w:rsid w:val="4A0462BA"/>
    <w:rsid w:val="4A046BA5"/>
    <w:rsid w:val="4A0561D3"/>
    <w:rsid w:val="4A0771B4"/>
    <w:rsid w:val="4A084BAC"/>
    <w:rsid w:val="4A085C48"/>
    <w:rsid w:val="4A0A26D2"/>
    <w:rsid w:val="4A0C678D"/>
    <w:rsid w:val="4A0D21C2"/>
    <w:rsid w:val="4A0E0561"/>
    <w:rsid w:val="4A0F1A96"/>
    <w:rsid w:val="4A111B4D"/>
    <w:rsid w:val="4A111CB3"/>
    <w:rsid w:val="4A12556E"/>
    <w:rsid w:val="4A1946C3"/>
    <w:rsid w:val="4A1A6458"/>
    <w:rsid w:val="4A1C0855"/>
    <w:rsid w:val="4A1D5E2B"/>
    <w:rsid w:val="4A1E1CA4"/>
    <w:rsid w:val="4A25750C"/>
    <w:rsid w:val="4A273284"/>
    <w:rsid w:val="4A2A1D3B"/>
    <w:rsid w:val="4A2B7C08"/>
    <w:rsid w:val="4A345F75"/>
    <w:rsid w:val="4A3527B7"/>
    <w:rsid w:val="4A3634C7"/>
    <w:rsid w:val="4A392FB7"/>
    <w:rsid w:val="4A3B2395"/>
    <w:rsid w:val="4A3B2C86"/>
    <w:rsid w:val="4A3B6D2F"/>
    <w:rsid w:val="4A3D2AA8"/>
    <w:rsid w:val="4A404346"/>
    <w:rsid w:val="4A433A00"/>
    <w:rsid w:val="4A447100"/>
    <w:rsid w:val="4A4554B8"/>
    <w:rsid w:val="4A471146"/>
    <w:rsid w:val="4A477482"/>
    <w:rsid w:val="4A480CCD"/>
    <w:rsid w:val="4A4902B3"/>
    <w:rsid w:val="4A4937B8"/>
    <w:rsid w:val="4A4A06C9"/>
    <w:rsid w:val="4A4A3641"/>
    <w:rsid w:val="4A4A6F73"/>
    <w:rsid w:val="4A4D0811"/>
    <w:rsid w:val="4A5120AF"/>
    <w:rsid w:val="4A547DF1"/>
    <w:rsid w:val="4A5B15A1"/>
    <w:rsid w:val="4A5C351A"/>
    <w:rsid w:val="4A5F1A84"/>
    <w:rsid w:val="4A600544"/>
    <w:rsid w:val="4A615B59"/>
    <w:rsid w:val="4A6242BC"/>
    <w:rsid w:val="4A633B90"/>
    <w:rsid w:val="4A64704B"/>
    <w:rsid w:val="4A65285A"/>
    <w:rsid w:val="4A69564B"/>
    <w:rsid w:val="4A696261"/>
    <w:rsid w:val="4A6A22D2"/>
    <w:rsid w:val="4A6C734B"/>
    <w:rsid w:val="4A6F0787"/>
    <w:rsid w:val="4A752C5B"/>
    <w:rsid w:val="4A755A9B"/>
    <w:rsid w:val="4A78588E"/>
    <w:rsid w:val="4A7A50C6"/>
    <w:rsid w:val="4A7B576F"/>
    <w:rsid w:val="4A8204BA"/>
    <w:rsid w:val="4A83308A"/>
    <w:rsid w:val="4A8403BF"/>
    <w:rsid w:val="4A871672"/>
    <w:rsid w:val="4A871F75"/>
    <w:rsid w:val="4A8C0089"/>
    <w:rsid w:val="4A934476"/>
    <w:rsid w:val="4A961972"/>
    <w:rsid w:val="4A9A45AB"/>
    <w:rsid w:val="4A9D1D81"/>
    <w:rsid w:val="4A9D619D"/>
    <w:rsid w:val="4A9F1253"/>
    <w:rsid w:val="4AA03036"/>
    <w:rsid w:val="4AA1441B"/>
    <w:rsid w:val="4AA2122D"/>
    <w:rsid w:val="4AA64B9E"/>
    <w:rsid w:val="4AA91EEB"/>
    <w:rsid w:val="4AAE12AF"/>
    <w:rsid w:val="4AB10DA0"/>
    <w:rsid w:val="4AB12B4E"/>
    <w:rsid w:val="4AB2490D"/>
    <w:rsid w:val="4AB421E8"/>
    <w:rsid w:val="4AB515C0"/>
    <w:rsid w:val="4AB62460"/>
    <w:rsid w:val="4AB83EDC"/>
    <w:rsid w:val="4ABA6F52"/>
    <w:rsid w:val="4ABD14F2"/>
    <w:rsid w:val="4ABF0D28"/>
    <w:rsid w:val="4ABF10E5"/>
    <w:rsid w:val="4ABF34BD"/>
    <w:rsid w:val="4AC00FE3"/>
    <w:rsid w:val="4AC07235"/>
    <w:rsid w:val="4AC26B09"/>
    <w:rsid w:val="4AC30AE7"/>
    <w:rsid w:val="4AC40AD3"/>
    <w:rsid w:val="4AC705C3"/>
    <w:rsid w:val="4AC7795C"/>
    <w:rsid w:val="4AC90591"/>
    <w:rsid w:val="4ACA1E61"/>
    <w:rsid w:val="4ACA3627"/>
    <w:rsid w:val="4ACD44C4"/>
    <w:rsid w:val="4ACE016A"/>
    <w:rsid w:val="4ACE1952"/>
    <w:rsid w:val="4ACE3700"/>
    <w:rsid w:val="4AD14476"/>
    <w:rsid w:val="4AD1516E"/>
    <w:rsid w:val="4AD27F90"/>
    <w:rsid w:val="4AD300DD"/>
    <w:rsid w:val="4AD65E76"/>
    <w:rsid w:val="4AD8323A"/>
    <w:rsid w:val="4AD87337"/>
    <w:rsid w:val="4AD93E52"/>
    <w:rsid w:val="4ADA4750"/>
    <w:rsid w:val="4ADA6804"/>
    <w:rsid w:val="4ADB5E1D"/>
    <w:rsid w:val="4ADC0900"/>
    <w:rsid w:val="4ADD08D6"/>
    <w:rsid w:val="4ADD7DE7"/>
    <w:rsid w:val="4ADE0FBB"/>
    <w:rsid w:val="4AE64EED"/>
    <w:rsid w:val="4AE90577"/>
    <w:rsid w:val="4AED7E15"/>
    <w:rsid w:val="4AEE3DA2"/>
    <w:rsid w:val="4AF250C4"/>
    <w:rsid w:val="4AF34104"/>
    <w:rsid w:val="4AF40C8C"/>
    <w:rsid w:val="4AF4344E"/>
    <w:rsid w:val="4AF561A9"/>
    <w:rsid w:val="4AF63674"/>
    <w:rsid w:val="4AF7494F"/>
    <w:rsid w:val="4AFA2747"/>
    <w:rsid w:val="4AFB0BB9"/>
    <w:rsid w:val="4AFC64B6"/>
    <w:rsid w:val="4AFF05A8"/>
    <w:rsid w:val="4B035F18"/>
    <w:rsid w:val="4B05319D"/>
    <w:rsid w:val="4B06022F"/>
    <w:rsid w:val="4B0A0E06"/>
    <w:rsid w:val="4B0C5FD6"/>
    <w:rsid w:val="4B0E1D4E"/>
    <w:rsid w:val="4B0F0DC5"/>
    <w:rsid w:val="4B0F2966"/>
    <w:rsid w:val="4B1011B4"/>
    <w:rsid w:val="4B112D6F"/>
    <w:rsid w:val="4B144A66"/>
    <w:rsid w:val="4B14708E"/>
    <w:rsid w:val="4B161C2E"/>
    <w:rsid w:val="4B187071"/>
    <w:rsid w:val="4B1C3A96"/>
    <w:rsid w:val="4B1D01E3"/>
    <w:rsid w:val="4B1E2F8C"/>
    <w:rsid w:val="4B1F21AD"/>
    <w:rsid w:val="4B215F25"/>
    <w:rsid w:val="4B217CD3"/>
    <w:rsid w:val="4B275FFA"/>
    <w:rsid w:val="4B2A4A23"/>
    <w:rsid w:val="4B2B0B52"/>
    <w:rsid w:val="4B2C48CA"/>
    <w:rsid w:val="4B2D2151"/>
    <w:rsid w:val="4B2F3F26"/>
    <w:rsid w:val="4B301942"/>
    <w:rsid w:val="4B325ED5"/>
    <w:rsid w:val="4B337FC3"/>
    <w:rsid w:val="4B3519D1"/>
    <w:rsid w:val="4B367F5F"/>
    <w:rsid w:val="4B372AF8"/>
    <w:rsid w:val="4B375749"/>
    <w:rsid w:val="4B3767C2"/>
    <w:rsid w:val="4B3774F7"/>
    <w:rsid w:val="4B391D0B"/>
    <w:rsid w:val="4B3E5154"/>
    <w:rsid w:val="4B3F49CB"/>
    <w:rsid w:val="4B412124"/>
    <w:rsid w:val="4B427C4A"/>
    <w:rsid w:val="4B4439C2"/>
    <w:rsid w:val="4B4542D8"/>
    <w:rsid w:val="4B467DB6"/>
    <w:rsid w:val="4B490FD8"/>
    <w:rsid w:val="4B491170"/>
    <w:rsid w:val="4B4B11F4"/>
    <w:rsid w:val="4B4B6AFE"/>
    <w:rsid w:val="4B5300A9"/>
    <w:rsid w:val="4B545FBD"/>
    <w:rsid w:val="4B5736F5"/>
    <w:rsid w:val="4B587139"/>
    <w:rsid w:val="4B5A1437"/>
    <w:rsid w:val="4B5A31E5"/>
    <w:rsid w:val="4B5B1AA3"/>
    <w:rsid w:val="4B5C51AF"/>
    <w:rsid w:val="4B5D43C3"/>
    <w:rsid w:val="4B5F6A4E"/>
    <w:rsid w:val="4B627338"/>
    <w:rsid w:val="4B633CE2"/>
    <w:rsid w:val="4B6477F5"/>
    <w:rsid w:val="4B647BC0"/>
    <w:rsid w:val="4B6722E6"/>
    <w:rsid w:val="4B676F0B"/>
    <w:rsid w:val="4B6D2F19"/>
    <w:rsid w:val="4B754618"/>
    <w:rsid w:val="4B771D1E"/>
    <w:rsid w:val="4B7778F3"/>
    <w:rsid w:val="4B7826B9"/>
    <w:rsid w:val="4B79502C"/>
    <w:rsid w:val="4B797B0F"/>
    <w:rsid w:val="4B7A14DD"/>
    <w:rsid w:val="4B7C5B59"/>
    <w:rsid w:val="4B7F0E9E"/>
    <w:rsid w:val="4B7F1A52"/>
    <w:rsid w:val="4B8169C4"/>
    <w:rsid w:val="4B821C40"/>
    <w:rsid w:val="4B823380"/>
    <w:rsid w:val="4B8244EA"/>
    <w:rsid w:val="4B83273C"/>
    <w:rsid w:val="4B86222C"/>
    <w:rsid w:val="4B87419C"/>
    <w:rsid w:val="4B887D52"/>
    <w:rsid w:val="4B897A6B"/>
    <w:rsid w:val="4B8F7CD0"/>
    <w:rsid w:val="4B912257"/>
    <w:rsid w:val="4B944949"/>
    <w:rsid w:val="4B9528F6"/>
    <w:rsid w:val="4B971D44"/>
    <w:rsid w:val="4B983D0E"/>
    <w:rsid w:val="4B9A5CD8"/>
    <w:rsid w:val="4B9C03C6"/>
    <w:rsid w:val="4B9F32EE"/>
    <w:rsid w:val="4BA44460"/>
    <w:rsid w:val="4BA4701A"/>
    <w:rsid w:val="4BA920C8"/>
    <w:rsid w:val="4BAD77B9"/>
    <w:rsid w:val="4BAD7FA4"/>
    <w:rsid w:val="4BAF3531"/>
    <w:rsid w:val="4BB02707"/>
    <w:rsid w:val="4BB072A9"/>
    <w:rsid w:val="4BB22442"/>
    <w:rsid w:val="4BB225EC"/>
    <w:rsid w:val="4BB5041C"/>
    <w:rsid w:val="4BB70638"/>
    <w:rsid w:val="4BB91333"/>
    <w:rsid w:val="4BB964CE"/>
    <w:rsid w:val="4BBA34EF"/>
    <w:rsid w:val="4BBA394F"/>
    <w:rsid w:val="4BBC3C2B"/>
    <w:rsid w:val="4BBC5D12"/>
    <w:rsid w:val="4BBE3F02"/>
    <w:rsid w:val="4BBE5810"/>
    <w:rsid w:val="4BBF129A"/>
    <w:rsid w:val="4BC114B6"/>
    <w:rsid w:val="4BC32B39"/>
    <w:rsid w:val="4BC32E9B"/>
    <w:rsid w:val="4BC34263"/>
    <w:rsid w:val="4BC36FDC"/>
    <w:rsid w:val="4BC37421"/>
    <w:rsid w:val="4BC6087B"/>
    <w:rsid w:val="4BC73DDE"/>
    <w:rsid w:val="4BCE0CE1"/>
    <w:rsid w:val="4BCE43AF"/>
    <w:rsid w:val="4BCF3BD3"/>
    <w:rsid w:val="4BD016F9"/>
    <w:rsid w:val="4BD034A7"/>
    <w:rsid w:val="4BD047B8"/>
    <w:rsid w:val="4BD07BF8"/>
    <w:rsid w:val="4BD42F98"/>
    <w:rsid w:val="4BD47ED0"/>
    <w:rsid w:val="4BD50ABE"/>
    <w:rsid w:val="4BD61F8D"/>
    <w:rsid w:val="4BD6760C"/>
    <w:rsid w:val="4BD72A88"/>
    <w:rsid w:val="4BD905AE"/>
    <w:rsid w:val="4BD96800"/>
    <w:rsid w:val="4BDA4326"/>
    <w:rsid w:val="4BDB6809"/>
    <w:rsid w:val="4BDE0872"/>
    <w:rsid w:val="4BDE7B4E"/>
    <w:rsid w:val="4BE07B8E"/>
    <w:rsid w:val="4BE1027E"/>
    <w:rsid w:val="4BE156B5"/>
    <w:rsid w:val="4BE17463"/>
    <w:rsid w:val="4BE265CB"/>
    <w:rsid w:val="4BE34F89"/>
    <w:rsid w:val="4BE541EC"/>
    <w:rsid w:val="4BE96317"/>
    <w:rsid w:val="4BEA0B84"/>
    <w:rsid w:val="4BEB208F"/>
    <w:rsid w:val="4BEB6533"/>
    <w:rsid w:val="4BED5DC1"/>
    <w:rsid w:val="4BF4623D"/>
    <w:rsid w:val="4BF47383"/>
    <w:rsid w:val="4BF75BB4"/>
    <w:rsid w:val="4BF90C50"/>
    <w:rsid w:val="4BFF333D"/>
    <w:rsid w:val="4BFF5B3B"/>
    <w:rsid w:val="4C00678F"/>
    <w:rsid w:val="4C010256"/>
    <w:rsid w:val="4C010828"/>
    <w:rsid w:val="4C014A33"/>
    <w:rsid w:val="4C017B05"/>
    <w:rsid w:val="4C027AA2"/>
    <w:rsid w:val="4C0513A3"/>
    <w:rsid w:val="4C0849EF"/>
    <w:rsid w:val="4C0C0983"/>
    <w:rsid w:val="4C0C5414"/>
    <w:rsid w:val="4C0D15B0"/>
    <w:rsid w:val="4C0F2222"/>
    <w:rsid w:val="4C111715"/>
    <w:rsid w:val="4C12586E"/>
    <w:rsid w:val="4C134AC3"/>
    <w:rsid w:val="4C1467AF"/>
    <w:rsid w:val="4C157FCE"/>
    <w:rsid w:val="4C164EE8"/>
    <w:rsid w:val="4C194B2B"/>
    <w:rsid w:val="4C196447"/>
    <w:rsid w:val="4C1A312B"/>
    <w:rsid w:val="4C1C049B"/>
    <w:rsid w:val="4C1E2465"/>
    <w:rsid w:val="4C200D7C"/>
    <w:rsid w:val="4C213D03"/>
    <w:rsid w:val="4C2178FD"/>
    <w:rsid w:val="4C254753"/>
    <w:rsid w:val="4C2630C7"/>
    <w:rsid w:val="4C276E29"/>
    <w:rsid w:val="4C285091"/>
    <w:rsid w:val="4C2A0E0A"/>
    <w:rsid w:val="4C2A2AEA"/>
    <w:rsid w:val="4C322340"/>
    <w:rsid w:val="4C327CBE"/>
    <w:rsid w:val="4C371778"/>
    <w:rsid w:val="4C39104D"/>
    <w:rsid w:val="4C39729F"/>
    <w:rsid w:val="4C3E48B5"/>
    <w:rsid w:val="4C420927"/>
    <w:rsid w:val="4C4249DA"/>
    <w:rsid w:val="4C4336BC"/>
    <w:rsid w:val="4C464030"/>
    <w:rsid w:val="4C481C7A"/>
    <w:rsid w:val="4C4A0649"/>
    <w:rsid w:val="4C4A14AC"/>
    <w:rsid w:val="4C4C5224"/>
    <w:rsid w:val="4C4E3BC9"/>
    <w:rsid w:val="4C517490"/>
    <w:rsid w:val="4C522DBA"/>
    <w:rsid w:val="4C532DF5"/>
    <w:rsid w:val="4C5440D8"/>
    <w:rsid w:val="4C547C35"/>
    <w:rsid w:val="4C5545C1"/>
    <w:rsid w:val="4C572B75"/>
    <w:rsid w:val="4C59524B"/>
    <w:rsid w:val="4C5B2E97"/>
    <w:rsid w:val="4C5D7448"/>
    <w:rsid w:val="4C5F5DCD"/>
    <w:rsid w:val="4C5F78F4"/>
    <w:rsid w:val="4C605492"/>
    <w:rsid w:val="4C62006A"/>
    <w:rsid w:val="4C63256E"/>
    <w:rsid w:val="4C651E42"/>
    <w:rsid w:val="4C666AEF"/>
    <w:rsid w:val="4C667968"/>
    <w:rsid w:val="4C681932"/>
    <w:rsid w:val="4C6A56AA"/>
    <w:rsid w:val="4C702E09"/>
    <w:rsid w:val="4C7107E7"/>
    <w:rsid w:val="4C720B3B"/>
    <w:rsid w:val="4C72455F"/>
    <w:rsid w:val="4C726F56"/>
    <w:rsid w:val="4C742085"/>
    <w:rsid w:val="4C7463B4"/>
    <w:rsid w:val="4C755517"/>
    <w:rsid w:val="4C76238B"/>
    <w:rsid w:val="4C781655"/>
    <w:rsid w:val="4C783EFE"/>
    <w:rsid w:val="4C7B1FC6"/>
    <w:rsid w:val="4C7B2CEA"/>
    <w:rsid w:val="4C7C3833"/>
    <w:rsid w:val="4C7D48E6"/>
    <w:rsid w:val="4C7E5ECA"/>
    <w:rsid w:val="4C7F7CD3"/>
    <w:rsid w:val="4C804ECE"/>
    <w:rsid w:val="4C8106FD"/>
    <w:rsid w:val="4C820C46"/>
    <w:rsid w:val="4C827D97"/>
    <w:rsid w:val="4C833329"/>
    <w:rsid w:val="4C856040"/>
    <w:rsid w:val="4C86562C"/>
    <w:rsid w:val="4C876AA5"/>
    <w:rsid w:val="4C885B30"/>
    <w:rsid w:val="4C8A7AFA"/>
    <w:rsid w:val="4C8C04F1"/>
    <w:rsid w:val="4C8D3147"/>
    <w:rsid w:val="4C8E6F47"/>
    <w:rsid w:val="4C8F1B39"/>
    <w:rsid w:val="4C8F5111"/>
    <w:rsid w:val="4C91093A"/>
    <w:rsid w:val="4C94348B"/>
    <w:rsid w:val="4C9444D5"/>
    <w:rsid w:val="4C9C350E"/>
    <w:rsid w:val="4C9C6118"/>
    <w:rsid w:val="4CA05FF4"/>
    <w:rsid w:val="4CA46F4A"/>
    <w:rsid w:val="4CA7245A"/>
    <w:rsid w:val="4CA74AA1"/>
    <w:rsid w:val="4CA961D2"/>
    <w:rsid w:val="4CAE1A3B"/>
    <w:rsid w:val="4CAF415A"/>
    <w:rsid w:val="4CB132D9"/>
    <w:rsid w:val="4CB15CD6"/>
    <w:rsid w:val="4CB22BAD"/>
    <w:rsid w:val="4CB30CC7"/>
    <w:rsid w:val="4CB56285"/>
    <w:rsid w:val="4CB6269D"/>
    <w:rsid w:val="4CBD3A2C"/>
    <w:rsid w:val="4CBE77A4"/>
    <w:rsid w:val="4CC23FEE"/>
    <w:rsid w:val="4CC240E6"/>
    <w:rsid w:val="4CC254E6"/>
    <w:rsid w:val="4CC50B32"/>
    <w:rsid w:val="4CC641A0"/>
    <w:rsid w:val="4CC72166"/>
    <w:rsid w:val="4CC7234C"/>
    <w:rsid w:val="4CC832C5"/>
    <w:rsid w:val="4CC84E24"/>
    <w:rsid w:val="4CC96525"/>
    <w:rsid w:val="4CCD443F"/>
    <w:rsid w:val="4CD05DDB"/>
    <w:rsid w:val="4CD314A1"/>
    <w:rsid w:val="4CD34FFD"/>
    <w:rsid w:val="4CD40A84"/>
    <w:rsid w:val="4CD40D75"/>
    <w:rsid w:val="4CD5715F"/>
    <w:rsid w:val="4CD6689C"/>
    <w:rsid w:val="4CD733D0"/>
    <w:rsid w:val="4CD733E9"/>
    <w:rsid w:val="4CD9638C"/>
    <w:rsid w:val="4CDA3172"/>
    <w:rsid w:val="4CDB1482"/>
    <w:rsid w:val="4CDB65A8"/>
    <w:rsid w:val="4CDD23C6"/>
    <w:rsid w:val="4CDD5E7C"/>
    <w:rsid w:val="4CDD7C2A"/>
    <w:rsid w:val="4CE04D38"/>
    <w:rsid w:val="4CE30FB8"/>
    <w:rsid w:val="4CE5062E"/>
    <w:rsid w:val="4CE54D31"/>
    <w:rsid w:val="4CE9739F"/>
    <w:rsid w:val="4CEA2347"/>
    <w:rsid w:val="4CEB5B1E"/>
    <w:rsid w:val="4CEB6D65"/>
    <w:rsid w:val="4CEC2ABA"/>
    <w:rsid w:val="4CEC4311"/>
    <w:rsid w:val="4CEC56BF"/>
    <w:rsid w:val="4CEC6287"/>
    <w:rsid w:val="4CEE3778"/>
    <w:rsid w:val="4CF0156F"/>
    <w:rsid w:val="4CF136D5"/>
    <w:rsid w:val="4CF13B95"/>
    <w:rsid w:val="4CF17B79"/>
    <w:rsid w:val="4CF46BE5"/>
    <w:rsid w:val="4CF67C8C"/>
    <w:rsid w:val="4CF851A4"/>
    <w:rsid w:val="4CFB4554"/>
    <w:rsid w:val="4CFC0895"/>
    <w:rsid w:val="4CFC1232"/>
    <w:rsid w:val="4CFE0AF3"/>
    <w:rsid w:val="4CFF3673"/>
    <w:rsid w:val="4D022362"/>
    <w:rsid w:val="4D04165B"/>
    <w:rsid w:val="4D063625"/>
    <w:rsid w:val="4D063868"/>
    <w:rsid w:val="4D07739D"/>
    <w:rsid w:val="4D0E00FB"/>
    <w:rsid w:val="4D0F48D6"/>
    <w:rsid w:val="4D110253"/>
    <w:rsid w:val="4D111FCA"/>
    <w:rsid w:val="4D12532F"/>
    <w:rsid w:val="4D1473C4"/>
    <w:rsid w:val="4D151ABA"/>
    <w:rsid w:val="4D1702D6"/>
    <w:rsid w:val="4D170A13"/>
    <w:rsid w:val="4D175555"/>
    <w:rsid w:val="4D176606"/>
    <w:rsid w:val="4D181501"/>
    <w:rsid w:val="4D1C3D4D"/>
    <w:rsid w:val="4D1D096E"/>
    <w:rsid w:val="4D1D77E4"/>
    <w:rsid w:val="4D1E5ECA"/>
    <w:rsid w:val="4D1E7FE1"/>
    <w:rsid w:val="4D1F0243"/>
    <w:rsid w:val="4D203FBB"/>
    <w:rsid w:val="4D207CF0"/>
    <w:rsid w:val="4D216C5F"/>
    <w:rsid w:val="4D25238B"/>
    <w:rsid w:val="4D2717ED"/>
    <w:rsid w:val="4D2C295F"/>
    <w:rsid w:val="4D2E5D0E"/>
    <w:rsid w:val="4D2E7A06"/>
    <w:rsid w:val="4D2F6279"/>
    <w:rsid w:val="4D3161C8"/>
    <w:rsid w:val="4D33180A"/>
    <w:rsid w:val="4D3728CA"/>
    <w:rsid w:val="4D386DC7"/>
    <w:rsid w:val="4D3A32CE"/>
    <w:rsid w:val="4D3A3A90"/>
    <w:rsid w:val="4D3B0DF4"/>
    <w:rsid w:val="4D3D4B6D"/>
    <w:rsid w:val="4D403927"/>
    <w:rsid w:val="4D48046F"/>
    <w:rsid w:val="4D491763"/>
    <w:rsid w:val="4D495A3D"/>
    <w:rsid w:val="4D50664E"/>
    <w:rsid w:val="4D51683A"/>
    <w:rsid w:val="4D525094"/>
    <w:rsid w:val="4D554C51"/>
    <w:rsid w:val="4D565C2E"/>
    <w:rsid w:val="4D577886"/>
    <w:rsid w:val="4D596E8C"/>
    <w:rsid w:val="4D5A3320"/>
    <w:rsid w:val="4D5B3435"/>
    <w:rsid w:val="4D5C3245"/>
    <w:rsid w:val="4D5F2D35"/>
    <w:rsid w:val="4D61085B"/>
    <w:rsid w:val="4D640DAD"/>
    <w:rsid w:val="4D677BF0"/>
    <w:rsid w:val="4D693BB4"/>
    <w:rsid w:val="4D694742"/>
    <w:rsid w:val="4D697710"/>
    <w:rsid w:val="4D6C0858"/>
    <w:rsid w:val="4D727A2A"/>
    <w:rsid w:val="4D7367E0"/>
    <w:rsid w:val="4D765F01"/>
    <w:rsid w:val="4D772B8F"/>
    <w:rsid w:val="4D773377"/>
    <w:rsid w:val="4D7779B3"/>
    <w:rsid w:val="4D783DF7"/>
    <w:rsid w:val="4D786184"/>
    <w:rsid w:val="4D7B4C21"/>
    <w:rsid w:val="4D7B7443"/>
    <w:rsid w:val="4D7E412B"/>
    <w:rsid w:val="4D7E5B92"/>
    <w:rsid w:val="4D810EFD"/>
    <w:rsid w:val="4D814A59"/>
    <w:rsid w:val="4D826A23"/>
    <w:rsid w:val="4D845037"/>
    <w:rsid w:val="4D8536F4"/>
    <w:rsid w:val="4D857F0A"/>
    <w:rsid w:val="4D87403A"/>
    <w:rsid w:val="4D892D44"/>
    <w:rsid w:val="4D896004"/>
    <w:rsid w:val="4D8A7988"/>
    <w:rsid w:val="4D8B1AA5"/>
    <w:rsid w:val="4D8B3B2A"/>
    <w:rsid w:val="4D8B58D8"/>
    <w:rsid w:val="4D8E361A"/>
    <w:rsid w:val="4D8E53C8"/>
    <w:rsid w:val="4D8F5347"/>
    <w:rsid w:val="4D901140"/>
    <w:rsid w:val="4D903272"/>
    <w:rsid w:val="4D907392"/>
    <w:rsid w:val="4D926C66"/>
    <w:rsid w:val="4D933A81"/>
    <w:rsid w:val="4D9371C5"/>
    <w:rsid w:val="4D941C6B"/>
    <w:rsid w:val="4D94357F"/>
    <w:rsid w:val="4D985D6A"/>
    <w:rsid w:val="4D9C553A"/>
    <w:rsid w:val="4D9C6B32"/>
    <w:rsid w:val="4D9C7AE5"/>
    <w:rsid w:val="4D9D38C7"/>
    <w:rsid w:val="4D9D79DA"/>
    <w:rsid w:val="4DA16EA9"/>
    <w:rsid w:val="4DA21078"/>
    <w:rsid w:val="4DA22C22"/>
    <w:rsid w:val="4DA3783D"/>
    <w:rsid w:val="4DA4699A"/>
    <w:rsid w:val="4DA5232F"/>
    <w:rsid w:val="4DA62712"/>
    <w:rsid w:val="4DA846DC"/>
    <w:rsid w:val="4DA905F1"/>
    <w:rsid w:val="4DAD1CF2"/>
    <w:rsid w:val="4DAD33FC"/>
    <w:rsid w:val="4DAF6DA9"/>
    <w:rsid w:val="4DB0533F"/>
    <w:rsid w:val="4DB5079F"/>
    <w:rsid w:val="4DB53005"/>
    <w:rsid w:val="4DB8268B"/>
    <w:rsid w:val="4DB845E2"/>
    <w:rsid w:val="4DB855AC"/>
    <w:rsid w:val="4DBB69D2"/>
    <w:rsid w:val="4DBF1A26"/>
    <w:rsid w:val="4DBF2864"/>
    <w:rsid w:val="4DC025D3"/>
    <w:rsid w:val="4DC2050E"/>
    <w:rsid w:val="4DC66910"/>
    <w:rsid w:val="4DC75E36"/>
    <w:rsid w:val="4DCA71B4"/>
    <w:rsid w:val="4DCC2A15"/>
    <w:rsid w:val="4DCC2B7D"/>
    <w:rsid w:val="4DCD32D4"/>
    <w:rsid w:val="4DCD7C9F"/>
    <w:rsid w:val="4DCF7EBB"/>
    <w:rsid w:val="4DD32B0A"/>
    <w:rsid w:val="4DD7080E"/>
    <w:rsid w:val="4DDA23BB"/>
    <w:rsid w:val="4DDC5260"/>
    <w:rsid w:val="4DDD0F66"/>
    <w:rsid w:val="4DE0420A"/>
    <w:rsid w:val="4DE1199C"/>
    <w:rsid w:val="4DE14282"/>
    <w:rsid w:val="4DE367EA"/>
    <w:rsid w:val="4DE4323A"/>
    <w:rsid w:val="4DE575CF"/>
    <w:rsid w:val="4DE73252"/>
    <w:rsid w:val="4DE8015C"/>
    <w:rsid w:val="4DE83B57"/>
    <w:rsid w:val="4DEA6061"/>
    <w:rsid w:val="4DEA6737"/>
    <w:rsid w:val="4DEB45C9"/>
    <w:rsid w:val="4DEC4FB0"/>
    <w:rsid w:val="4DEC70B1"/>
    <w:rsid w:val="4DEE1C9D"/>
    <w:rsid w:val="4DF174D0"/>
    <w:rsid w:val="4DF23BA9"/>
    <w:rsid w:val="4DF25957"/>
    <w:rsid w:val="4DF514D6"/>
    <w:rsid w:val="4DF7794D"/>
    <w:rsid w:val="4DF87486"/>
    <w:rsid w:val="4DFE0FDA"/>
    <w:rsid w:val="4E04568A"/>
    <w:rsid w:val="4E047438"/>
    <w:rsid w:val="4E07465C"/>
    <w:rsid w:val="4E075D8A"/>
    <w:rsid w:val="4E08517B"/>
    <w:rsid w:val="4E092CA1"/>
    <w:rsid w:val="4E094A4F"/>
    <w:rsid w:val="4E0D7F7A"/>
    <w:rsid w:val="4E0F0D57"/>
    <w:rsid w:val="4E143B1F"/>
    <w:rsid w:val="4E150D2D"/>
    <w:rsid w:val="4E151645"/>
    <w:rsid w:val="4E152D1B"/>
    <w:rsid w:val="4E192794"/>
    <w:rsid w:val="4E1E69C2"/>
    <w:rsid w:val="4E1E70C0"/>
    <w:rsid w:val="4E1F4272"/>
    <w:rsid w:val="4E217FEA"/>
    <w:rsid w:val="4E231FB4"/>
    <w:rsid w:val="4E242A04"/>
    <w:rsid w:val="4E261AA5"/>
    <w:rsid w:val="4E265A64"/>
    <w:rsid w:val="4E293049"/>
    <w:rsid w:val="4E2A50F1"/>
    <w:rsid w:val="4E2B06DA"/>
    <w:rsid w:val="4E2B2C17"/>
    <w:rsid w:val="4E2C068F"/>
    <w:rsid w:val="4E2F0914"/>
    <w:rsid w:val="4E2F0959"/>
    <w:rsid w:val="4E2F6BAB"/>
    <w:rsid w:val="4E306D07"/>
    <w:rsid w:val="4E3441C2"/>
    <w:rsid w:val="4E355844"/>
    <w:rsid w:val="4E37780E"/>
    <w:rsid w:val="4E3917D8"/>
    <w:rsid w:val="4E395868"/>
    <w:rsid w:val="4E3B40BC"/>
    <w:rsid w:val="4E3C6BD2"/>
    <w:rsid w:val="4E3E294A"/>
    <w:rsid w:val="4E3E64D3"/>
    <w:rsid w:val="4E4A5A8F"/>
    <w:rsid w:val="4E4A7541"/>
    <w:rsid w:val="4E4B5067"/>
    <w:rsid w:val="4E4C5C98"/>
    <w:rsid w:val="4E4F2019"/>
    <w:rsid w:val="4E4F2999"/>
    <w:rsid w:val="4E500E94"/>
    <w:rsid w:val="4E503A02"/>
    <w:rsid w:val="4E52289A"/>
    <w:rsid w:val="4E527EF0"/>
    <w:rsid w:val="4E5736EB"/>
    <w:rsid w:val="4E5742E6"/>
    <w:rsid w:val="4E5B79A0"/>
    <w:rsid w:val="4E5C169A"/>
    <w:rsid w:val="4E5C54C6"/>
    <w:rsid w:val="4E5D01C1"/>
    <w:rsid w:val="4E665DA9"/>
    <w:rsid w:val="4E677020"/>
    <w:rsid w:val="4E682783"/>
    <w:rsid w:val="4E6A1991"/>
    <w:rsid w:val="4E6D1482"/>
    <w:rsid w:val="4E6D67B9"/>
    <w:rsid w:val="4E6F51FA"/>
    <w:rsid w:val="4E6F6FA8"/>
    <w:rsid w:val="4E751405"/>
    <w:rsid w:val="4E761495"/>
    <w:rsid w:val="4E7856B2"/>
    <w:rsid w:val="4E797A6F"/>
    <w:rsid w:val="4E806BEA"/>
    <w:rsid w:val="4E810A89"/>
    <w:rsid w:val="4E81660E"/>
    <w:rsid w:val="4E830CA5"/>
    <w:rsid w:val="4E832A53"/>
    <w:rsid w:val="4E84407F"/>
    <w:rsid w:val="4E847C5C"/>
    <w:rsid w:val="4E872543"/>
    <w:rsid w:val="4E880069"/>
    <w:rsid w:val="4E8A1789"/>
    <w:rsid w:val="4E8B1381"/>
    <w:rsid w:val="4E8B4CDA"/>
    <w:rsid w:val="4E8E06D2"/>
    <w:rsid w:val="4E8E5EDF"/>
    <w:rsid w:val="4E8F1F17"/>
    <w:rsid w:val="4E905702"/>
    <w:rsid w:val="4E9604D7"/>
    <w:rsid w:val="4E984750"/>
    <w:rsid w:val="4E993527"/>
    <w:rsid w:val="4E9C3B15"/>
    <w:rsid w:val="4E9E3387"/>
    <w:rsid w:val="4EA01A1C"/>
    <w:rsid w:val="4EA2112B"/>
    <w:rsid w:val="4EA35068"/>
    <w:rsid w:val="4EA448ED"/>
    <w:rsid w:val="4EA604F0"/>
    <w:rsid w:val="4EA6370A"/>
    <w:rsid w:val="4EA76741"/>
    <w:rsid w:val="4EA81E38"/>
    <w:rsid w:val="4EAA3FF2"/>
    <w:rsid w:val="4EAC469C"/>
    <w:rsid w:val="4EAC6965"/>
    <w:rsid w:val="4EAD353F"/>
    <w:rsid w:val="4EAD7AD0"/>
    <w:rsid w:val="4EAF57DC"/>
    <w:rsid w:val="4EB05AAA"/>
    <w:rsid w:val="4EB12F00"/>
    <w:rsid w:val="4EB42C0C"/>
    <w:rsid w:val="4EB63F59"/>
    <w:rsid w:val="4EB64BD7"/>
    <w:rsid w:val="4EB809B9"/>
    <w:rsid w:val="4EB92996"/>
    <w:rsid w:val="4EBC1914"/>
    <w:rsid w:val="4EBC7D13"/>
    <w:rsid w:val="4EBD769B"/>
    <w:rsid w:val="4EBF7224"/>
    <w:rsid w:val="4EC00FAD"/>
    <w:rsid w:val="4EC02D8C"/>
    <w:rsid w:val="4EC1538E"/>
    <w:rsid w:val="4EC23E82"/>
    <w:rsid w:val="4EC512BE"/>
    <w:rsid w:val="4EC5404A"/>
    <w:rsid w:val="4EC751C8"/>
    <w:rsid w:val="4EC76DE4"/>
    <w:rsid w:val="4ECA2430"/>
    <w:rsid w:val="4ECB74E2"/>
    <w:rsid w:val="4ECC61A8"/>
    <w:rsid w:val="4ECD3713"/>
    <w:rsid w:val="4ECE0172"/>
    <w:rsid w:val="4ECF3EEA"/>
    <w:rsid w:val="4ED04B95"/>
    <w:rsid w:val="4ED15379"/>
    <w:rsid w:val="4ED20E90"/>
    <w:rsid w:val="4ED27537"/>
    <w:rsid w:val="4ED66394"/>
    <w:rsid w:val="4ED92673"/>
    <w:rsid w:val="4EDA4496"/>
    <w:rsid w:val="4EDB63EB"/>
    <w:rsid w:val="4EE24505"/>
    <w:rsid w:val="4EE25B47"/>
    <w:rsid w:val="4EE320D0"/>
    <w:rsid w:val="4EE334F2"/>
    <w:rsid w:val="4EEF00E8"/>
    <w:rsid w:val="4EEF633A"/>
    <w:rsid w:val="4EF15A33"/>
    <w:rsid w:val="4EF31987"/>
    <w:rsid w:val="4EF801A9"/>
    <w:rsid w:val="4EF80C56"/>
    <w:rsid w:val="4EFA116C"/>
    <w:rsid w:val="4EFA12AE"/>
    <w:rsid w:val="4EFB2CB5"/>
    <w:rsid w:val="4EFD0A57"/>
    <w:rsid w:val="4EFD45B3"/>
    <w:rsid w:val="4EFE032C"/>
    <w:rsid w:val="4F025A3F"/>
    <w:rsid w:val="4F044627"/>
    <w:rsid w:val="4F0633D0"/>
    <w:rsid w:val="4F066593"/>
    <w:rsid w:val="4F0A0A7E"/>
    <w:rsid w:val="4F0F42E7"/>
    <w:rsid w:val="4F111E0D"/>
    <w:rsid w:val="4F1307BB"/>
    <w:rsid w:val="4F1418FD"/>
    <w:rsid w:val="4F1458DC"/>
    <w:rsid w:val="4F161B19"/>
    <w:rsid w:val="4F1671DA"/>
    <w:rsid w:val="4F172EB2"/>
    <w:rsid w:val="4F19007F"/>
    <w:rsid w:val="4F196F13"/>
    <w:rsid w:val="4F1C6995"/>
    <w:rsid w:val="4F1D2EA8"/>
    <w:rsid w:val="4F1D33E2"/>
    <w:rsid w:val="4F1D6A04"/>
    <w:rsid w:val="4F1E0DD0"/>
    <w:rsid w:val="4F1E495C"/>
    <w:rsid w:val="4F1F14C1"/>
    <w:rsid w:val="4F216536"/>
    <w:rsid w:val="4F217FCE"/>
    <w:rsid w:val="4F2204BE"/>
    <w:rsid w:val="4F221964"/>
    <w:rsid w:val="4F22226C"/>
    <w:rsid w:val="4F231B40"/>
    <w:rsid w:val="4F252A35"/>
    <w:rsid w:val="4F2815FF"/>
    <w:rsid w:val="4F310701"/>
    <w:rsid w:val="4F3124AF"/>
    <w:rsid w:val="4F326126"/>
    <w:rsid w:val="4F3501F1"/>
    <w:rsid w:val="4F375B0B"/>
    <w:rsid w:val="4F376A2D"/>
    <w:rsid w:val="4F3911A7"/>
    <w:rsid w:val="4F3A5808"/>
    <w:rsid w:val="4F3B1949"/>
    <w:rsid w:val="4F3B5AB7"/>
    <w:rsid w:val="4F3C3FC2"/>
    <w:rsid w:val="4F3E27E8"/>
    <w:rsid w:val="4F3E6C99"/>
    <w:rsid w:val="4F3F1118"/>
    <w:rsid w:val="4F4044B2"/>
    <w:rsid w:val="4F4046DE"/>
    <w:rsid w:val="4F427630"/>
    <w:rsid w:val="4F471CD3"/>
    <w:rsid w:val="4F483B32"/>
    <w:rsid w:val="4F493C9D"/>
    <w:rsid w:val="4F495A4B"/>
    <w:rsid w:val="4F4A7ACA"/>
    <w:rsid w:val="4F4B17C3"/>
    <w:rsid w:val="4F4C1097"/>
    <w:rsid w:val="4F4C72E9"/>
    <w:rsid w:val="4F4F0B87"/>
    <w:rsid w:val="4F4F7809"/>
    <w:rsid w:val="4F510191"/>
    <w:rsid w:val="4F531488"/>
    <w:rsid w:val="4F545D7A"/>
    <w:rsid w:val="4F55619D"/>
    <w:rsid w:val="4F560168"/>
    <w:rsid w:val="4F585E0B"/>
    <w:rsid w:val="4F587A3C"/>
    <w:rsid w:val="4F593D81"/>
    <w:rsid w:val="4F5A1A06"/>
    <w:rsid w:val="4F5C0475"/>
    <w:rsid w:val="4F5D10F0"/>
    <w:rsid w:val="4F5F54A0"/>
    <w:rsid w:val="4F6004A6"/>
    <w:rsid w:val="4F622668"/>
    <w:rsid w:val="4F640DF0"/>
    <w:rsid w:val="4F643F2F"/>
    <w:rsid w:val="4F64664B"/>
    <w:rsid w:val="4F652159"/>
    <w:rsid w:val="4F686F20"/>
    <w:rsid w:val="4F69204E"/>
    <w:rsid w:val="4F6A1295"/>
    <w:rsid w:val="4F6A13FC"/>
    <w:rsid w:val="4F6B59C1"/>
    <w:rsid w:val="4F6C0472"/>
    <w:rsid w:val="4F6C2D3D"/>
    <w:rsid w:val="4F6C48F5"/>
    <w:rsid w:val="4F6E725F"/>
    <w:rsid w:val="4F7066A3"/>
    <w:rsid w:val="4F710AFD"/>
    <w:rsid w:val="4F743212"/>
    <w:rsid w:val="4F754A92"/>
    <w:rsid w:val="4F754D80"/>
    <w:rsid w:val="4F7C7BCE"/>
    <w:rsid w:val="4F7F76BE"/>
    <w:rsid w:val="4F8057DE"/>
    <w:rsid w:val="4F8172F7"/>
    <w:rsid w:val="4F836861"/>
    <w:rsid w:val="4F85053B"/>
    <w:rsid w:val="4F85631A"/>
    <w:rsid w:val="4F893A3A"/>
    <w:rsid w:val="4F8A7ACB"/>
    <w:rsid w:val="4F8C1F34"/>
    <w:rsid w:val="4F905428"/>
    <w:rsid w:val="4F9071D6"/>
    <w:rsid w:val="4F91005A"/>
    <w:rsid w:val="4F936CC6"/>
    <w:rsid w:val="4F967E5D"/>
    <w:rsid w:val="4F98188B"/>
    <w:rsid w:val="4F9843DC"/>
    <w:rsid w:val="4F9D7B44"/>
    <w:rsid w:val="4F9E3F28"/>
    <w:rsid w:val="4F9F482F"/>
    <w:rsid w:val="4FA17635"/>
    <w:rsid w:val="4FA233AD"/>
    <w:rsid w:val="4FA34B85"/>
    <w:rsid w:val="4FA52BA9"/>
    <w:rsid w:val="4FA54D25"/>
    <w:rsid w:val="4FA64C4B"/>
    <w:rsid w:val="4FA72771"/>
    <w:rsid w:val="4FA90297"/>
    <w:rsid w:val="4FAD5FDA"/>
    <w:rsid w:val="4FAF16B8"/>
    <w:rsid w:val="4FAF6AB9"/>
    <w:rsid w:val="4FB00D89"/>
    <w:rsid w:val="4FB01626"/>
    <w:rsid w:val="4FB07878"/>
    <w:rsid w:val="4FB0799C"/>
    <w:rsid w:val="4FB235F0"/>
    <w:rsid w:val="4FB37368"/>
    <w:rsid w:val="4FB8497E"/>
    <w:rsid w:val="4FB967FB"/>
    <w:rsid w:val="4FBA24A4"/>
    <w:rsid w:val="4FBB3F6A"/>
    <w:rsid w:val="4FBF3F5F"/>
    <w:rsid w:val="4FC12776"/>
    <w:rsid w:val="4FC14007"/>
    <w:rsid w:val="4FC4738E"/>
    <w:rsid w:val="4FC5154F"/>
    <w:rsid w:val="4FC526AE"/>
    <w:rsid w:val="4FC62A8C"/>
    <w:rsid w:val="4FC652ED"/>
    <w:rsid w:val="4FC70056"/>
    <w:rsid w:val="4FC711F0"/>
    <w:rsid w:val="4FC7696F"/>
    <w:rsid w:val="4FC82E13"/>
    <w:rsid w:val="4FCB6460"/>
    <w:rsid w:val="4FCD667C"/>
    <w:rsid w:val="4FCE5F50"/>
    <w:rsid w:val="4FCF10AD"/>
    <w:rsid w:val="4FD1095E"/>
    <w:rsid w:val="4FD17BA8"/>
    <w:rsid w:val="4FD272B5"/>
    <w:rsid w:val="4FD55530"/>
    <w:rsid w:val="4FD80B7D"/>
    <w:rsid w:val="4FDA66A3"/>
    <w:rsid w:val="4FDB028B"/>
    <w:rsid w:val="4FDB0BA1"/>
    <w:rsid w:val="4FDB39D0"/>
    <w:rsid w:val="4FDB48F5"/>
    <w:rsid w:val="4FDC68BF"/>
    <w:rsid w:val="4FDE2957"/>
    <w:rsid w:val="4FDF015D"/>
    <w:rsid w:val="4FE17A31"/>
    <w:rsid w:val="4FE20F0D"/>
    <w:rsid w:val="4FE33639"/>
    <w:rsid w:val="4FE3707D"/>
    <w:rsid w:val="4FE439C5"/>
    <w:rsid w:val="4FE51552"/>
    <w:rsid w:val="4FE51C21"/>
    <w:rsid w:val="4FE64546"/>
    <w:rsid w:val="4FE8299F"/>
    <w:rsid w:val="4FED6C8F"/>
    <w:rsid w:val="4FEE1965"/>
    <w:rsid w:val="4FEE65F2"/>
    <w:rsid w:val="4FEF5EC8"/>
    <w:rsid w:val="4FF04118"/>
    <w:rsid w:val="4FF534DD"/>
    <w:rsid w:val="4FF84DDC"/>
    <w:rsid w:val="4FF87013"/>
    <w:rsid w:val="4FFD05E3"/>
    <w:rsid w:val="4FFE1A5E"/>
    <w:rsid w:val="4FFE4A87"/>
    <w:rsid w:val="5000520F"/>
    <w:rsid w:val="500325DD"/>
    <w:rsid w:val="50044515"/>
    <w:rsid w:val="50055E16"/>
    <w:rsid w:val="5006393C"/>
    <w:rsid w:val="50094AF3"/>
    <w:rsid w:val="500B32CA"/>
    <w:rsid w:val="500B3FC7"/>
    <w:rsid w:val="500B71A4"/>
    <w:rsid w:val="500D4ECF"/>
    <w:rsid w:val="500D58C2"/>
    <w:rsid w:val="500F1560"/>
    <w:rsid w:val="50120532"/>
    <w:rsid w:val="501277CE"/>
    <w:rsid w:val="501309EA"/>
    <w:rsid w:val="50131BB5"/>
    <w:rsid w:val="50144164"/>
    <w:rsid w:val="50151DD1"/>
    <w:rsid w:val="5015592D"/>
    <w:rsid w:val="50180925"/>
    <w:rsid w:val="50180ADE"/>
    <w:rsid w:val="501A1195"/>
    <w:rsid w:val="501A2F43"/>
    <w:rsid w:val="501A73E7"/>
    <w:rsid w:val="501D1438"/>
    <w:rsid w:val="501D56D0"/>
    <w:rsid w:val="502344EE"/>
    <w:rsid w:val="5023629C"/>
    <w:rsid w:val="50250266"/>
    <w:rsid w:val="5026444B"/>
    <w:rsid w:val="50265D73"/>
    <w:rsid w:val="50267B3A"/>
    <w:rsid w:val="502D0EC8"/>
    <w:rsid w:val="502E76E0"/>
    <w:rsid w:val="5030606D"/>
    <w:rsid w:val="50324731"/>
    <w:rsid w:val="5033100C"/>
    <w:rsid w:val="50332613"/>
    <w:rsid w:val="503370BA"/>
    <w:rsid w:val="503404A9"/>
    <w:rsid w:val="5034529F"/>
    <w:rsid w:val="5034738F"/>
    <w:rsid w:val="50355FCF"/>
    <w:rsid w:val="50373AF5"/>
    <w:rsid w:val="503A35E5"/>
    <w:rsid w:val="503A6072"/>
    <w:rsid w:val="503F1FCF"/>
    <w:rsid w:val="503F29AA"/>
    <w:rsid w:val="5040549D"/>
    <w:rsid w:val="504306EC"/>
    <w:rsid w:val="50432878"/>
    <w:rsid w:val="5043693E"/>
    <w:rsid w:val="50442C90"/>
    <w:rsid w:val="504A7B12"/>
    <w:rsid w:val="504B57F2"/>
    <w:rsid w:val="504E0EE3"/>
    <w:rsid w:val="504F7091"/>
    <w:rsid w:val="50504C4B"/>
    <w:rsid w:val="505267FA"/>
    <w:rsid w:val="50570A51"/>
    <w:rsid w:val="505850C7"/>
    <w:rsid w:val="505A5A36"/>
    <w:rsid w:val="505A6819"/>
    <w:rsid w:val="505A77E4"/>
    <w:rsid w:val="505B27A8"/>
    <w:rsid w:val="505C779B"/>
    <w:rsid w:val="505E5526"/>
    <w:rsid w:val="505F4CDD"/>
    <w:rsid w:val="505F4DFA"/>
    <w:rsid w:val="505F56BD"/>
    <w:rsid w:val="50615FFF"/>
    <w:rsid w:val="506618CF"/>
    <w:rsid w:val="50670FCE"/>
    <w:rsid w:val="506730B2"/>
    <w:rsid w:val="50674FD3"/>
    <w:rsid w:val="50677216"/>
    <w:rsid w:val="506863A4"/>
    <w:rsid w:val="50697A27"/>
    <w:rsid w:val="506C4336"/>
    <w:rsid w:val="506D47B5"/>
    <w:rsid w:val="506F14E1"/>
    <w:rsid w:val="507401A7"/>
    <w:rsid w:val="507408A5"/>
    <w:rsid w:val="50744B17"/>
    <w:rsid w:val="50746AF7"/>
    <w:rsid w:val="50770396"/>
    <w:rsid w:val="50792360"/>
    <w:rsid w:val="507C1507"/>
    <w:rsid w:val="507C59AC"/>
    <w:rsid w:val="507D4C58"/>
    <w:rsid w:val="507D7108"/>
    <w:rsid w:val="50825879"/>
    <w:rsid w:val="5085706B"/>
    <w:rsid w:val="50882859"/>
    <w:rsid w:val="508B5BEF"/>
    <w:rsid w:val="508E01CF"/>
    <w:rsid w:val="508F1B83"/>
    <w:rsid w:val="50911776"/>
    <w:rsid w:val="50914350"/>
    <w:rsid w:val="50923421"/>
    <w:rsid w:val="50924ECA"/>
    <w:rsid w:val="50932486"/>
    <w:rsid w:val="50946CF5"/>
    <w:rsid w:val="509755BF"/>
    <w:rsid w:val="509A184B"/>
    <w:rsid w:val="509A514A"/>
    <w:rsid w:val="509A7CD1"/>
    <w:rsid w:val="509C6E7C"/>
    <w:rsid w:val="50A0743D"/>
    <w:rsid w:val="50A329DC"/>
    <w:rsid w:val="50A51569"/>
    <w:rsid w:val="50A62A29"/>
    <w:rsid w:val="50A66972"/>
    <w:rsid w:val="50A775BD"/>
    <w:rsid w:val="50A867A1"/>
    <w:rsid w:val="50AA2519"/>
    <w:rsid w:val="50AD025B"/>
    <w:rsid w:val="50AD2B0C"/>
    <w:rsid w:val="50B24355"/>
    <w:rsid w:val="50B2543F"/>
    <w:rsid w:val="50B25872"/>
    <w:rsid w:val="50B269FC"/>
    <w:rsid w:val="50B63B0A"/>
    <w:rsid w:val="50B642FC"/>
    <w:rsid w:val="50B74C36"/>
    <w:rsid w:val="50B76197"/>
    <w:rsid w:val="50B8321F"/>
    <w:rsid w:val="50BB2978"/>
    <w:rsid w:val="50BB2B70"/>
    <w:rsid w:val="50BB4726"/>
    <w:rsid w:val="50BE4BA6"/>
    <w:rsid w:val="50BF33B5"/>
    <w:rsid w:val="50C11611"/>
    <w:rsid w:val="50C335DB"/>
    <w:rsid w:val="50C46538"/>
    <w:rsid w:val="50C51101"/>
    <w:rsid w:val="50C57353"/>
    <w:rsid w:val="50C63B58"/>
    <w:rsid w:val="50C70B2E"/>
    <w:rsid w:val="50C80BF1"/>
    <w:rsid w:val="50C8299F"/>
    <w:rsid w:val="50CA44FA"/>
    <w:rsid w:val="50CA6717"/>
    <w:rsid w:val="50CC06E1"/>
    <w:rsid w:val="50CF1F80"/>
    <w:rsid w:val="50CF30C7"/>
    <w:rsid w:val="50CF3D2E"/>
    <w:rsid w:val="50D37CC2"/>
    <w:rsid w:val="50D41344"/>
    <w:rsid w:val="50D94A10"/>
    <w:rsid w:val="50D94BAC"/>
    <w:rsid w:val="50D950B3"/>
    <w:rsid w:val="50DB3FBC"/>
    <w:rsid w:val="50DB6B76"/>
    <w:rsid w:val="50DC51C7"/>
    <w:rsid w:val="50DE6667"/>
    <w:rsid w:val="50E023DF"/>
    <w:rsid w:val="50E16F08"/>
    <w:rsid w:val="50E27F05"/>
    <w:rsid w:val="50E36EF7"/>
    <w:rsid w:val="50E377D9"/>
    <w:rsid w:val="50E41810"/>
    <w:rsid w:val="50E7551B"/>
    <w:rsid w:val="50E75822"/>
    <w:rsid w:val="50E86611"/>
    <w:rsid w:val="50E914C6"/>
    <w:rsid w:val="50EA6DB9"/>
    <w:rsid w:val="50EB434C"/>
    <w:rsid w:val="50ED12A0"/>
    <w:rsid w:val="50ED3F31"/>
    <w:rsid w:val="50EF1485"/>
    <w:rsid w:val="50EF43D0"/>
    <w:rsid w:val="50F12C72"/>
    <w:rsid w:val="50F204EF"/>
    <w:rsid w:val="50F43794"/>
    <w:rsid w:val="50F46952"/>
    <w:rsid w:val="50F471B9"/>
    <w:rsid w:val="50F639B0"/>
    <w:rsid w:val="50F814D6"/>
    <w:rsid w:val="50F96FFC"/>
    <w:rsid w:val="50FB4B23"/>
    <w:rsid w:val="50FC477A"/>
    <w:rsid w:val="50FE7426"/>
    <w:rsid w:val="51015C73"/>
    <w:rsid w:val="51023732"/>
    <w:rsid w:val="51066549"/>
    <w:rsid w:val="51085492"/>
    <w:rsid w:val="51087F55"/>
    <w:rsid w:val="510913AD"/>
    <w:rsid w:val="510C3FAD"/>
    <w:rsid w:val="51153915"/>
    <w:rsid w:val="511733C3"/>
    <w:rsid w:val="511A58F1"/>
    <w:rsid w:val="51203896"/>
    <w:rsid w:val="512055DF"/>
    <w:rsid w:val="51222A60"/>
    <w:rsid w:val="5126473C"/>
    <w:rsid w:val="5127467D"/>
    <w:rsid w:val="51281690"/>
    <w:rsid w:val="512948A6"/>
    <w:rsid w:val="512B1415"/>
    <w:rsid w:val="512B1B11"/>
    <w:rsid w:val="512C0FF7"/>
    <w:rsid w:val="512C7A2F"/>
    <w:rsid w:val="512F0C70"/>
    <w:rsid w:val="51342F86"/>
    <w:rsid w:val="51386637"/>
    <w:rsid w:val="513B13C3"/>
    <w:rsid w:val="513C3A78"/>
    <w:rsid w:val="513D15DF"/>
    <w:rsid w:val="513D513B"/>
    <w:rsid w:val="513E489F"/>
    <w:rsid w:val="51404A06"/>
    <w:rsid w:val="5140671E"/>
    <w:rsid w:val="514344B8"/>
    <w:rsid w:val="5144296E"/>
    <w:rsid w:val="5144471C"/>
    <w:rsid w:val="514A5AAA"/>
    <w:rsid w:val="514B2844"/>
    <w:rsid w:val="514B2C2B"/>
    <w:rsid w:val="514C1822"/>
    <w:rsid w:val="514C4258"/>
    <w:rsid w:val="514E59DC"/>
    <w:rsid w:val="51516E38"/>
    <w:rsid w:val="515626A1"/>
    <w:rsid w:val="51576AF4"/>
    <w:rsid w:val="51583D23"/>
    <w:rsid w:val="515F3303"/>
    <w:rsid w:val="5160707C"/>
    <w:rsid w:val="5162104E"/>
    <w:rsid w:val="51622DF4"/>
    <w:rsid w:val="51635519"/>
    <w:rsid w:val="51644DBE"/>
    <w:rsid w:val="51654692"/>
    <w:rsid w:val="51656431"/>
    <w:rsid w:val="516752CF"/>
    <w:rsid w:val="51694182"/>
    <w:rsid w:val="516A3CD7"/>
    <w:rsid w:val="516B614C"/>
    <w:rsid w:val="51703763"/>
    <w:rsid w:val="51721D7C"/>
    <w:rsid w:val="51725787"/>
    <w:rsid w:val="517324CD"/>
    <w:rsid w:val="51735001"/>
    <w:rsid w:val="51764AF1"/>
    <w:rsid w:val="517A0905"/>
    <w:rsid w:val="518051BD"/>
    <w:rsid w:val="518437FE"/>
    <w:rsid w:val="518514C9"/>
    <w:rsid w:val="51854E30"/>
    <w:rsid w:val="518A5F88"/>
    <w:rsid w:val="518E3BE9"/>
    <w:rsid w:val="518E5247"/>
    <w:rsid w:val="518F170F"/>
    <w:rsid w:val="51916FED"/>
    <w:rsid w:val="51930EC8"/>
    <w:rsid w:val="5196484B"/>
    <w:rsid w:val="5198364F"/>
    <w:rsid w:val="519A433C"/>
    <w:rsid w:val="519B6CA1"/>
    <w:rsid w:val="519D5BDA"/>
    <w:rsid w:val="51A054DE"/>
    <w:rsid w:val="51A258E6"/>
    <w:rsid w:val="51A27694"/>
    <w:rsid w:val="51A30F81"/>
    <w:rsid w:val="51A336FA"/>
    <w:rsid w:val="51A54016"/>
    <w:rsid w:val="51A83BC0"/>
    <w:rsid w:val="51AA63E5"/>
    <w:rsid w:val="51AC22C1"/>
    <w:rsid w:val="51AC406F"/>
    <w:rsid w:val="51AC6D4F"/>
    <w:rsid w:val="51AD0EF8"/>
    <w:rsid w:val="51AE2E78"/>
    <w:rsid w:val="51AE4089"/>
    <w:rsid w:val="51B24DF5"/>
    <w:rsid w:val="51B340C2"/>
    <w:rsid w:val="51B353FD"/>
    <w:rsid w:val="51B36BED"/>
    <w:rsid w:val="51B4247E"/>
    <w:rsid w:val="51B51175"/>
    <w:rsid w:val="51B52013"/>
    <w:rsid w:val="51B579BE"/>
    <w:rsid w:val="51B657C3"/>
    <w:rsid w:val="51B81A7E"/>
    <w:rsid w:val="51B90B65"/>
    <w:rsid w:val="51B946EA"/>
    <w:rsid w:val="51BB5909"/>
    <w:rsid w:val="51BC1E24"/>
    <w:rsid w:val="51BC69A8"/>
    <w:rsid w:val="51BE12C1"/>
    <w:rsid w:val="51C15D6C"/>
    <w:rsid w:val="51C24E26"/>
    <w:rsid w:val="51C26840"/>
    <w:rsid w:val="51C41D11"/>
    <w:rsid w:val="51C4760A"/>
    <w:rsid w:val="51C92E73"/>
    <w:rsid w:val="51CC0223"/>
    <w:rsid w:val="51CE0489"/>
    <w:rsid w:val="51D30528"/>
    <w:rsid w:val="51D35A9F"/>
    <w:rsid w:val="51D81308"/>
    <w:rsid w:val="51D8158C"/>
    <w:rsid w:val="51DC4954"/>
    <w:rsid w:val="51DD0FEB"/>
    <w:rsid w:val="51DD247A"/>
    <w:rsid w:val="51DF6149"/>
    <w:rsid w:val="51E046BC"/>
    <w:rsid w:val="51E87DDF"/>
    <w:rsid w:val="51E951E6"/>
    <w:rsid w:val="51EA095B"/>
    <w:rsid w:val="51EB2DE9"/>
    <w:rsid w:val="51EC30C9"/>
    <w:rsid w:val="51ED6B61"/>
    <w:rsid w:val="51F11DB2"/>
    <w:rsid w:val="51F35595"/>
    <w:rsid w:val="51F53C68"/>
    <w:rsid w:val="51F71318"/>
    <w:rsid w:val="51F823BF"/>
    <w:rsid w:val="51F85506"/>
    <w:rsid w:val="51F855F5"/>
    <w:rsid w:val="51F94479"/>
    <w:rsid w:val="51FB4E96"/>
    <w:rsid w:val="51FC4FF6"/>
    <w:rsid w:val="52004ECF"/>
    <w:rsid w:val="5201260D"/>
    <w:rsid w:val="520143BB"/>
    <w:rsid w:val="52024F4A"/>
    <w:rsid w:val="52031C51"/>
    <w:rsid w:val="52036385"/>
    <w:rsid w:val="52042DFD"/>
    <w:rsid w:val="52065E75"/>
    <w:rsid w:val="52065FB6"/>
    <w:rsid w:val="5209326F"/>
    <w:rsid w:val="520B6FE7"/>
    <w:rsid w:val="520D1772"/>
    <w:rsid w:val="52102850"/>
    <w:rsid w:val="52157A33"/>
    <w:rsid w:val="52170FF6"/>
    <w:rsid w:val="52171E30"/>
    <w:rsid w:val="521A0570"/>
    <w:rsid w:val="521C6881"/>
    <w:rsid w:val="521E59E4"/>
    <w:rsid w:val="521F2A93"/>
    <w:rsid w:val="521F59EF"/>
    <w:rsid w:val="52205134"/>
    <w:rsid w:val="52224331"/>
    <w:rsid w:val="522634B6"/>
    <w:rsid w:val="52293911"/>
    <w:rsid w:val="52296785"/>
    <w:rsid w:val="522B58DB"/>
    <w:rsid w:val="52307931"/>
    <w:rsid w:val="52315F93"/>
    <w:rsid w:val="523302EC"/>
    <w:rsid w:val="52346049"/>
    <w:rsid w:val="52374280"/>
    <w:rsid w:val="523831BA"/>
    <w:rsid w:val="523A2201"/>
    <w:rsid w:val="523C1C73"/>
    <w:rsid w:val="5242750D"/>
    <w:rsid w:val="524646CD"/>
    <w:rsid w:val="52466271"/>
    <w:rsid w:val="52481FEA"/>
    <w:rsid w:val="52483D98"/>
    <w:rsid w:val="52495D62"/>
    <w:rsid w:val="52497B10"/>
    <w:rsid w:val="524D13AE"/>
    <w:rsid w:val="524D7600"/>
    <w:rsid w:val="52504C79"/>
    <w:rsid w:val="52505342"/>
    <w:rsid w:val="52516572"/>
    <w:rsid w:val="52522E68"/>
    <w:rsid w:val="525241D2"/>
    <w:rsid w:val="52524C16"/>
    <w:rsid w:val="525266D2"/>
    <w:rsid w:val="52552958"/>
    <w:rsid w:val="525B35E6"/>
    <w:rsid w:val="525D6556"/>
    <w:rsid w:val="526003C1"/>
    <w:rsid w:val="52644907"/>
    <w:rsid w:val="526453E9"/>
    <w:rsid w:val="526507F3"/>
    <w:rsid w:val="52650DED"/>
    <w:rsid w:val="52662470"/>
    <w:rsid w:val="52683D3C"/>
    <w:rsid w:val="526A01B2"/>
    <w:rsid w:val="526C31B7"/>
    <w:rsid w:val="526D7CA2"/>
    <w:rsid w:val="526E5AC5"/>
    <w:rsid w:val="526F6485"/>
    <w:rsid w:val="527144C2"/>
    <w:rsid w:val="52721046"/>
    <w:rsid w:val="52735E02"/>
    <w:rsid w:val="527674C5"/>
    <w:rsid w:val="52770B21"/>
    <w:rsid w:val="5277467D"/>
    <w:rsid w:val="527779F2"/>
    <w:rsid w:val="527A565A"/>
    <w:rsid w:val="527C6137"/>
    <w:rsid w:val="527C7EE5"/>
    <w:rsid w:val="527D4154"/>
    <w:rsid w:val="527E3990"/>
    <w:rsid w:val="527F3531"/>
    <w:rsid w:val="528154D9"/>
    <w:rsid w:val="52822DFF"/>
    <w:rsid w:val="52846D9A"/>
    <w:rsid w:val="5285323E"/>
    <w:rsid w:val="528648C0"/>
    <w:rsid w:val="52884ADC"/>
    <w:rsid w:val="5288620F"/>
    <w:rsid w:val="5288688A"/>
    <w:rsid w:val="528943B0"/>
    <w:rsid w:val="52897340"/>
    <w:rsid w:val="528A0854"/>
    <w:rsid w:val="528A6DCB"/>
    <w:rsid w:val="528A7515"/>
    <w:rsid w:val="528C45CC"/>
    <w:rsid w:val="528D3215"/>
    <w:rsid w:val="528F414F"/>
    <w:rsid w:val="528F5E6A"/>
    <w:rsid w:val="52911BE2"/>
    <w:rsid w:val="529238D0"/>
    <w:rsid w:val="52952D55"/>
    <w:rsid w:val="52992845"/>
    <w:rsid w:val="529A68C0"/>
    <w:rsid w:val="529D47B4"/>
    <w:rsid w:val="52A03BD4"/>
    <w:rsid w:val="52A13E09"/>
    <w:rsid w:val="52A24EDF"/>
    <w:rsid w:val="52A64F62"/>
    <w:rsid w:val="52A6631B"/>
    <w:rsid w:val="52A87B20"/>
    <w:rsid w:val="52AD5614"/>
    <w:rsid w:val="52B07B8F"/>
    <w:rsid w:val="52B10398"/>
    <w:rsid w:val="52B12FC8"/>
    <w:rsid w:val="52B15DE1"/>
    <w:rsid w:val="52B2051B"/>
    <w:rsid w:val="52B21DE9"/>
    <w:rsid w:val="52B549D4"/>
    <w:rsid w:val="52B577D9"/>
    <w:rsid w:val="52BB6EF5"/>
    <w:rsid w:val="52BC4786"/>
    <w:rsid w:val="52C13B4A"/>
    <w:rsid w:val="52C2237B"/>
    <w:rsid w:val="52C31EF8"/>
    <w:rsid w:val="52C35B14"/>
    <w:rsid w:val="52C378C2"/>
    <w:rsid w:val="52C408DC"/>
    <w:rsid w:val="52C5363A"/>
    <w:rsid w:val="52C655C1"/>
    <w:rsid w:val="52C67E3B"/>
    <w:rsid w:val="52CA0C50"/>
    <w:rsid w:val="52CA50F4"/>
    <w:rsid w:val="52CB2BC7"/>
    <w:rsid w:val="52CB6777"/>
    <w:rsid w:val="52CC46D6"/>
    <w:rsid w:val="52CF1681"/>
    <w:rsid w:val="52CF6267"/>
    <w:rsid w:val="52D0439D"/>
    <w:rsid w:val="52D07D51"/>
    <w:rsid w:val="52D10F35"/>
    <w:rsid w:val="52D14D68"/>
    <w:rsid w:val="52D2613E"/>
    <w:rsid w:val="52D2640B"/>
    <w:rsid w:val="52D472AF"/>
    <w:rsid w:val="52DB0CF3"/>
    <w:rsid w:val="52DC1741"/>
    <w:rsid w:val="52DC5DD7"/>
    <w:rsid w:val="52DE17D2"/>
    <w:rsid w:val="52DE294E"/>
    <w:rsid w:val="52DE67EB"/>
    <w:rsid w:val="52E03DF3"/>
    <w:rsid w:val="52E25E8A"/>
    <w:rsid w:val="52E74282"/>
    <w:rsid w:val="52E84134"/>
    <w:rsid w:val="52E87329"/>
    <w:rsid w:val="52EA601B"/>
    <w:rsid w:val="52EE5B1F"/>
    <w:rsid w:val="52EE60C3"/>
    <w:rsid w:val="52EF239F"/>
    <w:rsid w:val="52F142C7"/>
    <w:rsid w:val="52F1442F"/>
    <w:rsid w:val="52F201A7"/>
    <w:rsid w:val="52F41284"/>
    <w:rsid w:val="52F514E3"/>
    <w:rsid w:val="52F55204"/>
    <w:rsid w:val="52F749BC"/>
    <w:rsid w:val="52FE111C"/>
    <w:rsid w:val="530028C4"/>
    <w:rsid w:val="530103EA"/>
    <w:rsid w:val="5303022D"/>
    <w:rsid w:val="5304480F"/>
    <w:rsid w:val="5305222A"/>
    <w:rsid w:val="53061DFB"/>
    <w:rsid w:val="530C1269"/>
    <w:rsid w:val="530C5D51"/>
    <w:rsid w:val="530E0597"/>
    <w:rsid w:val="531030E6"/>
    <w:rsid w:val="53114AD1"/>
    <w:rsid w:val="531445C2"/>
    <w:rsid w:val="53165C44"/>
    <w:rsid w:val="531719BC"/>
    <w:rsid w:val="531B287C"/>
    <w:rsid w:val="531B5950"/>
    <w:rsid w:val="531F40E8"/>
    <w:rsid w:val="531F5156"/>
    <w:rsid w:val="53202487"/>
    <w:rsid w:val="53210E69"/>
    <w:rsid w:val="5321528A"/>
    <w:rsid w:val="53227773"/>
    <w:rsid w:val="53252830"/>
    <w:rsid w:val="532760A3"/>
    <w:rsid w:val="53291051"/>
    <w:rsid w:val="53291F74"/>
    <w:rsid w:val="53294C7A"/>
    <w:rsid w:val="53296821"/>
    <w:rsid w:val="532B537A"/>
    <w:rsid w:val="532C190B"/>
    <w:rsid w:val="532F2E1B"/>
    <w:rsid w:val="532F384D"/>
    <w:rsid w:val="5330290C"/>
    <w:rsid w:val="53307046"/>
    <w:rsid w:val="533169C0"/>
    <w:rsid w:val="533233BC"/>
    <w:rsid w:val="53324A7E"/>
    <w:rsid w:val="533407C0"/>
    <w:rsid w:val="53350C47"/>
    <w:rsid w:val="53360094"/>
    <w:rsid w:val="53373E0C"/>
    <w:rsid w:val="533804A1"/>
    <w:rsid w:val="5338205E"/>
    <w:rsid w:val="53386908"/>
    <w:rsid w:val="53391534"/>
    <w:rsid w:val="53395DD6"/>
    <w:rsid w:val="53396991"/>
    <w:rsid w:val="533C75C3"/>
    <w:rsid w:val="533E2C2E"/>
    <w:rsid w:val="53407165"/>
    <w:rsid w:val="53440463"/>
    <w:rsid w:val="5345477B"/>
    <w:rsid w:val="53461D7D"/>
    <w:rsid w:val="53462B68"/>
    <w:rsid w:val="534722A1"/>
    <w:rsid w:val="534A1D91"/>
    <w:rsid w:val="534F452F"/>
    <w:rsid w:val="534F7FC7"/>
    <w:rsid w:val="53502577"/>
    <w:rsid w:val="53533D66"/>
    <w:rsid w:val="53536E98"/>
    <w:rsid w:val="53582700"/>
    <w:rsid w:val="53596AE2"/>
    <w:rsid w:val="535F46F6"/>
    <w:rsid w:val="53620E89"/>
    <w:rsid w:val="536304C9"/>
    <w:rsid w:val="5363530B"/>
    <w:rsid w:val="53654E1D"/>
    <w:rsid w:val="536746F1"/>
    <w:rsid w:val="536C61AC"/>
    <w:rsid w:val="536F7921"/>
    <w:rsid w:val="536F7A4A"/>
    <w:rsid w:val="53700621"/>
    <w:rsid w:val="537137C2"/>
    <w:rsid w:val="53715570"/>
    <w:rsid w:val="5371731E"/>
    <w:rsid w:val="53737A7F"/>
    <w:rsid w:val="5375314A"/>
    <w:rsid w:val="5378493D"/>
    <w:rsid w:val="537A08C9"/>
    <w:rsid w:val="537A5AF6"/>
    <w:rsid w:val="537E0945"/>
    <w:rsid w:val="537F1E88"/>
    <w:rsid w:val="537F7C8D"/>
    <w:rsid w:val="53825BCE"/>
    <w:rsid w:val="5383446C"/>
    <w:rsid w:val="53861634"/>
    <w:rsid w:val="53865C3D"/>
    <w:rsid w:val="5386726D"/>
    <w:rsid w:val="538805B1"/>
    <w:rsid w:val="53890B0C"/>
    <w:rsid w:val="538C5F06"/>
    <w:rsid w:val="539354E6"/>
    <w:rsid w:val="53941F79"/>
    <w:rsid w:val="53955C1B"/>
    <w:rsid w:val="53980D4F"/>
    <w:rsid w:val="53990623"/>
    <w:rsid w:val="539A13DD"/>
    <w:rsid w:val="539A4AC7"/>
    <w:rsid w:val="53A019B1"/>
    <w:rsid w:val="53A039CC"/>
    <w:rsid w:val="53A1505A"/>
    <w:rsid w:val="53A45945"/>
    <w:rsid w:val="53A70F92"/>
    <w:rsid w:val="53A72D40"/>
    <w:rsid w:val="53AB6CD4"/>
    <w:rsid w:val="53B06098"/>
    <w:rsid w:val="53B17B75"/>
    <w:rsid w:val="53B813F1"/>
    <w:rsid w:val="53B86CFB"/>
    <w:rsid w:val="53BA0CC5"/>
    <w:rsid w:val="53BA37DA"/>
    <w:rsid w:val="53BD07B5"/>
    <w:rsid w:val="53C02172"/>
    <w:rsid w:val="53C05BF1"/>
    <w:rsid w:val="53C102A5"/>
    <w:rsid w:val="53C1222A"/>
    <w:rsid w:val="53C24CC5"/>
    <w:rsid w:val="53C25DCC"/>
    <w:rsid w:val="53C31C9C"/>
    <w:rsid w:val="53C6731B"/>
    <w:rsid w:val="53C75190"/>
    <w:rsid w:val="53C76A07"/>
    <w:rsid w:val="53C87D08"/>
    <w:rsid w:val="53C93E27"/>
    <w:rsid w:val="53CB2ED2"/>
    <w:rsid w:val="53CC6C4A"/>
    <w:rsid w:val="53CD533D"/>
    <w:rsid w:val="53D20ECE"/>
    <w:rsid w:val="53D31D87"/>
    <w:rsid w:val="53D55AFF"/>
    <w:rsid w:val="53D65FB2"/>
    <w:rsid w:val="53D8114B"/>
    <w:rsid w:val="53D974CD"/>
    <w:rsid w:val="53DA6DE7"/>
    <w:rsid w:val="53DB6E8D"/>
    <w:rsid w:val="53DF24DA"/>
    <w:rsid w:val="53E35DA7"/>
    <w:rsid w:val="53E43F94"/>
    <w:rsid w:val="53E53868"/>
    <w:rsid w:val="53E67D0C"/>
    <w:rsid w:val="53E77541"/>
    <w:rsid w:val="53E915AA"/>
    <w:rsid w:val="53E977FC"/>
    <w:rsid w:val="53EA77CC"/>
    <w:rsid w:val="53EC5495"/>
    <w:rsid w:val="53EE020A"/>
    <w:rsid w:val="53EE096F"/>
    <w:rsid w:val="53EE716F"/>
    <w:rsid w:val="53F27EEC"/>
    <w:rsid w:val="53F73CC7"/>
    <w:rsid w:val="53F801E0"/>
    <w:rsid w:val="53F91F4D"/>
    <w:rsid w:val="53F97804"/>
    <w:rsid w:val="53FC752F"/>
    <w:rsid w:val="54001137"/>
    <w:rsid w:val="5400382F"/>
    <w:rsid w:val="54003E1F"/>
    <w:rsid w:val="54017B63"/>
    <w:rsid w:val="5402266C"/>
    <w:rsid w:val="54041F40"/>
    <w:rsid w:val="54053401"/>
    <w:rsid w:val="54063E08"/>
    <w:rsid w:val="54085ED4"/>
    <w:rsid w:val="540939FA"/>
    <w:rsid w:val="540C482A"/>
    <w:rsid w:val="54103461"/>
    <w:rsid w:val="54104D89"/>
    <w:rsid w:val="54134879"/>
    <w:rsid w:val="541648ED"/>
    <w:rsid w:val="54176117"/>
    <w:rsid w:val="54183C3E"/>
    <w:rsid w:val="5419609C"/>
    <w:rsid w:val="541F4FCC"/>
    <w:rsid w:val="54210D44"/>
    <w:rsid w:val="54212AF2"/>
    <w:rsid w:val="54220C82"/>
    <w:rsid w:val="54224ABC"/>
    <w:rsid w:val="54246E44"/>
    <w:rsid w:val="542D7083"/>
    <w:rsid w:val="542E16B3"/>
    <w:rsid w:val="543071D9"/>
    <w:rsid w:val="54332DEA"/>
    <w:rsid w:val="543437E8"/>
    <w:rsid w:val="543547EF"/>
    <w:rsid w:val="543635C9"/>
    <w:rsid w:val="54374A2A"/>
    <w:rsid w:val="5438608E"/>
    <w:rsid w:val="54387E3C"/>
    <w:rsid w:val="543C209D"/>
    <w:rsid w:val="543C60B0"/>
    <w:rsid w:val="543D36A4"/>
    <w:rsid w:val="543E18F6"/>
    <w:rsid w:val="543E4E4F"/>
    <w:rsid w:val="543E6E60"/>
    <w:rsid w:val="54402908"/>
    <w:rsid w:val="5445088F"/>
    <w:rsid w:val="54462559"/>
    <w:rsid w:val="544762D1"/>
    <w:rsid w:val="54482775"/>
    <w:rsid w:val="54484523"/>
    <w:rsid w:val="5449029B"/>
    <w:rsid w:val="544A1CBB"/>
    <w:rsid w:val="544A440A"/>
    <w:rsid w:val="544C214C"/>
    <w:rsid w:val="544F3D46"/>
    <w:rsid w:val="54503D36"/>
    <w:rsid w:val="545159CB"/>
    <w:rsid w:val="54520EFE"/>
    <w:rsid w:val="54524925"/>
    <w:rsid w:val="54534C76"/>
    <w:rsid w:val="545365AD"/>
    <w:rsid w:val="5455279C"/>
    <w:rsid w:val="54553198"/>
    <w:rsid w:val="545729B8"/>
    <w:rsid w:val="545954BD"/>
    <w:rsid w:val="5459595F"/>
    <w:rsid w:val="546134AB"/>
    <w:rsid w:val="54613836"/>
    <w:rsid w:val="54617393"/>
    <w:rsid w:val="546244EA"/>
    <w:rsid w:val="54640C31"/>
    <w:rsid w:val="546926EB"/>
    <w:rsid w:val="546B1FBF"/>
    <w:rsid w:val="546B727B"/>
    <w:rsid w:val="546F5568"/>
    <w:rsid w:val="546F5E15"/>
    <w:rsid w:val="54732E7B"/>
    <w:rsid w:val="54734B5F"/>
    <w:rsid w:val="5473580C"/>
    <w:rsid w:val="54737279"/>
    <w:rsid w:val="5474356A"/>
    <w:rsid w:val="54754BEC"/>
    <w:rsid w:val="54781A6B"/>
    <w:rsid w:val="54781E2D"/>
    <w:rsid w:val="5479292E"/>
    <w:rsid w:val="547A7BEB"/>
    <w:rsid w:val="547B1ED4"/>
    <w:rsid w:val="547C1CB4"/>
    <w:rsid w:val="54817A35"/>
    <w:rsid w:val="54824F15"/>
    <w:rsid w:val="54825801"/>
    <w:rsid w:val="548273B9"/>
    <w:rsid w:val="54867AE5"/>
    <w:rsid w:val="5488491F"/>
    <w:rsid w:val="548B2661"/>
    <w:rsid w:val="548B3735"/>
    <w:rsid w:val="548E3F00"/>
    <w:rsid w:val="548E5CAE"/>
    <w:rsid w:val="548F34D3"/>
    <w:rsid w:val="54901A26"/>
    <w:rsid w:val="54930205"/>
    <w:rsid w:val="5495528E"/>
    <w:rsid w:val="5495703C"/>
    <w:rsid w:val="54960F6C"/>
    <w:rsid w:val="54992FD0"/>
    <w:rsid w:val="549E4143"/>
    <w:rsid w:val="54A14F65"/>
    <w:rsid w:val="54A3041D"/>
    <w:rsid w:val="54A44DCE"/>
    <w:rsid w:val="54A454D1"/>
    <w:rsid w:val="54A85D17"/>
    <w:rsid w:val="54AB4AB2"/>
    <w:rsid w:val="54AE4E22"/>
    <w:rsid w:val="54B624B1"/>
    <w:rsid w:val="54B62B7A"/>
    <w:rsid w:val="54B6421E"/>
    <w:rsid w:val="54B716A8"/>
    <w:rsid w:val="54B93930"/>
    <w:rsid w:val="54BD3B6E"/>
    <w:rsid w:val="54BF6693"/>
    <w:rsid w:val="54C0055D"/>
    <w:rsid w:val="54C31DFB"/>
    <w:rsid w:val="54C47921"/>
    <w:rsid w:val="54C51142"/>
    <w:rsid w:val="54C55925"/>
    <w:rsid w:val="54C620F1"/>
    <w:rsid w:val="54C6369A"/>
    <w:rsid w:val="54C87412"/>
    <w:rsid w:val="54C94D03"/>
    <w:rsid w:val="54CA2F2A"/>
    <w:rsid w:val="54CD67D6"/>
    <w:rsid w:val="54D11F45"/>
    <w:rsid w:val="54D31215"/>
    <w:rsid w:val="54D36316"/>
    <w:rsid w:val="54D507A1"/>
    <w:rsid w:val="54D74CD6"/>
    <w:rsid w:val="54D75338"/>
    <w:rsid w:val="54D758A7"/>
    <w:rsid w:val="54D80CE4"/>
    <w:rsid w:val="54D90CE1"/>
    <w:rsid w:val="54DF16B0"/>
    <w:rsid w:val="54E1724C"/>
    <w:rsid w:val="54E63D3C"/>
    <w:rsid w:val="54E707AD"/>
    <w:rsid w:val="54E838A9"/>
    <w:rsid w:val="54EA32CB"/>
    <w:rsid w:val="54EA5427"/>
    <w:rsid w:val="54EA63E7"/>
    <w:rsid w:val="54EB2E5C"/>
    <w:rsid w:val="54EC41F2"/>
    <w:rsid w:val="54EC6FA8"/>
    <w:rsid w:val="54EF499E"/>
    <w:rsid w:val="54F46459"/>
    <w:rsid w:val="54F50220"/>
    <w:rsid w:val="54F50E15"/>
    <w:rsid w:val="54F629AF"/>
    <w:rsid w:val="54F63F7F"/>
    <w:rsid w:val="54F71AA5"/>
    <w:rsid w:val="54F73313"/>
    <w:rsid w:val="54F80955"/>
    <w:rsid w:val="54F97CC0"/>
    <w:rsid w:val="54FA1AEE"/>
    <w:rsid w:val="54FB1595"/>
    <w:rsid w:val="54FB73B2"/>
    <w:rsid w:val="54FC1944"/>
    <w:rsid w:val="54FF095A"/>
    <w:rsid w:val="54FF1457"/>
    <w:rsid w:val="55004DFD"/>
    <w:rsid w:val="55007E3F"/>
    <w:rsid w:val="55020B76"/>
    <w:rsid w:val="5507618C"/>
    <w:rsid w:val="550E521B"/>
    <w:rsid w:val="550F5041"/>
    <w:rsid w:val="55110F25"/>
    <w:rsid w:val="551268DF"/>
    <w:rsid w:val="55164621"/>
    <w:rsid w:val="55190DB7"/>
    <w:rsid w:val="551A4038"/>
    <w:rsid w:val="551C150B"/>
    <w:rsid w:val="551C775D"/>
    <w:rsid w:val="551E4E3D"/>
    <w:rsid w:val="55254864"/>
    <w:rsid w:val="55264138"/>
    <w:rsid w:val="55273926"/>
    <w:rsid w:val="552A50F6"/>
    <w:rsid w:val="552C1279"/>
    <w:rsid w:val="552C79A0"/>
    <w:rsid w:val="552D00E4"/>
    <w:rsid w:val="552D7017"/>
    <w:rsid w:val="552E4404"/>
    <w:rsid w:val="552F56E3"/>
    <w:rsid w:val="55306D65"/>
    <w:rsid w:val="55320BC7"/>
    <w:rsid w:val="5536081F"/>
    <w:rsid w:val="55363F72"/>
    <w:rsid w:val="553823AA"/>
    <w:rsid w:val="55384597"/>
    <w:rsid w:val="55391239"/>
    <w:rsid w:val="553C4EF4"/>
    <w:rsid w:val="55456CB4"/>
    <w:rsid w:val="55471138"/>
    <w:rsid w:val="55476BA5"/>
    <w:rsid w:val="55480552"/>
    <w:rsid w:val="554903B5"/>
    <w:rsid w:val="554911AB"/>
    <w:rsid w:val="554A53C7"/>
    <w:rsid w:val="554A6079"/>
    <w:rsid w:val="554C7487"/>
    <w:rsid w:val="554D154C"/>
    <w:rsid w:val="554D5B69"/>
    <w:rsid w:val="555170A7"/>
    <w:rsid w:val="55517407"/>
    <w:rsid w:val="555313D1"/>
    <w:rsid w:val="55570796"/>
    <w:rsid w:val="55572544"/>
    <w:rsid w:val="555C60DD"/>
    <w:rsid w:val="555E317E"/>
    <w:rsid w:val="55603AEE"/>
    <w:rsid w:val="55630EE8"/>
    <w:rsid w:val="55654C60"/>
    <w:rsid w:val="556765F3"/>
    <w:rsid w:val="556C3EC5"/>
    <w:rsid w:val="556C5FEF"/>
    <w:rsid w:val="557001C5"/>
    <w:rsid w:val="55701E8B"/>
    <w:rsid w:val="55737748"/>
    <w:rsid w:val="55755326"/>
    <w:rsid w:val="557704D6"/>
    <w:rsid w:val="55772D59"/>
    <w:rsid w:val="55772D83"/>
    <w:rsid w:val="557973EA"/>
    <w:rsid w:val="557A188C"/>
    <w:rsid w:val="557A1B73"/>
    <w:rsid w:val="557B4484"/>
    <w:rsid w:val="557E3053"/>
    <w:rsid w:val="557F5057"/>
    <w:rsid w:val="55805F3E"/>
    <w:rsid w:val="55817B3D"/>
    <w:rsid w:val="55836CDE"/>
    <w:rsid w:val="55855303"/>
    <w:rsid w:val="55871BE2"/>
    <w:rsid w:val="5587536D"/>
    <w:rsid w:val="55883651"/>
    <w:rsid w:val="55884CDF"/>
    <w:rsid w:val="558A0676"/>
    <w:rsid w:val="558A0B6B"/>
    <w:rsid w:val="558A46C7"/>
    <w:rsid w:val="558C6691"/>
    <w:rsid w:val="558F1CDD"/>
    <w:rsid w:val="558F337B"/>
    <w:rsid w:val="559460F2"/>
    <w:rsid w:val="559718B3"/>
    <w:rsid w:val="559A020C"/>
    <w:rsid w:val="559B174B"/>
    <w:rsid w:val="559B4B26"/>
    <w:rsid w:val="559D089E"/>
    <w:rsid w:val="559D264C"/>
    <w:rsid w:val="559E0172"/>
    <w:rsid w:val="55A0038E"/>
    <w:rsid w:val="55A04B75"/>
    <w:rsid w:val="55A4687A"/>
    <w:rsid w:val="55A66F5D"/>
    <w:rsid w:val="55A751C7"/>
    <w:rsid w:val="55A75279"/>
    <w:rsid w:val="55AA4D69"/>
    <w:rsid w:val="55AC4474"/>
    <w:rsid w:val="55AE098D"/>
    <w:rsid w:val="55AF412E"/>
    <w:rsid w:val="55B0381F"/>
    <w:rsid w:val="55B1434A"/>
    <w:rsid w:val="55B27587"/>
    <w:rsid w:val="55B300C2"/>
    <w:rsid w:val="55B31E70"/>
    <w:rsid w:val="55B42D67"/>
    <w:rsid w:val="55B654BC"/>
    <w:rsid w:val="55B84EF1"/>
    <w:rsid w:val="55B90A41"/>
    <w:rsid w:val="55B939DA"/>
    <w:rsid w:val="55BA1450"/>
    <w:rsid w:val="55BD4A9D"/>
    <w:rsid w:val="55BF0815"/>
    <w:rsid w:val="55C11DFD"/>
    <w:rsid w:val="55C20786"/>
    <w:rsid w:val="55C33F8F"/>
    <w:rsid w:val="55C45E2B"/>
    <w:rsid w:val="55C73B6D"/>
    <w:rsid w:val="55C776C9"/>
    <w:rsid w:val="55C833FF"/>
    <w:rsid w:val="55CB3A4F"/>
    <w:rsid w:val="55CB4AF9"/>
    <w:rsid w:val="55CD1F85"/>
    <w:rsid w:val="55CE0CF4"/>
    <w:rsid w:val="55CE28E6"/>
    <w:rsid w:val="55D00FC2"/>
    <w:rsid w:val="55D05526"/>
    <w:rsid w:val="55D10548"/>
    <w:rsid w:val="55D10810"/>
    <w:rsid w:val="55D24DC6"/>
    <w:rsid w:val="55D43B94"/>
    <w:rsid w:val="55D52547"/>
    <w:rsid w:val="55D55289"/>
    <w:rsid w:val="55D63DB0"/>
    <w:rsid w:val="55D760FD"/>
    <w:rsid w:val="55D818D6"/>
    <w:rsid w:val="55DA4E05"/>
    <w:rsid w:val="55DA564E"/>
    <w:rsid w:val="55DD6EED"/>
    <w:rsid w:val="55DF4A13"/>
    <w:rsid w:val="55E063F0"/>
    <w:rsid w:val="55E24503"/>
    <w:rsid w:val="55E40194"/>
    <w:rsid w:val="55E42029"/>
    <w:rsid w:val="55E97640"/>
    <w:rsid w:val="55E97DC8"/>
    <w:rsid w:val="55EB3A4C"/>
    <w:rsid w:val="55EC7414"/>
    <w:rsid w:val="55EE2EA8"/>
    <w:rsid w:val="55F14746"/>
    <w:rsid w:val="55F1696A"/>
    <w:rsid w:val="55F304BE"/>
    <w:rsid w:val="55F369A8"/>
    <w:rsid w:val="55F4140B"/>
    <w:rsid w:val="55F81F79"/>
    <w:rsid w:val="55F96A1B"/>
    <w:rsid w:val="55FA184D"/>
    <w:rsid w:val="55FB7373"/>
    <w:rsid w:val="55FF423D"/>
    <w:rsid w:val="56020701"/>
    <w:rsid w:val="56037C21"/>
    <w:rsid w:val="56054D4C"/>
    <w:rsid w:val="560936FE"/>
    <w:rsid w:val="560A3AE7"/>
    <w:rsid w:val="560C1580"/>
    <w:rsid w:val="560C6F4D"/>
    <w:rsid w:val="560E7608"/>
    <w:rsid w:val="560F3C27"/>
    <w:rsid w:val="56102E1E"/>
    <w:rsid w:val="56114DE8"/>
    <w:rsid w:val="561369BB"/>
    <w:rsid w:val="561777AC"/>
    <w:rsid w:val="5618214D"/>
    <w:rsid w:val="56186177"/>
    <w:rsid w:val="56195611"/>
    <w:rsid w:val="561B0E16"/>
    <w:rsid w:val="561B59EB"/>
    <w:rsid w:val="561B7A15"/>
    <w:rsid w:val="561C6F47"/>
    <w:rsid w:val="561C787C"/>
    <w:rsid w:val="561F0B20"/>
    <w:rsid w:val="561F2E19"/>
    <w:rsid w:val="561F4B08"/>
    <w:rsid w:val="561F7505"/>
    <w:rsid w:val="56222349"/>
    <w:rsid w:val="562468CA"/>
    <w:rsid w:val="562552D3"/>
    <w:rsid w:val="562570A6"/>
    <w:rsid w:val="562763BA"/>
    <w:rsid w:val="5629377A"/>
    <w:rsid w:val="562B06A5"/>
    <w:rsid w:val="562B41D1"/>
    <w:rsid w:val="562B5EAA"/>
    <w:rsid w:val="562E14F6"/>
    <w:rsid w:val="56324007"/>
    <w:rsid w:val="56334D5F"/>
    <w:rsid w:val="56365AA5"/>
    <w:rsid w:val="56365CDD"/>
    <w:rsid w:val="563805C7"/>
    <w:rsid w:val="56397B3F"/>
    <w:rsid w:val="563A03BB"/>
    <w:rsid w:val="563C00B7"/>
    <w:rsid w:val="563D1091"/>
    <w:rsid w:val="563F1955"/>
    <w:rsid w:val="56424FA2"/>
    <w:rsid w:val="56440D1A"/>
    <w:rsid w:val="56446A88"/>
    <w:rsid w:val="56446F6C"/>
    <w:rsid w:val="56452A41"/>
    <w:rsid w:val="56466840"/>
    <w:rsid w:val="56491E33"/>
    <w:rsid w:val="56496330"/>
    <w:rsid w:val="564A438F"/>
    <w:rsid w:val="564C5E20"/>
    <w:rsid w:val="564C7BCE"/>
    <w:rsid w:val="564F5D94"/>
    <w:rsid w:val="56504CA1"/>
    <w:rsid w:val="565076BF"/>
    <w:rsid w:val="56521689"/>
    <w:rsid w:val="56525419"/>
    <w:rsid w:val="56535401"/>
    <w:rsid w:val="565371AF"/>
    <w:rsid w:val="56552F27"/>
    <w:rsid w:val="56593FE2"/>
    <w:rsid w:val="565A129C"/>
    <w:rsid w:val="565B6BB1"/>
    <w:rsid w:val="565C42B5"/>
    <w:rsid w:val="565E489A"/>
    <w:rsid w:val="56623888"/>
    <w:rsid w:val="5664481C"/>
    <w:rsid w:val="566466EE"/>
    <w:rsid w:val="566556CB"/>
    <w:rsid w:val="56665134"/>
    <w:rsid w:val="56674A08"/>
    <w:rsid w:val="56684878"/>
    <w:rsid w:val="56686DD2"/>
    <w:rsid w:val="566B274A"/>
    <w:rsid w:val="566B44F9"/>
    <w:rsid w:val="566D64C3"/>
    <w:rsid w:val="566F0C42"/>
    <w:rsid w:val="56701B0F"/>
    <w:rsid w:val="5672073A"/>
    <w:rsid w:val="56731A74"/>
    <w:rsid w:val="56772E9D"/>
    <w:rsid w:val="567E3647"/>
    <w:rsid w:val="56835CE6"/>
    <w:rsid w:val="5685465E"/>
    <w:rsid w:val="56856325"/>
    <w:rsid w:val="56887384"/>
    <w:rsid w:val="56890E23"/>
    <w:rsid w:val="56893F91"/>
    <w:rsid w:val="568C6D26"/>
    <w:rsid w:val="568D469A"/>
    <w:rsid w:val="56900687"/>
    <w:rsid w:val="56905D0D"/>
    <w:rsid w:val="56923A7D"/>
    <w:rsid w:val="56935CDD"/>
    <w:rsid w:val="569469C1"/>
    <w:rsid w:val="56982E14"/>
    <w:rsid w:val="569A4DDE"/>
    <w:rsid w:val="56A1066D"/>
    <w:rsid w:val="56A37D10"/>
    <w:rsid w:val="56A51B5C"/>
    <w:rsid w:val="56A97AC4"/>
    <w:rsid w:val="56AB6FEB"/>
    <w:rsid w:val="56B22A9C"/>
    <w:rsid w:val="56B23D6F"/>
    <w:rsid w:val="56B47A82"/>
    <w:rsid w:val="56B508FF"/>
    <w:rsid w:val="56B50FF8"/>
    <w:rsid w:val="56B53AC9"/>
    <w:rsid w:val="56B80CAA"/>
    <w:rsid w:val="56B92473"/>
    <w:rsid w:val="56BB0F5D"/>
    <w:rsid w:val="56BD287A"/>
    <w:rsid w:val="56BF65F2"/>
    <w:rsid w:val="56C56D88"/>
    <w:rsid w:val="56C97471"/>
    <w:rsid w:val="56CD3592"/>
    <w:rsid w:val="56CF2CD9"/>
    <w:rsid w:val="56D06A51"/>
    <w:rsid w:val="56D24B4C"/>
    <w:rsid w:val="56D26326"/>
    <w:rsid w:val="56D976B4"/>
    <w:rsid w:val="56D97F60"/>
    <w:rsid w:val="56DA09D8"/>
    <w:rsid w:val="56DA151A"/>
    <w:rsid w:val="56DB78D0"/>
    <w:rsid w:val="56DC71A4"/>
    <w:rsid w:val="56DE4CCA"/>
    <w:rsid w:val="56DF56F7"/>
    <w:rsid w:val="56DF6C95"/>
    <w:rsid w:val="56E2117C"/>
    <w:rsid w:val="56E21976"/>
    <w:rsid w:val="56E379EF"/>
    <w:rsid w:val="56E46059"/>
    <w:rsid w:val="56E542AB"/>
    <w:rsid w:val="56E66275"/>
    <w:rsid w:val="56E86972"/>
    <w:rsid w:val="56EB5639"/>
    <w:rsid w:val="56ED13B1"/>
    <w:rsid w:val="56EE61CB"/>
    <w:rsid w:val="56F1419A"/>
    <w:rsid w:val="56F50266"/>
    <w:rsid w:val="56F73FDE"/>
    <w:rsid w:val="56F91B04"/>
    <w:rsid w:val="56FA762A"/>
    <w:rsid w:val="56FD49C9"/>
    <w:rsid w:val="56FE536D"/>
    <w:rsid w:val="57034731"/>
    <w:rsid w:val="57051337"/>
    <w:rsid w:val="570603D8"/>
    <w:rsid w:val="57064221"/>
    <w:rsid w:val="570707BA"/>
    <w:rsid w:val="57107EAC"/>
    <w:rsid w:val="571140F1"/>
    <w:rsid w:val="57115B7E"/>
    <w:rsid w:val="57120798"/>
    <w:rsid w:val="5712706A"/>
    <w:rsid w:val="57141269"/>
    <w:rsid w:val="571701DC"/>
    <w:rsid w:val="571905EA"/>
    <w:rsid w:val="571C2784"/>
    <w:rsid w:val="571E4B77"/>
    <w:rsid w:val="57207153"/>
    <w:rsid w:val="57250B4B"/>
    <w:rsid w:val="57272B15"/>
    <w:rsid w:val="572746C7"/>
    <w:rsid w:val="572A6725"/>
    <w:rsid w:val="572B1EDA"/>
    <w:rsid w:val="572D02C8"/>
    <w:rsid w:val="572D273B"/>
    <w:rsid w:val="572E03A6"/>
    <w:rsid w:val="573026E4"/>
    <w:rsid w:val="57321C48"/>
    <w:rsid w:val="57331B83"/>
    <w:rsid w:val="57332B6C"/>
    <w:rsid w:val="573A1FBB"/>
    <w:rsid w:val="573A56B8"/>
    <w:rsid w:val="573B6FBA"/>
    <w:rsid w:val="573C5E95"/>
    <w:rsid w:val="573D02BA"/>
    <w:rsid w:val="573F0BFC"/>
    <w:rsid w:val="57410193"/>
    <w:rsid w:val="57423D02"/>
    <w:rsid w:val="574511ED"/>
    <w:rsid w:val="57457141"/>
    <w:rsid w:val="5746437F"/>
    <w:rsid w:val="57497F71"/>
    <w:rsid w:val="574A2360"/>
    <w:rsid w:val="574B37AD"/>
    <w:rsid w:val="574B51B8"/>
    <w:rsid w:val="574F203B"/>
    <w:rsid w:val="574F5BC8"/>
    <w:rsid w:val="57511940"/>
    <w:rsid w:val="57524E1E"/>
    <w:rsid w:val="575B27BF"/>
    <w:rsid w:val="575D5EEA"/>
    <w:rsid w:val="57603931"/>
    <w:rsid w:val="576176AA"/>
    <w:rsid w:val="576304E5"/>
    <w:rsid w:val="57633422"/>
    <w:rsid w:val="576359DC"/>
    <w:rsid w:val="57664CC0"/>
    <w:rsid w:val="57686C8A"/>
    <w:rsid w:val="576B57EF"/>
    <w:rsid w:val="576C0528"/>
    <w:rsid w:val="576D7A60"/>
    <w:rsid w:val="577132BE"/>
    <w:rsid w:val="57713D91"/>
    <w:rsid w:val="577467E6"/>
    <w:rsid w:val="577B69BD"/>
    <w:rsid w:val="577C4002"/>
    <w:rsid w:val="577E200A"/>
    <w:rsid w:val="577E64AD"/>
    <w:rsid w:val="577F4D69"/>
    <w:rsid w:val="57833AC4"/>
    <w:rsid w:val="57835872"/>
    <w:rsid w:val="578515EA"/>
    <w:rsid w:val="57875362"/>
    <w:rsid w:val="57882E88"/>
    <w:rsid w:val="57896BCD"/>
    <w:rsid w:val="578A6C00"/>
    <w:rsid w:val="578D049F"/>
    <w:rsid w:val="578E1811"/>
    <w:rsid w:val="578F4217"/>
    <w:rsid w:val="57923D07"/>
    <w:rsid w:val="579358E9"/>
    <w:rsid w:val="57947A7F"/>
    <w:rsid w:val="5797131D"/>
    <w:rsid w:val="57995095"/>
    <w:rsid w:val="579E445A"/>
    <w:rsid w:val="579F6B34"/>
    <w:rsid w:val="57A34050"/>
    <w:rsid w:val="57A557E8"/>
    <w:rsid w:val="57A71560"/>
    <w:rsid w:val="57A777B2"/>
    <w:rsid w:val="57A80DFC"/>
    <w:rsid w:val="57A8672B"/>
    <w:rsid w:val="57A902FE"/>
    <w:rsid w:val="57A91116"/>
    <w:rsid w:val="57AA79A3"/>
    <w:rsid w:val="57AC0CEA"/>
    <w:rsid w:val="57AF48B9"/>
    <w:rsid w:val="57AF6667"/>
    <w:rsid w:val="57B123DF"/>
    <w:rsid w:val="57B25FFD"/>
    <w:rsid w:val="57B40B41"/>
    <w:rsid w:val="57B62636"/>
    <w:rsid w:val="57B72A76"/>
    <w:rsid w:val="57B804A2"/>
    <w:rsid w:val="57B8376D"/>
    <w:rsid w:val="57BB325E"/>
    <w:rsid w:val="57BC2B32"/>
    <w:rsid w:val="57BD5228"/>
    <w:rsid w:val="57BF2D4E"/>
    <w:rsid w:val="57C10041"/>
    <w:rsid w:val="57C33EC0"/>
    <w:rsid w:val="57C3426C"/>
    <w:rsid w:val="57C64A8F"/>
    <w:rsid w:val="57C66E09"/>
    <w:rsid w:val="57C87729"/>
    <w:rsid w:val="57CA34A1"/>
    <w:rsid w:val="57CA524F"/>
    <w:rsid w:val="57CB55C2"/>
    <w:rsid w:val="57CC4D78"/>
    <w:rsid w:val="57CC546B"/>
    <w:rsid w:val="57CE1F93"/>
    <w:rsid w:val="57CE6BC2"/>
    <w:rsid w:val="57CF67EF"/>
    <w:rsid w:val="57D03CA4"/>
    <w:rsid w:val="57D04F5B"/>
    <w:rsid w:val="57D678F7"/>
    <w:rsid w:val="57D73E6A"/>
    <w:rsid w:val="57D76E00"/>
    <w:rsid w:val="57D8796C"/>
    <w:rsid w:val="57DA163A"/>
    <w:rsid w:val="57DA27E1"/>
    <w:rsid w:val="57DB745C"/>
    <w:rsid w:val="57DE0CFA"/>
    <w:rsid w:val="57DE6F4C"/>
    <w:rsid w:val="57E2517A"/>
    <w:rsid w:val="57E324B4"/>
    <w:rsid w:val="57E44562"/>
    <w:rsid w:val="57E470D8"/>
    <w:rsid w:val="57E500DC"/>
    <w:rsid w:val="57E502DB"/>
    <w:rsid w:val="57E52089"/>
    <w:rsid w:val="57E825BE"/>
    <w:rsid w:val="57E82A8B"/>
    <w:rsid w:val="57E83927"/>
    <w:rsid w:val="57EA3B43"/>
    <w:rsid w:val="57EE718F"/>
    <w:rsid w:val="57F009AB"/>
    <w:rsid w:val="57F052E1"/>
    <w:rsid w:val="57F10A2D"/>
    <w:rsid w:val="57F14ED1"/>
    <w:rsid w:val="57F30C49"/>
    <w:rsid w:val="57F64296"/>
    <w:rsid w:val="57F66044"/>
    <w:rsid w:val="57F95B34"/>
    <w:rsid w:val="57F97641"/>
    <w:rsid w:val="57FA28CF"/>
    <w:rsid w:val="57FA7DB9"/>
    <w:rsid w:val="57FB2F35"/>
    <w:rsid w:val="57FC52CB"/>
    <w:rsid w:val="57FD5808"/>
    <w:rsid w:val="57FE0E61"/>
    <w:rsid w:val="58004F64"/>
    <w:rsid w:val="580249E9"/>
    <w:rsid w:val="580438FD"/>
    <w:rsid w:val="5806643F"/>
    <w:rsid w:val="58092D4F"/>
    <w:rsid w:val="580A1AEF"/>
    <w:rsid w:val="580A4B5A"/>
    <w:rsid w:val="580D3E2E"/>
    <w:rsid w:val="580E5A83"/>
    <w:rsid w:val="581214E6"/>
    <w:rsid w:val="58122B18"/>
    <w:rsid w:val="581308F0"/>
    <w:rsid w:val="58134E48"/>
    <w:rsid w:val="581432DA"/>
    <w:rsid w:val="58150BC0"/>
    <w:rsid w:val="5816406A"/>
    <w:rsid w:val="5818245E"/>
    <w:rsid w:val="58191B8F"/>
    <w:rsid w:val="581A0A47"/>
    <w:rsid w:val="581A61D6"/>
    <w:rsid w:val="581C06CC"/>
    <w:rsid w:val="58242BB1"/>
    <w:rsid w:val="58251F6B"/>
    <w:rsid w:val="58262DCD"/>
    <w:rsid w:val="58276B45"/>
    <w:rsid w:val="582D06FB"/>
    <w:rsid w:val="582E57DE"/>
    <w:rsid w:val="582E5B17"/>
    <w:rsid w:val="58344811"/>
    <w:rsid w:val="58350A83"/>
    <w:rsid w:val="583827A7"/>
    <w:rsid w:val="583848AE"/>
    <w:rsid w:val="583918E7"/>
    <w:rsid w:val="58394451"/>
    <w:rsid w:val="58395194"/>
    <w:rsid w:val="583A23D4"/>
    <w:rsid w:val="583A3465"/>
    <w:rsid w:val="583E0693"/>
    <w:rsid w:val="5842572D"/>
    <w:rsid w:val="58430595"/>
    <w:rsid w:val="58472D43"/>
    <w:rsid w:val="58492617"/>
    <w:rsid w:val="584C587A"/>
    <w:rsid w:val="584C7F00"/>
    <w:rsid w:val="58504A7A"/>
    <w:rsid w:val="58586CFE"/>
    <w:rsid w:val="58595AF8"/>
    <w:rsid w:val="58597584"/>
    <w:rsid w:val="585B7102"/>
    <w:rsid w:val="585D60C3"/>
    <w:rsid w:val="585E661D"/>
    <w:rsid w:val="58627B48"/>
    <w:rsid w:val="58630BE7"/>
    <w:rsid w:val="5866766D"/>
    <w:rsid w:val="58670CF0"/>
    <w:rsid w:val="58676F42"/>
    <w:rsid w:val="58680BE6"/>
    <w:rsid w:val="58692CBA"/>
    <w:rsid w:val="586B4C84"/>
    <w:rsid w:val="586E02D0"/>
    <w:rsid w:val="586E6522"/>
    <w:rsid w:val="586F23FF"/>
    <w:rsid w:val="58705CD7"/>
    <w:rsid w:val="58730519"/>
    <w:rsid w:val="587559C0"/>
    <w:rsid w:val="58766EA9"/>
    <w:rsid w:val="58782EFD"/>
    <w:rsid w:val="5879478F"/>
    <w:rsid w:val="587A3DE6"/>
    <w:rsid w:val="587B116E"/>
    <w:rsid w:val="587E15D2"/>
    <w:rsid w:val="587F24DD"/>
    <w:rsid w:val="587F6039"/>
    <w:rsid w:val="58810003"/>
    <w:rsid w:val="58817574"/>
    <w:rsid w:val="58827AA3"/>
    <w:rsid w:val="5886386C"/>
    <w:rsid w:val="58871392"/>
    <w:rsid w:val="588743D1"/>
    <w:rsid w:val="5887701A"/>
    <w:rsid w:val="58886667"/>
    <w:rsid w:val="588B47DD"/>
    <w:rsid w:val="588E44CE"/>
    <w:rsid w:val="588F434D"/>
    <w:rsid w:val="58913FAE"/>
    <w:rsid w:val="58922210"/>
    <w:rsid w:val="58937D37"/>
    <w:rsid w:val="589464D8"/>
    <w:rsid w:val="58951D01"/>
    <w:rsid w:val="589602EB"/>
    <w:rsid w:val="58987F4D"/>
    <w:rsid w:val="589A2E73"/>
    <w:rsid w:val="589A4A4F"/>
    <w:rsid w:val="589E472E"/>
    <w:rsid w:val="589F1DDF"/>
    <w:rsid w:val="58A14202"/>
    <w:rsid w:val="58A261CC"/>
    <w:rsid w:val="58A40196"/>
    <w:rsid w:val="58A53B18"/>
    <w:rsid w:val="58A56375"/>
    <w:rsid w:val="58A66068"/>
    <w:rsid w:val="58A76131"/>
    <w:rsid w:val="58A837E2"/>
    <w:rsid w:val="58A93C7E"/>
    <w:rsid w:val="58AB6E2E"/>
    <w:rsid w:val="58AC4285"/>
    <w:rsid w:val="58B101BD"/>
    <w:rsid w:val="58B32187"/>
    <w:rsid w:val="58B3437D"/>
    <w:rsid w:val="58BA3146"/>
    <w:rsid w:val="58BB4089"/>
    <w:rsid w:val="58BB468A"/>
    <w:rsid w:val="58BD4DB3"/>
    <w:rsid w:val="58BF1C24"/>
    <w:rsid w:val="58C0554D"/>
    <w:rsid w:val="58C3061C"/>
    <w:rsid w:val="58C44394"/>
    <w:rsid w:val="58C675A2"/>
    <w:rsid w:val="58CB127E"/>
    <w:rsid w:val="58CE0D6F"/>
    <w:rsid w:val="58D00F8B"/>
    <w:rsid w:val="58D11E96"/>
    <w:rsid w:val="58D16AB4"/>
    <w:rsid w:val="58D371DB"/>
    <w:rsid w:val="58D92822"/>
    <w:rsid w:val="58D97E3F"/>
    <w:rsid w:val="58DB4285"/>
    <w:rsid w:val="58DC713D"/>
    <w:rsid w:val="58DD0FB2"/>
    <w:rsid w:val="58DF4E52"/>
    <w:rsid w:val="58E32841"/>
    <w:rsid w:val="58E331D0"/>
    <w:rsid w:val="58E61872"/>
    <w:rsid w:val="58E95BA9"/>
    <w:rsid w:val="58EB7B73"/>
    <w:rsid w:val="58EF1411"/>
    <w:rsid w:val="58F06F37"/>
    <w:rsid w:val="58F217B1"/>
    <w:rsid w:val="58F44C79"/>
    <w:rsid w:val="58F4563D"/>
    <w:rsid w:val="58F509F1"/>
    <w:rsid w:val="58F55FE1"/>
    <w:rsid w:val="58FC036E"/>
    <w:rsid w:val="58FC17B1"/>
    <w:rsid w:val="58FC1B21"/>
    <w:rsid w:val="58FC1F93"/>
    <w:rsid w:val="58FE46B1"/>
    <w:rsid w:val="5900361E"/>
    <w:rsid w:val="59015FE3"/>
    <w:rsid w:val="59017396"/>
    <w:rsid w:val="59044AAB"/>
    <w:rsid w:val="59050C34"/>
    <w:rsid w:val="590947BC"/>
    <w:rsid w:val="590C2033"/>
    <w:rsid w:val="590C3534"/>
    <w:rsid w:val="590E55BC"/>
    <w:rsid w:val="590F022E"/>
    <w:rsid w:val="590F5DD5"/>
    <w:rsid w:val="59101387"/>
    <w:rsid w:val="591016AB"/>
    <w:rsid w:val="59116E1E"/>
    <w:rsid w:val="59123351"/>
    <w:rsid w:val="59135368"/>
    <w:rsid w:val="5919023C"/>
    <w:rsid w:val="5919648E"/>
    <w:rsid w:val="591B1A5F"/>
    <w:rsid w:val="591D0760"/>
    <w:rsid w:val="591E1E80"/>
    <w:rsid w:val="591E3200"/>
    <w:rsid w:val="591E7769"/>
    <w:rsid w:val="59211232"/>
    <w:rsid w:val="59215926"/>
    <w:rsid w:val="5923730C"/>
    <w:rsid w:val="59244D7D"/>
    <w:rsid w:val="59253085"/>
    <w:rsid w:val="59257FE9"/>
    <w:rsid w:val="59266DFD"/>
    <w:rsid w:val="592904E6"/>
    <w:rsid w:val="59295427"/>
    <w:rsid w:val="592A069B"/>
    <w:rsid w:val="592A2449"/>
    <w:rsid w:val="592A2E3A"/>
    <w:rsid w:val="592B356A"/>
    <w:rsid w:val="592B4413"/>
    <w:rsid w:val="592D6E48"/>
    <w:rsid w:val="592F417D"/>
    <w:rsid w:val="59301A29"/>
    <w:rsid w:val="593121B4"/>
    <w:rsid w:val="593212FE"/>
    <w:rsid w:val="5934151A"/>
    <w:rsid w:val="59386693"/>
    <w:rsid w:val="593B3FB8"/>
    <w:rsid w:val="593C3F2A"/>
    <w:rsid w:val="593C582B"/>
    <w:rsid w:val="593E2FE5"/>
    <w:rsid w:val="593E7CA2"/>
    <w:rsid w:val="594279E0"/>
    <w:rsid w:val="59443BAD"/>
    <w:rsid w:val="59457283"/>
    <w:rsid w:val="59480B21"/>
    <w:rsid w:val="594B23BF"/>
    <w:rsid w:val="594B3E71"/>
    <w:rsid w:val="594D25DB"/>
    <w:rsid w:val="595028EE"/>
    <w:rsid w:val="595367A9"/>
    <w:rsid w:val="595474C6"/>
    <w:rsid w:val="5955061D"/>
    <w:rsid w:val="59561490"/>
    <w:rsid w:val="59566980"/>
    <w:rsid w:val="59570E38"/>
    <w:rsid w:val="59575208"/>
    <w:rsid w:val="59594ADC"/>
    <w:rsid w:val="595A2602"/>
    <w:rsid w:val="595B3635"/>
    <w:rsid w:val="59603342"/>
    <w:rsid w:val="5960775C"/>
    <w:rsid w:val="59641A00"/>
    <w:rsid w:val="59653481"/>
    <w:rsid w:val="596811C3"/>
    <w:rsid w:val="59685CFF"/>
    <w:rsid w:val="596A0A97"/>
    <w:rsid w:val="596C2A61"/>
    <w:rsid w:val="59701E26"/>
    <w:rsid w:val="59705A19"/>
    <w:rsid w:val="59740F75"/>
    <w:rsid w:val="59745DBA"/>
    <w:rsid w:val="597B0EF6"/>
    <w:rsid w:val="597E2795"/>
    <w:rsid w:val="5980475F"/>
    <w:rsid w:val="59821704"/>
    <w:rsid w:val="59837DAB"/>
    <w:rsid w:val="59894912"/>
    <w:rsid w:val="598A113A"/>
    <w:rsid w:val="598A2EE8"/>
    <w:rsid w:val="598F04FE"/>
    <w:rsid w:val="599553D3"/>
    <w:rsid w:val="59993174"/>
    <w:rsid w:val="59995821"/>
    <w:rsid w:val="599975CF"/>
    <w:rsid w:val="599B3347"/>
    <w:rsid w:val="599B4F9C"/>
    <w:rsid w:val="599B50F5"/>
    <w:rsid w:val="599F01F4"/>
    <w:rsid w:val="599F23C9"/>
    <w:rsid w:val="59A0095D"/>
    <w:rsid w:val="59A02823"/>
    <w:rsid w:val="59A23E43"/>
    <w:rsid w:val="59A33D31"/>
    <w:rsid w:val="59A368C3"/>
    <w:rsid w:val="59A57D21"/>
    <w:rsid w:val="59A65848"/>
    <w:rsid w:val="59A71CEC"/>
    <w:rsid w:val="59A948E4"/>
    <w:rsid w:val="59AA1C48"/>
    <w:rsid w:val="59AA4011"/>
    <w:rsid w:val="59AB3E29"/>
    <w:rsid w:val="59AC10B0"/>
    <w:rsid w:val="59AC5050"/>
    <w:rsid w:val="59AD307A"/>
    <w:rsid w:val="59AE62B6"/>
    <w:rsid w:val="59AF294E"/>
    <w:rsid w:val="59B14918"/>
    <w:rsid w:val="59B30690"/>
    <w:rsid w:val="59B63CDD"/>
    <w:rsid w:val="59B71530"/>
    <w:rsid w:val="59B81EC1"/>
    <w:rsid w:val="59BB7545"/>
    <w:rsid w:val="59BD41B5"/>
    <w:rsid w:val="59BD63F4"/>
    <w:rsid w:val="59C0439F"/>
    <w:rsid w:val="59C04B5B"/>
    <w:rsid w:val="59C26B25"/>
    <w:rsid w:val="59C65280"/>
    <w:rsid w:val="59C7413C"/>
    <w:rsid w:val="59C85D9C"/>
    <w:rsid w:val="59CA3C2C"/>
    <w:rsid w:val="59CB1CDD"/>
    <w:rsid w:val="59CC1752"/>
    <w:rsid w:val="59D3226B"/>
    <w:rsid w:val="59D35B1C"/>
    <w:rsid w:val="59D6612D"/>
    <w:rsid w:val="59E00D5A"/>
    <w:rsid w:val="59E12858"/>
    <w:rsid w:val="59E33123"/>
    <w:rsid w:val="59E47360"/>
    <w:rsid w:val="59E545C2"/>
    <w:rsid w:val="59E720E8"/>
    <w:rsid w:val="59E958B9"/>
    <w:rsid w:val="59EA753E"/>
    <w:rsid w:val="59EB5AF2"/>
    <w:rsid w:val="59ED3476"/>
    <w:rsid w:val="59F111B9"/>
    <w:rsid w:val="59F1740B"/>
    <w:rsid w:val="59F667CF"/>
    <w:rsid w:val="59F83946"/>
    <w:rsid w:val="59FB2037"/>
    <w:rsid w:val="59FD7B5D"/>
    <w:rsid w:val="59FE7432"/>
    <w:rsid w:val="5A0740B4"/>
    <w:rsid w:val="5A0815C1"/>
    <w:rsid w:val="5A0A227A"/>
    <w:rsid w:val="5A0A4028"/>
    <w:rsid w:val="5A0B6471"/>
    <w:rsid w:val="5A0E0465"/>
    <w:rsid w:val="5A0E3D3D"/>
    <w:rsid w:val="5A0E58C7"/>
    <w:rsid w:val="5A117165"/>
    <w:rsid w:val="5A13112F"/>
    <w:rsid w:val="5A146C55"/>
    <w:rsid w:val="5A166E71"/>
    <w:rsid w:val="5A184997"/>
    <w:rsid w:val="5A1B253F"/>
    <w:rsid w:val="5A1B398C"/>
    <w:rsid w:val="5A1C2B39"/>
    <w:rsid w:val="5A1F7AD4"/>
    <w:rsid w:val="5A201A9E"/>
    <w:rsid w:val="5A20384C"/>
    <w:rsid w:val="5A2275C4"/>
    <w:rsid w:val="5A2450EA"/>
    <w:rsid w:val="5A272E2C"/>
    <w:rsid w:val="5A290952"/>
    <w:rsid w:val="5A2D1E3F"/>
    <w:rsid w:val="5A2D2A6A"/>
    <w:rsid w:val="5A2E41BB"/>
    <w:rsid w:val="5A307F33"/>
    <w:rsid w:val="5A340E9F"/>
    <w:rsid w:val="5A3612C1"/>
    <w:rsid w:val="5A386DE8"/>
    <w:rsid w:val="5A406516"/>
    <w:rsid w:val="5A41740B"/>
    <w:rsid w:val="5A4412E8"/>
    <w:rsid w:val="5A44753A"/>
    <w:rsid w:val="5A45213A"/>
    <w:rsid w:val="5A45592F"/>
    <w:rsid w:val="5A46755A"/>
    <w:rsid w:val="5A4977B6"/>
    <w:rsid w:val="5A497825"/>
    <w:rsid w:val="5A4C63EF"/>
    <w:rsid w:val="5A4D7D58"/>
    <w:rsid w:val="5A580AA5"/>
    <w:rsid w:val="5A584E73"/>
    <w:rsid w:val="5A5A4FB0"/>
    <w:rsid w:val="5A5B4884"/>
    <w:rsid w:val="5A5D05FC"/>
    <w:rsid w:val="5A601E9A"/>
    <w:rsid w:val="5A640E17"/>
    <w:rsid w:val="5A650C89"/>
    <w:rsid w:val="5A694CAB"/>
    <w:rsid w:val="5A6951F3"/>
    <w:rsid w:val="5A6A6AFF"/>
    <w:rsid w:val="5A6E0A5B"/>
    <w:rsid w:val="5A731A28"/>
    <w:rsid w:val="5A734C1C"/>
    <w:rsid w:val="5A736072"/>
    <w:rsid w:val="5A751DEA"/>
    <w:rsid w:val="5A755008"/>
    <w:rsid w:val="5A76305A"/>
    <w:rsid w:val="5A76346C"/>
    <w:rsid w:val="5A7A2809"/>
    <w:rsid w:val="5A7B15CF"/>
    <w:rsid w:val="5A7D0C9E"/>
    <w:rsid w:val="5A7D5455"/>
    <w:rsid w:val="5A8113F3"/>
    <w:rsid w:val="5A824B01"/>
    <w:rsid w:val="5A832191"/>
    <w:rsid w:val="5A845B89"/>
    <w:rsid w:val="5A854FD7"/>
    <w:rsid w:val="5A871B1D"/>
    <w:rsid w:val="5A8C2C8F"/>
    <w:rsid w:val="5A8D0335"/>
    <w:rsid w:val="5A8D69CD"/>
    <w:rsid w:val="5A917CEF"/>
    <w:rsid w:val="5A923DBF"/>
    <w:rsid w:val="5A93401E"/>
    <w:rsid w:val="5A9A1850"/>
    <w:rsid w:val="5A9A6C1F"/>
    <w:rsid w:val="5A9B2ED2"/>
    <w:rsid w:val="5A9C0584"/>
    <w:rsid w:val="5A9C51DA"/>
    <w:rsid w:val="5A9E10A8"/>
    <w:rsid w:val="5A9E2FEC"/>
    <w:rsid w:val="5A9F4096"/>
    <w:rsid w:val="5AA1673B"/>
    <w:rsid w:val="5AA20705"/>
    <w:rsid w:val="5AA27CBA"/>
    <w:rsid w:val="5AA61FA3"/>
    <w:rsid w:val="5AA63D51"/>
    <w:rsid w:val="5AA81FFE"/>
    <w:rsid w:val="5AAB1367"/>
    <w:rsid w:val="5AAB75B9"/>
    <w:rsid w:val="5AAD1584"/>
    <w:rsid w:val="5AAE70AA"/>
    <w:rsid w:val="5AAF3CD0"/>
    <w:rsid w:val="5AAF4A51"/>
    <w:rsid w:val="5AB12D79"/>
    <w:rsid w:val="5AB17C62"/>
    <w:rsid w:val="5AB32912"/>
    <w:rsid w:val="5AB343F6"/>
    <w:rsid w:val="5AB521E6"/>
    <w:rsid w:val="5AB622D0"/>
    <w:rsid w:val="5AB840C3"/>
    <w:rsid w:val="5ABA672F"/>
    <w:rsid w:val="5ABB0DCD"/>
    <w:rsid w:val="5ABE2233"/>
    <w:rsid w:val="5ABE6314"/>
    <w:rsid w:val="5AC10579"/>
    <w:rsid w:val="5AC10B8B"/>
    <w:rsid w:val="5AC16DDD"/>
    <w:rsid w:val="5AC65BD0"/>
    <w:rsid w:val="5ACB37B8"/>
    <w:rsid w:val="5ACB78DE"/>
    <w:rsid w:val="5ACC7530"/>
    <w:rsid w:val="5ACD5782"/>
    <w:rsid w:val="5ACE5056"/>
    <w:rsid w:val="5AD20FEA"/>
    <w:rsid w:val="5AD275B0"/>
    <w:rsid w:val="5AD3266C"/>
    <w:rsid w:val="5AD563E4"/>
    <w:rsid w:val="5AD5727C"/>
    <w:rsid w:val="5AD703AE"/>
    <w:rsid w:val="5AD70459"/>
    <w:rsid w:val="5AD84127"/>
    <w:rsid w:val="5AD85ED5"/>
    <w:rsid w:val="5AD916A7"/>
    <w:rsid w:val="5ADA1C4D"/>
    <w:rsid w:val="5ADC573B"/>
    <w:rsid w:val="5ADF7004"/>
    <w:rsid w:val="5AE000A4"/>
    <w:rsid w:val="5AE10B9F"/>
    <w:rsid w:val="5AE57464"/>
    <w:rsid w:val="5AE623A0"/>
    <w:rsid w:val="5AE62BEA"/>
    <w:rsid w:val="5AE66844"/>
    <w:rsid w:val="5AE72237"/>
    <w:rsid w:val="5AE73720"/>
    <w:rsid w:val="5AE90D9A"/>
    <w:rsid w:val="5AE96152"/>
    <w:rsid w:val="5AEA3864"/>
    <w:rsid w:val="5AEC4CDE"/>
    <w:rsid w:val="5AEE1EC3"/>
    <w:rsid w:val="5AF01470"/>
    <w:rsid w:val="5AF246FF"/>
    <w:rsid w:val="5AF3186C"/>
    <w:rsid w:val="5AF42E99"/>
    <w:rsid w:val="5AF436ED"/>
    <w:rsid w:val="5AF50835"/>
    <w:rsid w:val="5AF546C6"/>
    <w:rsid w:val="5AF80728"/>
    <w:rsid w:val="5AF820D3"/>
    <w:rsid w:val="5AF94838"/>
    <w:rsid w:val="5AF96C16"/>
    <w:rsid w:val="5AFA5E4B"/>
    <w:rsid w:val="5AFB50E7"/>
    <w:rsid w:val="5AFD533D"/>
    <w:rsid w:val="5B0031FB"/>
    <w:rsid w:val="5B022F52"/>
    <w:rsid w:val="5B05492C"/>
    <w:rsid w:val="5B084A0C"/>
    <w:rsid w:val="5B092532"/>
    <w:rsid w:val="5B0B1E06"/>
    <w:rsid w:val="5B0C1140"/>
    <w:rsid w:val="5B0C22C2"/>
    <w:rsid w:val="5B0C4808"/>
    <w:rsid w:val="5B0D3DD0"/>
    <w:rsid w:val="5B0E2EEE"/>
    <w:rsid w:val="5B0F0179"/>
    <w:rsid w:val="5B101B12"/>
    <w:rsid w:val="5B1138D1"/>
    <w:rsid w:val="5B123195"/>
    <w:rsid w:val="5B12705E"/>
    <w:rsid w:val="5B1334BD"/>
    <w:rsid w:val="5B135B3A"/>
    <w:rsid w:val="5B1433B1"/>
    <w:rsid w:val="5B145358"/>
    <w:rsid w:val="5B155C32"/>
    <w:rsid w:val="5B160204"/>
    <w:rsid w:val="5B164920"/>
    <w:rsid w:val="5B174C4F"/>
    <w:rsid w:val="5B1C29C6"/>
    <w:rsid w:val="5B1E4868"/>
    <w:rsid w:val="5B21162A"/>
    <w:rsid w:val="5B261746"/>
    <w:rsid w:val="5B2829B8"/>
    <w:rsid w:val="5B2865AA"/>
    <w:rsid w:val="5B2B15D2"/>
    <w:rsid w:val="5B2B7848"/>
    <w:rsid w:val="5B2C01D0"/>
    <w:rsid w:val="5B2D56CE"/>
    <w:rsid w:val="5B2D7FCE"/>
    <w:rsid w:val="5B2E3D47"/>
    <w:rsid w:val="5B2F1F99"/>
    <w:rsid w:val="5B301595"/>
    <w:rsid w:val="5B305D11"/>
    <w:rsid w:val="5B307ABF"/>
    <w:rsid w:val="5B312200"/>
    <w:rsid w:val="5B325CC6"/>
    <w:rsid w:val="5B332BF3"/>
    <w:rsid w:val="5B3427E5"/>
    <w:rsid w:val="5B3475AF"/>
    <w:rsid w:val="5B386DAE"/>
    <w:rsid w:val="5B39291B"/>
    <w:rsid w:val="5B39320B"/>
    <w:rsid w:val="5B3A093D"/>
    <w:rsid w:val="5B3A26EB"/>
    <w:rsid w:val="5B3E09AE"/>
    <w:rsid w:val="5B490B80"/>
    <w:rsid w:val="5B4D05B6"/>
    <w:rsid w:val="5B4D241F"/>
    <w:rsid w:val="5B4F4DC2"/>
    <w:rsid w:val="5B5419FF"/>
    <w:rsid w:val="5B547C51"/>
    <w:rsid w:val="5B5648CD"/>
    <w:rsid w:val="5B570024"/>
    <w:rsid w:val="5B57329D"/>
    <w:rsid w:val="5B58716A"/>
    <w:rsid w:val="5B593004"/>
    <w:rsid w:val="5B5A4B3C"/>
    <w:rsid w:val="5B5B4EF7"/>
    <w:rsid w:val="5B5B57CD"/>
    <w:rsid w:val="5B6148B7"/>
    <w:rsid w:val="5B622E70"/>
    <w:rsid w:val="5B624BD6"/>
    <w:rsid w:val="5B636371"/>
    <w:rsid w:val="5B660743"/>
    <w:rsid w:val="5B681BD3"/>
    <w:rsid w:val="5B6836FC"/>
    <w:rsid w:val="5B6854AA"/>
    <w:rsid w:val="5B6D2AC1"/>
    <w:rsid w:val="5B6F4A8B"/>
    <w:rsid w:val="5B70435F"/>
    <w:rsid w:val="5B7051F8"/>
    <w:rsid w:val="5B706967"/>
    <w:rsid w:val="5B72490C"/>
    <w:rsid w:val="5B773940"/>
    <w:rsid w:val="5B7756EE"/>
    <w:rsid w:val="5B7976B8"/>
    <w:rsid w:val="5B7A51CA"/>
    <w:rsid w:val="5B7B0F34"/>
    <w:rsid w:val="5B7B3430"/>
    <w:rsid w:val="5B7B7633"/>
    <w:rsid w:val="5B7C0F56"/>
    <w:rsid w:val="5B7C4AB2"/>
    <w:rsid w:val="5B7C71A8"/>
    <w:rsid w:val="5B7D1048"/>
    <w:rsid w:val="5B7D3AD4"/>
    <w:rsid w:val="5B7E0F08"/>
    <w:rsid w:val="5B7E353F"/>
    <w:rsid w:val="5B7E7FAA"/>
    <w:rsid w:val="5B7F45A2"/>
    <w:rsid w:val="5B81031A"/>
    <w:rsid w:val="5B8147BE"/>
    <w:rsid w:val="5B81656C"/>
    <w:rsid w:val="5B827889"/>
    <w:rsid w:val="5B834092"/>
    <w:rsid w:val="5B841BB9"/>
    <w:rsid w:val="5B847218"/>
    <w:rsid w:val="5B855579"/>
    <w:rsid w:val="5B865931"/>
    <w:rsid w:val="5B870102"/>
    <w:rsid w:val="5B8816A9"/>
    <w:rsid w:val="5B896841"/>
    <w:rsid w:val="5B8A71CF"/>
    <w:rsid w:val="5B8D4F11"/>
    <w:rsid w:val="5B8F6EDB"/>
    <w:rsid w:val="5B901E27"/>
    <w:rsid w:val="5B9067AF"/>
    <w:rsid w:val="5B92040F"/>
    <w:rsid w:val="5B9249C4"/>
    <w:rsid w:val="5B927902"/>
    <w:rsid w:val="5B940D88"/>
    <w:rsid w:val="5B975D90"/>
    <w:rsid w:val="5B9A6778"/>
    <w:rsid w:val="5B9B762E"/>
    <w:rsid w:val="5B9C6F02"/>
    <w:rsid w:val="5B9E5186"/>
    <w:rsid w:val="5B9F5E2C"/>
    <w:rsid w:val="5BA04F28"/>
    <w:rsid w:val="5BA05E10"/>
    <w:rsid w:val="5BA26C0E"/>
    <w:rsid w:val="5BA34735"/>
    <w:rsid w:val="5BA434D8"/>
    <w:rsid w:val="5BA66C84"/>
    <w:rsid w:val="5BA706A2"/>
    <w:rsid w:val="5BA74225"/>
    <w:rsid w:val="5BA82AB7"/>
    <w:rsid w:val="5BA90C46"/>
    <w:rsid w:val="5BAE2555"/>
    <w:rsid w:val="5BAE5416"/>
    <w:rsid w:val="5BB26726"/>
    <w:rsid w:val="5BB31C07"/>
    <w:rsid w:val="5BB53120"/>
    <w:rsid w:val="5BB64468"/>
    <w:rsid w:val="5BB727DA"/>
    <w:rsid w:val="5BB8011D"/>
    <w:rsid w:val="5BB80E0E"/>
    <w:rsid w:val="5BBA0A71"/>
    <w:rsid w:val="5BBA4B56"/>
    <w:rsid w:val="5BBB6AFE"/>
    <w:rsid w:val="5BBE156E"/>
    <w:rsid w:val="5BBF4130"/>
    <w:rsid w:val="5BC03220"/>
    <w:rsid w:val="5BC07095"/>
    <w:rsid w:val="5BC16969"/>
    <w:rsid w:val="5BC546AB"/>
    <w:rsid w:val="5BC8419B"/>
    <w:rsid w:val="5BC951EA"/>
    <w:rsid w:val="5BCA7F13"/>
    <w:rsid w:val="5BCB77E7"/>
    <w:rsid w:val="5BCC1A9C"/>
    <w:rsid w:val="5BCC5A39"/>
    <w:rsid w:val="5BCC64C4"/>
    <w:rsid w:val="5BCD17B1"/>
    <w:rsid w:val="5BCE5CAB"/>
    <w:rsid w:val="5BD26DC8"/>
    <w:rsid w:val="5BD3470C"/>
    <w:rsid w:val="5BD448EE"/>
    <w:rsid w:val="5BD46C5A"/>
    <w:rsid w:val="5BD668B8"/>
    <w:rsid w:val="5BDB3ECE"/>
    <w:rsid w:val="5BDF5D95"/>
    <w:rsid w:val="5BDF6832"/>
    <w:rsid w:val="5BE07C05"/>
    <w:rsid w:val="5BE24FC4"/>
    <w:rsid w:val="5BE32D83"/>
    <w:rsid w:val="5BE37DB9"/>
    <w:rsid w:val="5BE42055"/>
    <w:rsid w:val="5BE4724E"/>
    <w:rsid w:val="5BE80399"/>
    <w:rsid w:val="5BE865EB"/>
    <w:rsid w:val="5BEA154C"/>
    <w:rsid w:val="5BEC0075"/>
    <w:rsid w:val="5BEC7E8A"/>
    <w:rsid w:val="5BED3C02"/>
    <w:rsid w:val="5BEF34D6"/>
    <w:rsid w:val="5BF3746A"/>
    <w:rsid w:val="5BF44FEF"/>
    <w:rsid w:val="5BF61043"/>
    <w:rsid w:val="5BF84A80"/>
    <w:rsid w:val="5BFB1E60"/>
    <w:rsid w:val="5BFB1E7B"/>
    <w:rsid w:val="5BFB4752"/>
    <w:rsid w:val="5BFE196B"/>
    <w:rsid w:val="5BFE63A9"/>
    <w:rsid w:val="5BFE7528"/>
    <w:rsid w:val="5C007491"/>
    <w:rsid w:val="5C0138F0"/>
    <w:rsid w:val="5C027D15"/>
    <w:rsid w:val="5C035064"/>
    <w:rsid w:val="5C036210"/>
    <w:rsid w:val="5C09633A"/>
    <w:rsid w:val="5C0A4169"/>
    <w:rsid w:val="5C0A47B4"/>
    <w:rsid w:val="5C0A6562"/>
    <w:rsid w:val="5C0D1BAE"/>
    <w:rsid w:val="5C0F1DCA"/>
    <w:rsid w:val="5C0F3B78"/>
    <w:rsid w:val="5C0F7D18"/>
    <w:rsid w:val="5C101D2D"/>
    <w:rsid w:val="5C1632B8"/>
    <w:rsid w:val="5C1774AA"/>
    <w:rsid w:val="5C1B076F"/>
    <w:rsid w:val="5C1B13CA"/>
    <w:rsid w:val="5C1C538E"/>
    <w:rsid w:val="5C1F613A"/>
    <w:rsid w:val="5C205D85"/>
    <w:rsid w:val="5C2435B4"/>
    <w:rsid w:val="5C295359"/>
    <w:rsid w:val="5C2D3FFE"/>
    <w:rsid w:val="5C2E2250"/>
    <w:rsid w:val="5C2F421A"/>
    <w:rsid w:val="5C3508D0"/>
    <w:rsid w:val="5C384E7D"/>
    <w:rsid w:val="5C393E3E"/>
    <w:rsid w:val="5C3B496D"/>
    <w:rsid w:val="5C3D2493"/>
    <w:rsid w:val="5C3D3309"/>
    <w:rsid w:val="5C3D6937"/>
    <w:rsid w:val="5C401A7D"/>
    <w:rsid w:val="5C42158A"/>
    <w:rsid w:val="5C43721C"/>
    <w:rsid w:val="5C437A72"/>
    <w:rsid w:val="5C4612E4"/>
    <w:rsid w:val="5C490E27"/>
    <w:rsid w:val="5C494A38"/>
    <w:rsid w:val="5C4A5E50"/>
    <w:rsid w:val="5C4B59D7"/>
    <w:rsid w:val="5C4E28F2"/>
    <w:rsid w:val="5C4F2050"/>
    <w:rsid w:val="5C503558"/>
    <w:rsid w:val="5C5205B6"/>
    <w:rsid w:val="5C553B9A"/>
    <w:rsid w:val="5C567790"/>
    <w:rsid w:val="5C583698"/>
    <w:rsid w:val="5C595492"/>
    <w:rsid w:val="5C5B390B"/>
    <w:rsid w:val="5C5D0D87"/>
    <w:rsid w:val="5C5D48E3"/>
    <w:rsid w:val="5C5D7F45"/>
    <w:rsid w:val="5C5F68AD"/>
    <w:rsid w:val="5C600CFC"/>
    <w:rsid w:val="5C6101E3"/>
    <w:rsid w:val="5C66038A"/>
    <w:rsid w:val="5C67337C"/>
    <w:rsid w:val="5C6851C3"/>
    <w:rsid w:val="5C6969AA"/>
    <w:rsid w:val="5C6A140E"/>
    <w:rsid w:val="5C6C4B26"/>
    <w:rsid w:val="5C6D7C3E"/>
    <w:rsid w:val="5C6F4617"/>
    <w:rsid w:val="5C7814C1"/>
    <w:rsid w:val="5C78171D"/>
    <w:rsid w:val="5C7B69D8"/>
    <w:rsid w:val="5C7D4F86"/>
    <w:rsid w:val="5C7D6D34"/>
    <w:rsid w:val="5C7F0D24"/>
    <w:rsid w:val="5C807472"/>
    <w:rsid w:val="5C814BED"/>
    <w:rsid w:val="5C846314"/>
    <w:rsid w:val="5C853E3A"/>
    <w:rsid w:val="5C8667D1"/>
    <w:rsid w:val="5C8A495A"/>
    <w:rsid w:val="5C8E7193"/>
    <w:rsid w:val="5C8F6A67"/>
    <w:rsid w:val="5C904CB9"/>
    <w:rsid w:val="5C911A35"/>
    <w:rsid w:val="5C91588F"/>
    <w:rsid w:val="5C915BDC"/>
    <w:rsid w:val="5C9347A9"/>
    <w:rsid w:val="5C94131A"/>
    <w:rsid w:val="5C950556"/>
    <w:rsid w:val="5C98591B"/>
    <w:rsid w:val="5C9C138B"/>
    <w:rsid w:val="5C9D2F32"/>
    <w:rsid w:val="5C9D5B5E"/>
    <w:rsid w:val="5C9F4870"/>
    <w:rsid w:val="5CA01B3E"/>
    <w:rsid w:val="5CA22C3E"/>
    <w:rsid w:val="5CA34AB3"/>
    <w:rsid w:val="5CA52C1F"/>
    <w:rsid w:val="5CA73DB1"/>
    <w:rsid w:val="5CA85BD2"/>
    <w:rsid w:val="5CAC586B"/>
    <w:rsid w:val="5CB12E81"/>
    <w:rsid w:val="5CB22472"/>
    <w:rsid w:val="5CB36BF9"/>
    <w:rsid w:val="5CB37BC9"/>
    <w:rsid w:val="5CB658DA"/>
    <w:rsid w:val="5CB70FD7"/>
    <w:rsid w:val="5CB85FBE"/>
    <w:rsid w:val="5CBB785C"/>
    <w:rsid w:val="5CBD56B1"/>
    <w:rsid w:val="5CBF10FA"/>
    <w:rsid w:val="5CBF734C"/>
    <w:rsid w:val="5CC11316"/>
    <w:rsid w:val="5CC37C23"/>
    <w:rsid w:val="5CC44526"/>
    <w:rsid w:val="5CC44962"/>
    <w:rsid w:val="5CC606DB"/>
    <w:rsid w:val="5CC63534"/>
    <w:rsid w:val="5CC6692D"/>
    <w:rsid w:val="5CC71033"/>
    <w:rsid w:val="5CCA014C"/>
    <w:rsid w:val="5CCA0779"/>
    <w:rsid w:val="5CCB3F43"/>
    <w:rsid w:val="5CCB7A9F"/>
    <w:rsid w:val="5CCD4D6B"/>
    <w:rsid w:val="5CCE2146"/>
    <w:rsid w:val="5CCF1BE2"/>
    <w:rsid w:val="5CD10E2D"/>
    <w:rsid w:val="5CD5091E"/>
    <w:rsid w:val="5CD607E8"/>
    <w:rsid w:val="5CD7283B"/>
    <w:rsid w:val="5CD755AA"/>
    <w:rsid w:val="5CD80B69"/>
    <w:rsid w:val="5CD82197"/>
    <w:rsid w:val="5CD86660"/>
    <w:rsid w:val="5CDC0D6A"/>
    <w:rsid w:val="5CDC1CAC"/>
    <w:rsid w:val="5CE172C2"/>
    <w:rsid w:val="5CE320D1"/>
    <w:rsid w:val="5CE46DB3"/>
    <w:rsid w:val="5CE60D7D"/>
    <w:rsid w:val="5CE648D9"/>
    <w:rsid w:val="5CE8160C"/>
    <w:rsid w:val="5CE844B5"/>
    <w:rsid w:val="5CE84AF5"/>
    <w:rsid w:val="5CEB349F"/>
    <w:rsid w:val="5CED210B"/>
    <w:rsid w:val="5CED3EB9"/>
    <w:rsid w:val="5CF36FF6"/>
    <w:rsid w:val="5CF42F26"/>
    <w:rsid w:val="5CF54B1C"/>
    <w:rsid w:val="5CF8460C"/>
    <w:rsid w:val="5CFA0384"/>
    <w:rsid w:val="5CFA65D6"/>
    <w:rsid w:val="5CFC2E42"/>
    <w:rsid w:val="5CFC3EBD"/>
    <w:rsid w:val="5CFD310D"/>
    <w:rsid w:val="5CFF599B"/>
    <w:rsid w:val="5D001A74"/>
    <w:rsid w:val="5D005D02"/>
    <w:rsid w:val="5D014829"/>
    <w:rsid w:val="5D05571E"/>
    <w:rsid w:val="5D064F7B"/>
    <w:rsid w:val="5D072AD9"/>
    <w:rsid w:val="5D094A6B"/>
    <w:rsid w:val="5D095CCB"/>
    <w:rsid w:val="5D096491"/>
    <w:rsid w:val="5D0B07E3"/>
    <w:rsid w:val="5D0C0006"/>
    <w:rsid w:val="5D0D455B"/>
    <w:rsid w:val="5D0D6309"/>
    <w:rsid w:val="5D0F18E8"/>
    <w:rsid w:val="5D123920"/>
    <w:rsid w:val="5D1436A3"/>
    <w:rsid w:val="5D181620"/>
    <w:rsid w:val="5D185E61"/>
    <w:rsid w:val="5D1B0BA6"/>
    <w:rsid w:val="5D1B3699"/>
    <w:rsid w:val="5D1E7677"/>
    <w:rsid w:val="5D222707"/>
    <w:rsid w:val="5D224AD9"/>
    <w:rsid w:val="5D234DCA"/>
    <w:rsid w:val="5D2B6790"/>
    <w:rsid w:val="5D2C34DF"/>
    <w:rsid w:val="5D2C42B6"/>
    <w:rsid w:val="5D2F5972"/>
    <w:rsid w:val="5D323FC2"/>
    <w:rsid w:val="5D330D0C"/>
    <w:rsid w:val="5D333896"/>
    <w:rsid w:val="5D347D3A"/>
    <w:rsid w:val="5D350849"/>
    <w:rsid w:val="5D35189A"/>
    <w:rsid w:val="5D3756E5"/>
    <w:rsid w:val="5D380EAD"/>
    <w:rsid w:val="5D3C28FA"/>
    <w:rsid w:val="5D3C47DA"/>
    <w:rsid w:val="5D3E2967"/>
    <w:rsid w:val="5D3F66DF"/>
    <w:rsid w:val="5D3F757F"/>
    <w:rsid w:val="5D40082C"/>
    <w:rsid w:val="5D4067AD"/>
    <w:rsid w:val="5D417D61"/>
    <w:rsid w:val="5D452FDB"/>
    <w:rsid w:val="5D46181B"/>
    <w:rsid w:val="5D466D0B"/>
    <w:rsid w:val="5D467A6D"/>
    <w:rsid w:val="5D4C7FC4"/>
    <w:rsid w:val="5D4D4958"/>
    <w:rsid w:val="5D4D6748"/>
    <w:rsid w:val="5D507A42"/>
    <w:rsid w:val="5D507B63"/>
    <w:rsid w:val="5D510F03"/>
    <w:rsid w:val="5D516341"/>
    <w:rsid w:val="5D535CE6"/>
    <w:rsid w:val="5D544026"/>
    <w:rsid w:val="5D577585"/>
    <w:rsid w:val="5D5E11BD"/>
    <w:rsid w:val="5D5F32BC"/>
    <w:rsid w:val="5D5F6439"/>
    <w:rsid w:val="5D6428A5"/>
    <w:rsid w:val="5D663C6C"/>
    <w:rsid w:val="5D6717DD"/>
    <w:rsid w:val="5D672B18"/>
    <w:rsid w:val="5D6879E4"/>
    <w:rsid w:val="5D695983"/>
    <w:rsid w:val="5D6A0D1D"/>
    <w:rsid w:val="5D6A375C"/>
    <w:rsid w:val="5D6B1282"/>
    <w:rsid w:val="5D6C074B"/>
    <w:rsid w:val="5D6E2740"/>
    <w:rsid w:val="5D6E48CE"/>
    <w:rsid w:val="5D704AEA"/>
    <w:rsid w:val="5D775E79"/>
    <w:rsid w:val="5D7E2D63"/>
    <w:rsid w:val="5D7F0E6F"/>
    <w:rsid w:val="5D814602"/>
    <w:rsid w:val="5D8255A5"/>
    <w:rsid w:val="5D8660BC"/>
    <w:rsid w:val="5D8A533D"/>
    <w:rsid w:val="5D8A67A8"/>
    <w:rsid w:val="5D8B06FF"/>
    <w:rsid w:val="5D8B36D2"/>
    <w:rsid w:val="5D8E2E62"/>
    <w:rsid w:val="5D8F2DAE"/>
    <w:rsid w:val="5D92680F"/>
    <w:rsid w:val="5D9559A1"/>
    <w:rsid w:val="5D964551"/>
    <w:rsid w:val="5D975BC9"/>
    <w:rsid w:val="5D997B9D"/>
    <w:rsid w:val="5D9A2CAA"/>
    <w:rsid w:val="5D9C143B"/>
    <w:rsid w:val="5D9C649C"/>
    <w:rsid w:val="5D9C7110"/>
    <w:rsid w:val="5DA13B67"/>
    <w:rsid w:val="5DA30A1C"/>
    <w:rsid w:val="5DA70611"/>
    <w:rsid w:val="5DAA1DAA"/>
    <w:rsid w:val="5DAC6AE3"/>
    <w:rsid w:val="5DAF0989"/>
    <w:rsid w:val="5DAF73C1"/>
    <w:rsid w:val="5DB1138B"/>
    <w:rsid w:val="5DB24709"/>
    <w:rsid w:val="5DB6074F"/>
    <w:rsid w:val="5DB73519"/>
    <w:rsid w:val="5DB81923"/>
    <w:rsid w:val="5DB91FED"/>
    <w:rsid w:val="5DB93D9B"/>
    <w:rsid w:val="5DBB430D"/>
    <w:rsid w:val="5DBC1A48"/>
    <w:rsid w:val="5DBC1ADE"/>
    <w:rsid w:val="5DBC7D30"/>
    <w:rsid w:val="5DBF27D4"/>
    <w:rsid w:val="5DC015CE"/>
    <w:rsid w:val="5DC0337C"/>
    <w:rsid w:val="5DC04047"/>
    <w:rsid w:val="5DC32E6C"/>
    <w:rsid w:val="5DC50992"/>
    <w:rsid w:val="5DC6470A"/>
    <w:rsid w:val="5DC72B2A"/>
    <w:rsid w:val="5DC866D4"/>
    <w:rsid w:val="5DD3211E"/>
    <w:rsid w:val="5DD32512"/>
    <w:rsid w:val="5DD45AD3"/>
    <w:rsid w:val="5DD64934"/>
    <w:rsid w:val="5DD866EE"/>
    <w:rsid w:val="5DD961EC"/>
    <w:rsid w:val="5DDB1957"/>
    <w:rsid w:val="5DE04538"/>
    <w:rsid w:val="5DE1098E"/>
    <w:rsid w:val="5DE11544"/>
    <w:rsid w:val="5DE134B3"/>
    <w:rsid w:val="5DE3706A"/>
    <w:rsid w:val="5DE51034"/>
    <w:rsid w:val="5DE53B1E"/>
    <w:rsid w:val="5DE80B25"/>
    <w:rsid w:val="5DE87730"/>
    <w:rsid w:val="5DEA0176"/>
    <w:rsid w:val="5DEA1F3C"/>
    <w:rsid w:val="5DEA664B"/>
    <w:rsid w:val="5DED1C97"/>
    <w:rsid w:val="5DED613B"/>
    <w:rsid w:val="5DEF1EB3"/>
    <w:rsid w:val="5DF03EA3"/>
    <w:rsid w:val="5DF179D9"/>
    <w:rsid w:val="5DF272AD"/>
    <w:rsid w:val="5DF31E2A"/>
    <w:rsid w:val="5DF34A61"/>
    <w:rsid w:val="5DF43025"/>
    <w:rsid w:val="5DF50B4C"/>
    <w:rsid w:val="5DF609DE"/>
    <w:rsid w:val="5DF72B16"/>
    <w:rsid w:val="5DF748C4"/>
    <w:rsid w:val="5DF76979"/>
    <w:rsid w:val="5DFB4788"/>
    <w:rsid w:val="5DFB79E8"/>
    <w:rsid w:val="5DFC199F"/>
    <w:rsid w:val="5DFC1B8F"/>
    <w:rsid w:val="5DFC2514"/>
    <w:rsid w:val="5DFD626A"/>
    <w:rsid w:val="5E051485"/>
    <w:rsid w:val="5E053B00"/>
    <w:rsid w:val="5E05656F"/>
    <w:rsid w:val="5E070FAB"/>
    <w:rsid w:val="5E0771FD"/>
    <w:rsid w:val="5E0903E0"/>
    <w:rsid w:val="5E0A2849"/>
    <w:rsid w:val="5E0B036F"/>
    <w:rsid w:val="5E0B42D7"/>
    <w:rsid w:val="5E0C65C1"/>
    <w:rsid w:val="5E0C75E0"/>
    <w:rsid w:val="5E0D35D8"/>
    <w:rsid w:val="5E105524"/>
    <w:rsid w:val="5E14191A"/>
    <w:rsid w:val="5E146A5A"/>
    <w:rsid w:val="5E1611EE"/>
    <w:rsid w:val="5E180911"/>
    <w:rsid w:val="5E196F30"/>
    <w:rsid w:val="5E1B4A56"/>
    <w:rsid w:val="5E1E00A2"/>
    <w:rsid w:val="5E203E1A"/>
    <w:rsid w:val="5E211160"/>
    <w:rsid w:val="5E211941"/>
    <w:rsid w:val="5E23390B"/>
    <w:rsid w:val="5E2467F1"/>
    <w:rsid w:val="5E2A3769"/>
    <w:rsid w:val="5E2A7650"/>
    <w:rsid w:val="5E2C3CCA"/>
    <w:rsid w:val="5E2C652E"/>
    <w:rsid w:val="5E2C6C63"/>
    <w:rsid w:val="5E2D6537"/>
    <w:rsid w:val="5E2F7185"/>
    <w:rsid w:val="5E2F744B"/>
    <w:rsid w:val="5E30540C"/>
    <w:rsid w:val="5E306DE2"/>
    <w:rsid w:val="5E316028"/>
    <w:rsid w:val="5E332B8F"/>
    <w:rsid w:val="5E3600CD"/>
    <w:rsid w:val="5E3653EC"/>
    <w:rsid w:val="5E371842"/>
    <w:rsid w:val="5E3903C1"/>
    <w:rsid w:val="5E3A26C1"/>
    <w:rsid w:val="5E3D2C1E"/>
    <w:rsid w:val="5E401BFB"/>
    <w:rsid w:val="5E40626B"/>
    <w:rsid w:val="5E414B55"/>
    <w:rsid w:val="5E420235"/>
    <w:rsid w:val="5E4213F4"/>
    <w:rsid w:val="5E421FE3"/>
    <w:rsid w:val="5E453881"/>
    <w:rsid w:val="5E4567E9"/>
    <w:rsid w:val="5E4A5770"/>
    <w:rsid w:val="5E4B7FB9"/>
    <w:rsid w:val="5E4C387E"/>
    <w:rsid w:val="5E4C4C10"/>
    <w:rsid w:val="5E4F3DD6"/>
    <w:rsid w:val="5E4F7610"/>
    <w:rsid w:val="5E50098D"/>
    <w:rsid w:val="5E5105FB"/>
    <w:rsid w:val="5E512226"/>
    <w:rsid w:val="5E536452"/>
    <w:rsid w:val="5E541D16"/>
    <w:rsid w:val="5E56360F"/>
    <w:rsid w:val="5E56783C"/>
    <w:rsid w:val="5E575619"/>
    <w:rsid w:val="5E5804F2"/>
    <w:rsid w:val="5E5A43B7"/>
    <w:rsid w:val="5E5A50F5"/>
    <w:rsid w:val="5E5B12F6"/>
    <w:rsid w:val="5E5B31F3"/>
    <w:rsid w:val="5E5B547D"/>
    <w:rsid w:val="5E5D4F0E"/>
    <w:rsid w:val="5E6006BB"/>
    <w:rsid w:val="5E631F59"/>
    <w:rsid w:val="5E643FA6"/>
    <w:rsid w:val="5E654B43"/>
    <w:rsid w:val="5E685C60"/>
    <w:rsid w:val="5E6912E3"/>
    <w:rsid w:val="5E6C3504"/>
    <w:rsid w:val="5E6C52B2"/>
    <w:rsid w:val="5E6E102A"/>
    <w:rsid w:val="5E6F08FE"/>
    <w:rsid w:val="5E6F635F"/>
    <w:rsid w:val="5E7423B8"/>
    <w:rsid w:val="5E755DDF"/>
    <w:rsid w:val="5E766130"/>
    <w:rsid w:val="5E775B46"/>
    <w:rsid w:val="5E794C7D"/>
    <w:rsid w:val="5E7A79CF"/>
    <w:rsid w:val="5E7B5DC0"/>
    <w:rsid w:val="5E7E6D93"/>
    <w:rsid w:val="5E8107C8"/>
    <w:rsid w:val="5E812F0A"/>
    <w:rsid w:val="5E825B0B"/>
    <w:rsid w:val="5E8343A9"/>
    <w:rsid w:val="5E856373"/>
    <w:rsid w:val="5E874BEA"/>
    <w:rsid w:val="5E8773F0"/>
    <w:rsid w:val="5E885BA1"/>
    <w:rsid w:val="5E886757"/>
    <w:rsid w:val="5E895E64"/>
    <w:rsid w:val="5E8C508E"/>
    <w:rsid w:val="5E8E5228"/>
    <w:rsid w:val="5E95169B"/>
    <w:rsid w:val="5E954808"/>
    <w:rsid w:val="5E967923"/>
    <w:rsid w:val="5E99597B"/>
    <w:rsid w:val="5E9B5EC7"/>
    <w:rsid w:val="5EA00F99"/>
    <w:rsid w:val="5EA04F5B"/>
    <w:rsid w:val="5EA558F2"/>
    <w:rsid w:val="5EA61E5C"/>
    <w:rsid w:val="5EA80CAD"/>
    <w:rsid w:val="5EA92062"/>
    <w:rsid w:val="5EA97545"/>
    <w:rsid w:val="5EAA1E65"/>
    <w:rsid w:val="5EAC2112"/>
    <w:rsid w:val="5EAC5275"/>
    <w:rsid w:val="5EAD1589"/>
    <w:rsid w:val="5EAE1426"/>
    <w:rsid w:val="5EAF519E"/>
    <w:rsid w:val="5EB008F4"/>
    <w:rsid w:val="5EB049D8"/>
    <w:rsid w:val="5EB32EE1"/>
    <w:rsid w:val="5EB50A07"/>
    <w:rsid w:val="5EB617B3"/>
    <w:rsid w:val="5EB848B3"/>
    <w:rsid w:val="5EB86749"/>
    <w:rsid w:val="5EBA7A59"/>
    <w:rsid w:val="5EBB0F5D"/>
    <w:rsid w:val="5EBD3D5F"/>
    <w:rsid w:val="5EBD78BB"/>
    <w:rsid w:val="5EC450EE"/>
    <w:rsid w:val="5EC535DF"/>
    <w:rsid w:val="5EC61558"/>
    <w:rsid w:val="5EC7106D"/>
    <w:rsid w:val="5ECB022A"/>
    <w:rsid w:val="5ECB3C7A"/>
    <w:rsid w:val="5ECC3FA2"/>
    <w:rsid w:val="5ECC7AFE"/>
    <w:rsid w:val="5ED040A7"/>
    <w:rsid w:val="5ED35331"/>
    <w:rsid w:val="5ED510A9"/>
    <w:rsid w:val="5ED52E57"/>
    <w:rsid w:val="5ED7072C"/>
    <w:rsid w:val="5ED73508"/>
    <w:rsid w:val="5ED83A53"/>
    <w:rsid w:val="5ED93504"/>
    <w:rsid w:val="5EDF4F19"/>
    <w:rsid w:val="5EE017FC"/>
    <w:rsid w:val="5EE035AA"/>
    <w:rsid w:val="5EE07429"/>
    <w:rsid w:val="5EE237C6"/>
    <w:rsid w:val="5EE77465"/>
    <w:rsid w:val="5EE83F9A"/>
    <w:rsid w:val="5EEA61D6"/>
    <w:rsid w:val="5EEB44A8"/>
    <w:rsid w:val="5EEC01A1"/>
    <w:rsid w:val="5EEC5FAD"/>
    <w:rsid w:val="5EED47E9"/>
    <w:rsid w:val="5EEF7A65"/>
    <w:rsid w:val="5EF13A09"/>
    <w:rsid w:val="5EF14052"/>
    <w:rsid w:val="5EF15791"/>
    <w:rsid w:val="5EF426A8"/>
    <w:rsid w:val="5EF72A85"/>
    <w:rsid w:val="5EF77271"/>
    <w:rsid w:val="5EF82496"/>
    <w:rsid w:val="5EF8366F"/>
    <w:rsid w:val="5EFA466C"/>
    <w:rsid w:val="5EFB0A3B"/>
    <w:rsid w:val="5F011E9E"/>
    <w:rsid w:val="5F051C27"/>
    <w:rsid w:val="5F05700F"/>
    <w:rsid w:val="5F062DC6"/>
    <w:rsid w:val="5F081D80"/>
    <w:rsid w:val="5F08322C"/>
    <w:rsid w:val="5F09454F"/>
    <w:rsid w:val="5F0B0627"/>
    <w:rsid w:val="5F0C3461"/>
    <w:rsid w:val="5F0E276E"/>
    <w:rsid w:val="5F1160F4"/>
    <w:rsid w:val="5F117C07"/>
    <w:rsid w:val="5F1321CA"/>
    <w:rsid w:val="5F166FCB"/>
    <w:rsid w:val="5F195A58"/>
    <w:rsid w:val="5F1A2B43"/>
    <w:rsid w:val="5F1A4D0E"/>
    <w:rsid w:val="5F1A6ABC"/>
    <w:rsid w:val="5F1C27DE"/>
    <w:rsid w:val="5F1C6CD8"/>
    <w:rsid w:val="5F1D65AC"/>
    <w:rsid w:val="5F2142EE"/>
    <w:rsid w:val="5F255B15"/>
    <w:rsid w:val="5F262EC9"/>
    <w:rsid w:val="5F293152"/>
    <w:rsid w:val="5F2931A3"/>
    <w:rsid w:val="5F294A3B"/>
    <w:rsid w:val="5F294F51"/>
    <w:rsid w:val="5F2B0CC9"/>
    <w:rsid w:val="5F2D4A41"/>
    <w:rsid w:val="5F304531"/>
    <w:rsid w:val="5F340C41"/>
    <w:rsid w:val="5F342264"/>
    <w:rsid w:val="5F415894"/>
    <w:rsid w:val="5F4273B7"/>
    <w:rsid w:val="5F43584A"/>
    <w:rsid w:val="5F4A330B"/>
    <w:rsid w:val="5F4B1762"/>
    <w:rsid w:val="5F4C3DAA"/>
    <w:rsid w:val="5F4E02B4"/>
    <w:rsid w:val="5F4E2C09"/>
    <w:rsid w:val="5F5005E1"/>
    <w:rsid w:val="5F5247AB"/>
    <w:rsid w:val="5F530220"/>
    <w:rsid w:val="5F5521EA"/>
    <w:rsid w:val="5F555D46"/>
    <w:rsid w:val="5F585836"/>
    <w:rsid w:val="5F587C40"/>
    <w:rsid w:val="5F590100"/>
    <w:rsid w:val="5F593A88"/>
    <w:rsid w:val="5F5B219C"/>
    <w:rsid w:val="5F5B630A"/>
    <w:rsid w:val="5F5C2446"/>
    <w:rsid w:val="5F5D21AC"/>
    <w:rsid w:val="5F5F6BC4"/>
    <w:rsid w:val="5F6441DB"/>
    <w:rsid w:val="5F652B34"/>
    <w:rsid w:val="5F661D01"/>
    <w:rsid w:val="5F6661A5"/>
    <w:rsid w:val="5F671301"/>
    <w:rsid w:val="5F6808E5"/>
    <w:rsid w:val="5F6C522A"/>
    <w:rsid w:val="5F6D12E1"/>
    <w:rsid w:val="5F6E059E"/>
    <w:rsid w:val="5F700DD2"/>
    <w:rsid w:val="5F705A8F"/>
    <w:rsid w:val="5F751E63"/>
    <w:rsid w:val="5F751F44"/>
    <w:rsid w:val="5F775A7B"/>
    <w:rsid w:val="5F775CBC"/>
    <w:rsid w:val="5F784D69"/>
    <w:rsid w:val="5F7956BB"/>
    <w:rsid w:val="5F79632B"/>
    <w:rsid w:val="5F7B61C1"/>
    <w:rsid w:val="5F7E4DC6"/>
    <w:rsid w:val="5F806589"/>
    <w:rsid w:val="5F855C49"/>
    <w:rsid w:val="5F864151"/>
    <w:rsid w:val="5F8857D0"/>
    <w:rsid w:val="5F8A0881"/>
    <w:rsid w:val="5F8B79B9"/>
    <w:rsid w:val="5F8D7EF3"/>
    <w:rsid w:val="5F8E084A"/>
    <w:rsid w:val="5F8E1258"/>
    <w:rsid w:val="5F8F1018"/>
    <w:rsid w:val="5F916509"/>
    <w:rsid w:val="5F93061C"/>
    <w:rsid w:val="5F977C3D"/>
    <w:rsid w:val="5F9873C4"/>
    <w:rsid w:val="5F991D5E"/>
    <w:rsid w:val="5F9920D6"/>
    <w:rsid w:val="5F9C7026"/>
    <w:rsid w:val="5F9E149B"/>
    <w:rsid w:val="5F9F0B0D"/>
    <w:rsid w:val="5FA44BCC"/>
    <w:rsid w:val="5FA62F10"/>
    <w:rsid w:val="5FA62F8A"/>
    <w:rsid w:val="5FA66BA7"/>
    <w:rsid w:val="5FA840C8"/>
    <w:rsid w:val="5FAB005C"/>
    <w:rsid w:val="5FAB22BD"/>
    <w:rsid w:val="5FAC3076"/>
    <w:rsid w:val="5FAD7930"/>
    <w:rsid w:val="5FB40DDE"/>
    <w:rsid w:val="5FB52C88"/>
    <w:rsid w:val="5FB65630"/>
    <w:rsid w:val="5FB837BB"/>
    <w:rsid w:val="5FB92779"/>
    <w:rsid w:val="5FBC1F08"/>
    <w:rsid w:val="5FBC7B73"/>
    <w:rsid w:val="5FBD4096"/>
    <w:rsid w:val="5FBD52CD"/>
    <w:rsid w:val="5FBF1411"/>
    <w:rsid w:val="5FC03B07"/>
    <w:rsid w:val="5FC1162D"/>
    <w:rsid w:val="5FC15A7B"/>
    <w:rsid w:val="5FC367C7"/>
    <w:rsid w:val="5FC66C44"/>
    <w:rsid w:val="5FC73679"/>
    <w:rsid w:val="5FC86518"/>
    <w:rsid w:val="5FCB373E"/>
    <w:rsid w:val="5FCC42DA"/>
    <w:rsid w:val="5FCD67B9"/>
    <w:rsid w:val="5FCE4009"/>
    <w:rsid w:val="5FCE5EA9"/>
    <w:rsid w:val="5FCF3536"/>
    <w:rsid w:val="5FD01870"/>
    <w:rsid w:val="5FD02F79"/>
    <w:rsid w:val="5FD1536C"/>
    <w:rsid w:val="5FD329FD"/>
    <w:rsid w:val="5FD6374A"/>
    <w:rsid w:val="5FD650D9"/>
    <w:rsid w:val="5FD72BFF"/>
    <w:rsid w:val="5FDD151E"/>
    <w:rsid w:val="5FDD29F1"/>
    <w:rsid w:val="5FDF3EB5"/>
    <w:rsid w:val="5FE036E7"/>
    <w:rsid w:val="5FE0567F"/>
    <w:rsid w:val="5FE07D05"/>
    <w:rsid w:val="5FE15481"/>
    <w:rsid w:val="5FE377F5"/>
    <w:rsid w:val="5FE46FE0"/>
    <w:rsid w:val="5FE64BF0"/>
    <w:rsid w:val="5FE67A8B"/>
    <w:rsid w:val="5FE72320"/>
    <w:rsid w:val="5FEB2206"/>
    <w:rsid w:val="5FED09D3"/>
    <w:rsid w:val="5FED41D0"/>
    <w:rsid w:val="5FEF1CF6"/>
    <w:rsid w:val="5FF13CC0"/>
    <w:rsid w:val="5FF45B90"/>
    <w:rsid w:val="5FF46848"/>
    <w:rsid w:val="5FFB2147"/>
    <w:rsid w:val="5FFB68ED"/>
    <w:rsid w:val="60002155"/>
    <w:rsid w:val="60007EAA"/>
    <w:rsid w:val="600132D0"/>
    <w:rsid w:val="60021BD9"/>
    <w:rsid w:val="6004145E"/>
    <w:rsid w:val="60044DB2"/>
    <w:rsid w:val="600734E4"/>
    <w:rsid w:val="6008088C"/>
    <w:rsid w:val="600819C6"/>
    <w:rsid w:val="6008227F"/>
    <w:rsid w:val="60082DB8"/>
    <w:rsid w:val="600F4147"/>
    <w:rsid w:val="60114363"/>
    <w:rsid w:val="601259E5"/>
    <w:rsid w:val="60127940"/>
    <w:rsid w:val="60137B7A"/>
    <w:rsid w:val="601410A2"/>
    <w:rsid w:val="601479AF"/>
    <w:rsid w:val="60163727"/>
    <w:rsid w:val="60172FFB"/>
    <w:rsid w:val="601B08C3"/>
    <w:rsid w:val="601D7F51"/>
    <w:rsid w:val="601E696A"/>
    <w:rsid w:val="60206354"/>
    <w:rsid w:val="60207D91"/>
    <w:rsid w:val="60220501"/>
    <w:rsid w:val="602350C7"/>
    <w:rsid w:val="6023693C"/>
    <w:rsid w:val="60236BB0"/>
    <w:rsid w:val="60243DB0"/>
    <w:rsid w:val="60271BAF"/>
    <w:rsid w:val="6028345A"/>
    <w:rsid w:val="602A0A7F"/>
    <w:rsid w:val="602A6E6B"/>
    <w:rsid w:val="602C3611"/>
    <w:rsid w:val="602D6EC7"/>
    <w:rsid w:val="6030261E"/>
    <w:rsid w:val="60310561"/>
    <w:rsid w:val="60341DFF"/>
    <w:rsid w:val="60365B77"/>
    <w:rsid w:val="60367925"/>
    <w:rsid w:val="6038167E"/>
    <w:rsid w:val="60386BF3"/>
    <w:rsid w:val="603B1AEB"/>
    <w:rsid w:val="603B32E6"/>
    <w:rsid w:val="603D5158"/>
    <w:rsid w:val="603E2C7E"/>
    <w:rsid w:val="603F195F"/>
    <w:rsid w:val="604364E6"/>
    <w:rsid w:val="60437009"/>
    <w:rsid w:val="6048689F"/>
    <w:rsid w:val="604A0B31"/>
    <w:rsid w:val="604A517F"/>
    <w:rsid w:val="604B4215"/>
    <w:rsid w:val="604C7149"/>
    <w:rsid w:val="604E7BB9"/>
    <w:rsid w:val="604F09E7"/>
    <w:rsid w:val="604F0BAA"/>
    <w:rsid w:val="60510863"/>
    <w:rsid w:val="605162C2"/>
    <w:rsid w:val="605229AF"/>
    <w:rsid w:val="60536729"/>
    <w:rsid w:val="605424A1"/>
    <w:rsid w:val="60545FFD"/>
    <w:rsid w:val="60561D75"/>
    <w:rsid w:val="6056657B"/>
    <w:rsid w:val="60591866"/>
    <w:rsid w:val="605B3830"/>
    <w:rsid w:val="605B55DE"/>
    <w:rsid w:val="60602BF4"/>
    <w:rsid w:val="60616121"/>
    <w:rsid w:val="60622C8E"/>
    <w:rsid w:val="60651879"/>
    <w:rsid w:val="60673F83"/>
    <w:rsid w:val="60681AA9"/>
    <w:rsid w:val="60694E5F"/>
    <w:rsid w:val="606A0D37"/>
    <w:rsid w:val="606A4728"/>
    <w:rsid w:val="606A7713"/>
    <w:rsid w:val="606F4BE5"/>
    <w:rsid w:val="60710E43"/>
    <w:rsid w:val="607246D5"/>
    <w:rsid w:val="60786190"/>
    <w:rsid w:val="607C4E98"/>
    <w:rsid w:val="607D2515"/>
    <w:rsid w:val="607E141F"/>
    <w:rsid w:val="608243EB"/>
    <w:rsid w:val="60841FFE"/>
    <w:rsid w:val="60846CF1"/>
    <w:rsid w:val="608A5EC3"/>
    <w:rsid w:val="608C2AE7"/>
    <w:rsid w:val="608E570C"/>
    <w:rsid w:val="608F5287"/>
    <w:rsid w:val="608F7035"/>
    <w:rsid w:val="60921C88"/>
    <w:rsid w:val="60932FCA"/>
    <w:rsid w:val="60942ED0"/>
    <w:rsid w:val="609603C4"/>
    <w:rsid w:val="609A7A64"/>
    <w:rsid w:val="609B00D0"/>
    <w:rsid w:val="609B1E7E"/>
    <w:rsid w:val="609D5BF6"/>
    <w:rsid w:val="609F196E"/>
    <w:rsid w:val="609F27FF"/>
    <w:rsid w:val="60A16F61"/>
    <w:rsid w:val="60A24BAF"/>
    <w:rsid w:val="60A26D69"/>
    <w:rsid w:val="60A30D33"/>
    <w:rsid w:val="60A32AE1"/>
    <w:rsid w:val="60A725D1"/>
    <w:rsid w:val="60AE1BB1"/>
    <w:rsid w:val="60AE3089"/>
    <w:rsid w:val="60AE7190"/>
    <w:rsid w:val="60AF592A"/>
    <w:rsid w:val="60B30F7F"/>
    <w:rsid w:val="60B3409C"/>
    <w:rsid w:val="60B45D43"/>
    <w:rsid w:val="60BA4B3A"/>
    <w:rsid w:val="60BA5435"/>
    <w:rsid w:val="60BA5B08"/>
    <w:rsid w:val="60BC6AE8"/>
    <w:rsid w:val="60C24C13"/>
    <w:rsid w:val="60C2740B"/>
    <w:rsid w:val="60C70EC5"/>
    <w:rsid w:val="60CC3548"/>
    <w:rsid w:val="60CC405A"/>
    <w:rsid w:val="60CE4002"/>
    <w:rsid w:val="60D10AF7"/>
    <w:rsid w:val="60D243D2"/>
    <w:rsid w:val="60D33FA2"/>
    <w:rsid w:val="60D73EE7"/>
    <w:rsid w:val="60D76D80"/>
    <w:rsid w:val="60DA490D"/>
    <w:rsid w:val="60DD66AE"/>
    <w:rsid w:val="60E23609"/>
    <w:rsid w:val="60E538A3"/>
    <w:rsid w:val="60E73B76"/>
    <w:rsid w:val="60E76E71"/>
    <w:rsid w:val="60E80C54"/>
    <w:rsid w:val="60E95D53"/>
    <w:rsid w:val="60EC6236"/>
    <w:rsid w:val="60EE09D4"/>
    <w:rsid w:val="60EE1FAE"/>
    <w:rsid w:val="60EE6452"/>
    <w:rsid w:val="60F264B9"/>
    <w:rsid w:val="60F31AFD"/>
    <w:rsid w:val="60F54ED9"/>
    <w:rsid w:val="60FB46CB"/>
    <w:rsid w:val="60FD0443"/>
    <w:rsid w:val="60FD1B5A"/>
    <w:rsid w:val="60FE4F3D"/>
    <w:rsid w:val="60FF5A72"/>
    <w:rsid w:val="61003EA2"/>
    <w:rsid w:val="61016185"/>
    <w:rsid w:val="610203EF"/>
    <w:rsid w:val="61045C75"/>
    <w:rsid w:val="61050B14"/>
    <w:rsid w:val="610572F8"/>
    <w:rsid w:val="61062354"/>
    <w:rsid w:val="610A571E"/>
    <w:rsid w:val="610B68FE"/>
    <w:rsid w:val="610C43CD"/>
    <w:rsid w:val="610C68D8"/>
    <w:rsid w:val="610D1D5D"/>
    <w:rsid w:val="610E7B4A"/>
    <w:rsid w:val="61102D0E"/>
    <w:rsid w:val="611063C8"/>
    <w:rsid w:val="6111668E"/>
    <w:rsid w:val="61120392"/>
    <w:rsid w:val="61124939"/>
    <w:rsid w:val="6114628E"/>
    <w:rsid w:val="61151C31"/>
    <w:rsid w:val="6116474A"/>
    <w:rsid w:val="61175BDA"/>
    <w:rsid w:val="61181721"/>
    <w:rsid w:val="61182A26"/>
    <w:rsid w:val="611C05BC"/>
    <w:rsid w:val="611F485D"/>
    <w:rsid w:val="611F660B"/>
    <w:rsid w:val="611F78A1"/>
    <w:rsid w:val="6121185D"/>
    <w:rsid w:val="61241E74"/>
    <w:rsid w:val="61250F20"/>
    <w:rsid w:val="61273712"/>
    <w:rsid w:val="612777D3"/>
    <w:rsid w:val="61296084"/>
    <w:rsid w:val="6129748A"/>
    <w:rsid w:val="612A1278"/>
    <w:rsid w:val="612A72FB"/>
    <w:rsid w:val="612E54E9"/>
    <w:rsid w:val="61304E23"/>
    <w:rsid w:val="61306A6A"/>
    <w:rsid w:val="6132389B"/>
    <w:rsid w:val="61333E65"/>
    <w:rsid w:val="61341954"/>
    <w:rsid w:val="61354081"/>
    <w:rsid w:val="613552D9"/>
    <w:rsid w:val="61357BDD"/>
    <w:rsid w:val="61367E99"/>
    <w:rsid w:val="61371BA7"/>
    <w:rsid w:val="6137529D"/>
    <w:rsid w:val="6138147B"/>
    <w:rsid w:val="613A1697"/>
    <w:rsid w:val="613D1187"/>
    <w:rsid w:val="613E0C7C"/>
    <w:rsid w:val="613F238A"/>
    <w:rsid w:val="61426868"/>
    <w:rsid w:val="61437A80"/>
    <w:rsid w:val="61437C40"/>
    <w:rsid w:val="6144174E"/>
    <w:rsid w:val="61461DEA"/>
    <w:rsid w:val="614646A3"/>
    <w:rsid w:val="61475BA3"/>
    <w:rsid w:val="61497B2C"/>
    <w:rsid w:val="614B5A02"/>
    <w:rsid w:val="614D5CC8"/>
    <w:rsid w:val="61547A07"/>
    <w:rsid w:val="61553630"/>
    <w:rsid w:val="615844FD"/>
    <w:rsid w:val="6158645B"/>
    <w:rsid w:val="615A5895"/>
    <w:rsid w:val="615B0E15"/>
    <w:rsid w:val="615C005F"/>
    <w:rsid w:val="615F322A"/>
    <w:rsid w:val="615F5CEB"/>
    <w:rsid w:val="616109D2"/>
    <w:rsid w:val="61624BE8"/>
    <w:rsid w:val="61631AF8"/>
    <w:rsid w:val="61651E6B"/>
    <w:rsid w:val="61670496"/>
    <w:rsid w:val="61693D2A"/>
    <w:rsid w:val="61696E3A"/>
    <w:rsid w:val="6169773D"/>
    <w:rsid w:val="616B0624"/>
    <w:rsid w:val="616F0CDD"/>
    <w:rsid w:val="616F199A"/>
    <w:rsid w:val="61706E67"/>
    <w:rsid w:val="61742209"/>
    <w:rsid w:val="617526CF"/>
    <w:rsid w:val="61774DC9"/>
    <w:rsid w:val="617821BF"/>
    <w:rsid w:val="617969C3"/>
    <w:rsid w:val="617D082F"/>
    <w:rsid w:val="617F70AA"/>
    <w:rsid w:val="61811074"/>
    <w:rsid w:val="6183303E"/>
    <w:rsid w:val="61842912"/>
    <w:rsid w:val="61853FDE"/>
    <w:rsid w:val="618B1EF3"/>
    <w:rsid w:val="618B3CA1"/>
    <w:rsid w:val="618C25A9"/>
    <w:rsid w:val="618C4139"/>
    <w:rsid w:val="618C421D"/>
    <w:rsid w:val="618D5C6B"/>
    <w:rsid w:val="61907509"/>
    <w:rsid w:val="61914AE5"/>
    <w:rsid w:val="619442F3"/>
    <w:rsid w:val="619A2136"/>
    <w:rsid w:val="619C4100"/>
    <w:rsid w:val="61A11716"/>
    <w:rsid w:val="61A56CDB"/>
    <w:rsid w:val="61A60ADB"/>
    <w:rsid w:val="61A82C0B"/>
    <w:rsid w:val="61A84423"/>
    <w:rsid w:val="61A92379"/>
    <w:rsid w:val="61AA3F56"/>
    <w:rsid w:val="61AB6066"/>
    <w:rsid w:val="61AC0944"/>
    <w:rsid w:val="61B04BEB"/>
    <w:rsid w:val="61B07A32"/>
    <w:rsid w:val="61B460C5"/>
    <w:rsid w:val="61B551C2"/>
    <w:rsid w:val="61B66CB9"/>
    <w:rsid w:val="61B72527"/>
    <w:rsid w:val="61B80530"/>
    <w:rsid w:val="61BA6AEC"/>
    <w:rsid w:val="61BD7BD2"/>
    <w:rsid w:val="61BF7DEE"/>
    <w:rsid w:val="61C24BFD"/>
    <w:rsid w:val="61C372D5"/>
    <w:rsid w:val="61C44979"/>
    <w:rsid w:val="61C471B3"/>
    <w:rsid w:val="61C71707"/>
    <w:rsid w:val="61CB7801"/>
    <w:rsid w:val="61CD42B9"/>
    <w:rsid w:val="61CE2A1A"/>
    <w:rsid w:val="61CE3B8D"/>
    <w:rsid w:val="61D12DC5"/>
    <w:rsid w:val="61D35DFA"/>
    <w:rsid w:val="61D373F6"/>
    <w:rsid w:val="61D37A30"/>
    <w:rsid w:val="61D4389A"/>
    <w:rsid w:val="61D45648"/>
    <w:rsid w:val="61D57651"/>
    <w:rsid w:val="61D661B0"/>
    <w:rsid w:val="61D70C94"/>
    <w:rsid w:val="61D75138"/>
    <w:rsid w:val="61D7623E"/>
    <w:rsid w:val="61D76CE3"/>
    <w:rsid w:val="61D92C5E"/>
    <w:rsid w:val="61DA37FE"/>
    <w:rsid w:val="61DC274E"/>
    <w:rsid w:val="61DE656B"/>
    <w:rsid w:val="61E0551D"/>
    <w:rsid w:val="61E17D65"/>
    <w:rsid w:val="61E215D8"/>
    <w:rsid w:val="61E416D8"/>
    <w:rsid w:val="61E67129"/>
    <w:rsid w:val="61E8646A"/>
    <w:rsid w:val="61EA3943"/>
    <w:rsid w:val="61EC5B50"/>
    <w:rsid w:val="61EC6729"/>
    <w:rsid w:val="61ED3CB1"/>
    <w:rsid w:val="61EF2482"/>
    <w:rsid w:val="61F01D56"/>
    <w:rsid w:val="61F15C05"/>
    <w:rsid w:val="61F16733"/>
    <w:rsid w:val="61F2259B"/>
    <w:rsid w:val="61F3450B"/>
    <w:rsid w:val="61F545EC"/>
    <w:rsid w:val="61F65BB8"/>
    <w:rsid w:val="61F87027"/>
    <w:rsid w:val="61F938BC"/>
    <w:rsid w:val="61F950AE"/>
    <w:rsid w:val="61FA11EA"/>
    <w:rsid w:val="61FA2BD4"/>
    <w:rsid w:val="61FC2DEA"/>
    <w:rsid w:val="61FC694D"/>
    <w:rsid w:val="620457BC"/>
    <w:rsid w:val="62053A53"/>
    <w:rsid w:val="62061579"/>
    <w:rsid w:val="62065A1D"/>
    <w:rsid w:val="6207204E"/>
    <w:rsid w:val="620832E0"/>
    <w:rsid w:val="620864B2"/>
    <w:rsid w:val="620A2AA0"/>
    <w:rsid w:val="620D0D82"/>
    <w:rsid w:val="620F48D2"/>
    <w:rsid w:val="62123C8A"/>
    <w:rsid w:val="62141ABE"/>
    <w:rsid w:val="62165C60"/>
    <w:rsid w:val="621B3775"/>
    <w:rsid w:val="621B7E77"/>
    <w:rsid w:val="621C28C9"/>
    <w:rsid w:val="621F43E9"/>
    <w:rsid w:val="622235DD"/>
    <w:rsid w:val="62261C1B"/>
    <w:rsid w:val="622A342E"/>
    <w:rsid w:val="622A5268"/>
    <w:rsid w:val="622C2E21"/>
    <w:rsid w:val="622D1904"/>
    <w:rsid w:val="62311B78"/>
    <w:rsid w:val="62364782"/>
    <w:rsid w:val="62364CA3"/>
    <w:rsid w:val="6236665C"/>
    <w:rsid w:val="62373408"/>
    <w:rsid w:val="62373E29"/>
    <w:rsid w:val="62384D07"/>
    <w:rsid w:val="623B2220"/>
    <w:rsid w:val="623B7475"/>
    <w:rsid w:val="623C4F9B"/>
    <w:rsid w:val="623D5F39"/>
    <w:rsid w:val="623E6F65"/>
    <w:rsid w:val="62402CDD"/>
    <w:rsid w:val="624125B1"/>
    <w:rsid w:val="62431393"/>
    <w:rsid w:val="624478B9"/>
    <w:rsid w:val="624502F4"/>
    <w:rsid w:val="62452070"/>
    <w:rsid w:val="624647B5"/>
    <w:rsid w:val="62483940"/>
    <w:rsid w:val="624F2F20"/>
    <w:rsid w:val="62514EEA"/>
    <w:rsid w:val="62535C2C"/>
    <w:rsid w:val="625405C5"/>
    <w:rsid w:val="62586279"/>
    <w:rsid w:val="625C563D"/>
    <w:rsid w:val="625C73EB"/>
    <w:rsid w:val="625E13B5"/>
    <w:rsid w:val="62610BD3"/>
    <w:rsid w:val="626544F2"/>
    <w:rsid w:val="626562A0"/>
    <w:rsid w:val="62660DCA"/>
    <w:rsid w:val="62660EA1"/>
    <w:rsid w:val="62683FE2"/>
    <w:rsid w:val="626A6E80"/>
    <w:rsid w:val="626A7CBE"/>
    <w:rsid w:val="627110E9"/>
    <w:rsid w:val="62734531"/>
    <w:rsid w:val="62741CE8"/>
    <w:rsid w:val="62742987"/>
    <w:rsid w:val="62764951"/>
    <w:rsid w:val="62775FD3"/>
    <w:rsid w:val="62782477"/>
    <w:rsid w:val="62783D6B"/>
    <w:rsid w:val="627D3FF6"/>
    <w:rsid w:val="627E7362"/>
    <w:rsid w:val="6281761D"/>
    <w:rsid w:val="628250A4"/>
    <w:rsid w:val="62832BCA"/>
    <w:rsid w:val="62845119"/>
    <w:rsid w:val="62894684"/>
    <w:rsid w:val="628C1A7E"/>
    <w:rsid w:val="628E0150"/>
    <w:rsid w:val="628F2BB1"/>
    <w:rsid w:val="628F4C0C"/>
    <w:rsid w:val="628F77C1"/>
    <w:rsid w:val="629244AA"/>
    <w:rsid w:val="62944DD7"/>
    <w:rsid w:val="62980A4D"/>
    <w:rsid w:val="6299006B"/>
    <w:rsid w:val="629A2E59"/>
    <w:rsid w:val="629B199D"/>
    <w:rsid w:val="629B683F"/>
    <w:rsid w:val="629D15BD"/>
    <w:rsid w:val="629E7A04"/>
    <w:rsid w:val="629F115D"/>
    <w:rsid w:val="62A274F4"/>
    <w:rsid w:val="62A72D5C"/>
    <w:rsid w:val="62A96AD4"/>
    <w:rsid w:val="62AA352A"/>
    <w:rsid w:val="62AD4D44"/>
    <w:rsid w:val="62AD7C47"/>
    <w:rsid w:val="62AF1A33"/>
    <w:rsid w:val="62AF29E4"/>
    <w:rsid w:val="62B34753"/>
    <w:rsid w:val="62B6741A"/>
    <w:rsid w:val="62B9483E"/>
    <w:rsid w:val="62BC7E8A"/>
    <w:rsid w:val="62BD60DC"/>
    <w:rsid w:val="62BE15E3"/>
    <w:rsid w:val="62BF00A6"/>
    <w:rsid w:val="62BF0AB4"/>
    <w:rsid w:val="62C118AA"/>
    <w:rsid w:val="62C16ED9"/>
    <w:rsid w:val="62C26DBC"/>
    <w:rsid w:val="62C27B96"/>
    <w:rsid w:val="62C51434"/>
    <w:rsid w:val="62C531E2"/>
    <w:rsid w:val="62C95A09"/>
    <w:rsid w:val="62CA10C7"/>
    <w:rsid w:val="62CB16B6"/>
    <w:rsid w:val="62CB3EFE"/>
    <w:rsid w:val="62CC1286"/>
    <w:rsid w:val="62CD351A"/>
    <w:rsid w:val="62CF5E0F"/>
    <w:rsid w:val="62CF7BBD"/>
    <w:rsid w:val="62D376AD"/>
    <w:rsid w:val="62D55251"/>
    <w:rsid w:val="62D60F4C"/>
    <w:rsid w:val="62D6562F"/>
    <w:rsid w:val="62D84CC4"/>
    <w:rsid w:val="62DA7D70"/>
    <w:rsid w:val="62DB2770"/>
    <w:rsid w:val="62DB6768"/>
    <w:rsid w:val="62DD22DA"/>
    <w:rsid w:val="62DE42A4"/>
    <w:rsid w:val="62DE4DBC"/>
    <w:rsid w:val="62DE6052"/>
    <w:rsid w:val="62E22984"/>
    <w:rsid w:val="62E33669"/>
    <w:rsid w:val="62E66D40"/>
    <w:rsid w:val="62E91076"/>
    <w:rsid w:val="62ED2040"/>
    <w:rsid w:val="62EE05E7"/>
    <w:rsid w:val="62F11D39"/>
    <w:rsid w:val="62F35FA1"/>
    <w:rsid w:val="62F37504"/>
    <w:rsid w:val="62F87114"/>
    <w:rsid w:val="62F941DD"/>
    <w:rsid w:val="62FA0EB7"/>
    <w:rsid w:val="62FD472A"/>
    <w:rsid w:val="62FE086A"/>
    <w:rsid w:val="62FE1878"/>
    <w:rsid w:val="630019C5"/>
    <w:rsid w:val="6300421A"/>
    <w:rsid w:val="63027F93"/>
    <w:rsid w:val="63037B6F"/>
    <w:rsid w:val="63057A83"/>
    <w:rsid w:val="63071A4D"/>
    <w:rsid w:val="630952E0"/>
    <w:rsid w:val="630C0E11"/>
    <w:rsid w:val="63141A74"/>
    <w:rsid w:val="63157515"/>
    <w:rsid w:val="63163A3E"/>
    <w:rsid w:val="63181564"/>
    <w:rsid w:val="63185A08"/>
    <w:rsid w:val="631927BD"/>
    <w:rsid w:val="631D301E"/>
    <w:rsid w:val="631D4DCC"/>
    <w:rsid w:val="631D6B7A"/>
    <w:rsid w:val="631E4243"/>
    <w:rsid w:val="631F6D97"/>
    <w:rsid w:val="63202864"/>
    <w:rsid w:val="6320666B"/>
    <w:rsid w:val="63250F5C"/>
    <w:rsid w:val="6327416D"/>
    <w:rsid w:val="632779F9"/>
    <w:rsid w:val="632909B0"/>
    <w:rsid w:val="63291CD4"/>
    <w:rsid w:val="632949E9"/>
    <w:rsid w:val="632C14B3"/>
    <w:rsid w:val="632D34B0"/>
    <w:rsid w:val="632D7378"/>
    <w:rsid w:val="632E5EF4"/>
    <w:rsid w:val="632F68AE"/>
    <w:rsid w:val="63314D0E"/>
    <w:rsid w:val="63317757"/>
    <w:rsid w:val="6332172E"/>
    <w:rsid w:val="63321E04"/>
    <w:rsid w:val="633600B8"/>
    <w:rsid w:val="63365E37"/>
    <w:rsid w:val="633D2E1F"/>
    <w:rsid w:val="6340727D"/>
    <w:rsid w:val="63415F11"/>
    <w:rsid w:val="63424833"/>
    <w:rsid w:val="6343216C"/>
    <w:rsid w:val="63464333"/>
    <w:rsid w:val="6346578C"/>
    <w:rsid w:val="63467FCF"/>
    <w:rsid w:val="6349032F"/>
    <w:rsid w:val="634A4A81"/>
    <w:rsid w:val="634F472E"/>
    <w:rsid w:val="6353259C"/>
    <w:rsid w:val="63547FD7"/>
    <w:rsid w:val="635602DE"/>
    <w:rsid w:val="63572933"/>
    <w:rsid w:val="63596DB3"/>
    <w:rsid w:val="63597A45"/>
    <w:rsid w:val="635A51EC"/>
    <w:rsid w:val="635E65EB"/>
    <w:rsid w:val="635E6798"/>
    <w:rsid w:val="63600598"/>
    <w:rsid w:val="63604CB9"/>
    <w:rsid w:val="63640816"/>
    <w:rsid w:val="63640C4D"/>
    <w:rsid w:val="63662844"/>
    <w:rsid w:val="636724EC"/>
    <w:rsid w:val="636A4C14"/>
    <w:rsid w:val="636B2239"/>
    <w:rsid w:val="636D792C"/>
    <w:rsid w:val="637075F2"/>
    <w:rsid w:val="63712545"/>
    <w:rsid w:val="6371576C"/>
    <w:rsid w:val="6372210C"/>
    <w:rsid w:val="637349EC"/>
    <w:rsid w:val="63750765"/>
    <w:rsid w:val="637A221F"/>
    <w:rsid w:val="637A5D7B"/>
    <w:rsid w:val="637D4A9A"/>
    <w:rsid w:val="637E06AE"/>
    <w:rsid w:val="637E751D"/>
    <w:rsid w:val="638135AD"/>
    <w:rsid w:val="63837F10"/>
    <w:rsid w:val="63861D45"/>
    <w:rsid w:val="638B7F88"/>
    <w:rsid w:val="638C24C7"/>
    <w:rsid w:val="638C28AB"/>
    <w:rsid w:val="638C3D00"/>
    <w:rsid w:val="638E1826"/>
    <w:rsid w:val="638F65E8"/>
    <w:rsid w:val="63901A42"/>
    <w:rsid w:val="639037F0"/>
    <w:rsid w:val="6392460E"/>
    <w:rsid w:val="6394356A"/>
    <w:rsid w:val="639736A2"/>
    <w:rsid w:val="639739B7"/>
    <w:rsid w:val="639775B1"/>
    <w:rsid w:val="63980DD3"/>
    <w:rsid w:val="63984453"/>
    <w:rsid w:val="63985EF5"/>
    <w:rsid w:val="639A0918"/>
    <w:rsid w:val="639A1EF0"/>
    <w:rsid w:val="639A641D"/>
    <w:rsid w:val="639C066B"/>
    <w:rsid w:val="63A4104A"/>
    <w:rsid w:val="63A64DC2"/>
    <w:rsid w:val="63B21462"/>
    <w:rsid w:val="63B21C21"/>
    <w:rsid w:val="63B35B54"/>
    <w:rsid w:val="63B42A53"/>
    <w:rsid w:val="63B82D47"/>
    <w:rsid w:val="63B95CC0"/>
    <w:rsid w:val="63BA086D"/>
    <w:rsid w:val="63BB2794"/>
    <w:rsid w:val="63BC2837"/>
    <w:rsid w:val="63BC47CB"/>
    <w:rsid w:val="63BD3EBA"/>
    <w:rsid w:val="63BF40D6"/>
    <w:rsid w:val="63C11BFC"/>
    <w:rsid w:val="63C33BC6"/>
    <w:rsid w:val="63C60DD8"/>
    <w:rsid w:val="63C61B2C"/>
    <w:rsid w:val="63C67212"/>
    <w:rsid w:val="63C74D38"/>
    <w:rsid w:val="63C80413"/>
    <w:rsid w:val="63C90AB0"/>
    <w:rsid w:val="63CA30ED"/>
    <w:rsid w:val="63CB3B75"/>
    <w:rsid w:val="63D23FB7"/>
    <w:rsid w:val="63D40BE9"/>
    <w:rsid w:val="63D50BF2"/>
    <w:rsid w:val="63D538F9"/>
    <w:rsid w:val="63D95197"/>
    <w:rsid w:val="63DB0897"/>
    <w:rsid w:val="63DC0961"/>
    <w:rsid w:val="63E2042A"/>
    <w:rsid w:val="63E30E5D"/>
    <w:rsid w:val="63E619B6"/>
    <w:rsid w:val="63E73C75"/>
    <w:rsid w:val="63E87188"/>
    <w:rsid w:val="63E9766D"/>
    <w:rsid w:val="63EB4ECB"/>
    <w:rsid w:val="63F024E1"/>
    <w:rsid w:val="63F0428F"/>
    <w:rsid w:val="63F0603D"/>
    <w:rsid w:val="63F20007"/>
    <w:rsid w:val="63F26259"/>
    <w:rsid w:val="63F34859"/>
    <w:rsid w:val="63F50E81"/>
    <w:rsid w:val="63F5485E"/>
    <w:rsid w:val="63F64883"/>
    <w:rsid w:val="63FC70D8"/>
    <w:rsid w:val="63FD3F03"/>
    <w:rsid w:val="63FE69AC"/>
    <w:rsid w:val="63FF248C"/>
    <w:rsid w:val="64004CDA"/>
    <w:rsid w:val="640259A7"/>
    <w:rsid w:val="64062E6B"/>
    <w:rsid w:val="640815D9"/>
    <w:rsid w:val="64095E25"/>
    <w:rsid w:val="640C02E7"/>
    <w:rsid w:val="640D77F0"/>
    <w:rsid w:val="6410048D"/>
    <w:rsid w:val="64102431"/>
    <w:rsid w:val="64106345"/>
    <w:rsid w:val="64110D2B"/>
    <w:rsid w:val="641206A9"/>
    <w:rsid w:val="64124293"/>
    <w:rsid w:val="641252B6"/>
    <w:rsid w:val="6413069A"/>
    <w:rsid w:val="64130E9E"/>
    <w:rsid w:val="64144421"/>
    <w:rsid w:val="64153CF6"/>
    <w:rsid w:val="64175CC0"/>
    <w:rsid w:val="641F4B74"/>
    <w:rsid w:val="6420200A"/>
    <w:rsid w:val="64202DC6"/>
    <w:rsid w:val="642527C7"/>
    <w:rsid w:val="64275505"/>
    <w:rsid w:val="642800EA"/>
    <w:rsid w:val="64281C7B"/>
    <w:rsid w:val="642A4389"/>
    <w:rsid w:val="642C245D"/>
    <w:rsid w:val="642D7291"/>
    <w:rsid w:val="642F4DB7"/>
    <w:rsid w:val="6431404C"/>
    <w:rsid w:val="64363911"/>
    <w:rsid w:val="64393E88"/>
    <w:rsid w:val="64412D3D"/>
    <w:rsid w:val="64414AEB"/>
    <w:rsid w:val="64487FE8"/>
    <w:rsid w:val="644A4ECB"/>
    <w:rsid w:val="644C132A"/>
    <w:rsid w:val="644D00AF"/>
    <w:rsid w:val="644D348F"/>
    <w:rsid w:val="644E5694"/>
    <w:rsid w:val="644F1E60"/>
    <w:rsid w:val="644F7208"/>
    <w:rsid w:val="64520AA6"/>
    <w:rsid w:val="645268DD"/>
    <w:rsid w:val="6453553C"/>
    <w:rsid w:val="6456079F"/>
    <w:rsid w:val="645B3DFE"/>
    <w:rsid w:val="645C5F79"/>
    <w:rsid w:val="646840F8"/>
    <w:rsid w:val="646A2293"/>
    <w:rsid w:val="646C2F4D"/>
    <w:rsid w:val="646C4260"/>
    <w:rsid w:val="646D06EC"/>
    <w:rsid w:val="646D768E"/>
    <w:rsid w:val="646D79ED"/>
    <w:rsid w:val="646F3ABD"/>
    <w:rsid w:val="646F6D06"/>
    <w:rsid w:val="646F78AA"/>
    <w:rsid w:val="6470717E"/>
    <w:rsid w:val="64713622"/>
    <w:rsid w:val="64721148"/>
    <w:rsid w:val="6472739A"/>
    <w:rsid w:val="647277F4"/>
    <w:rsid w:val="6475575D"/>
    <w:rsid w:val="647629E6"/>
    <w:rsid w:val="6477675E"/>
    <w:rsid w:val="64792C7C"/>
    <w:rsid w:val="647A1DAB"/>
    <w:rsid w:val="647A5EB6"/>
    <w:rsid w:val="647C19B2"/>
    <w:rsid w:val="647E5D3F"/>
    <w:rsid w:val="64801AB7"/>
    <w:rsid w:val="6481138B"/>
    <w:rsid w:val="64846806"/>
    <w:rsid w:val="6488096B"/>
    <w:rsid w:val="648860EB"/>
    <w:rsid w:val="648C07EF"/>
    <w:rsid w:val="649015CE"/>
    <w:rsid w:val="649209E3"/>
    <w:rsid w:val="64990E03"/>
    <w:rsid w:val="64992B79"/>
    <w:rsid w:val="649966D5"/>
    <w:rsid w:val="649A0A7E"/>
    <w:rsid w:val="649B265D"/>
    <w:rsid w:val="649E11D8"/>
    <w:rsid w:val="649F18C5"/>
    <w:rsid w:val="649F39B1"/>
    <w:rsid w:val="64A00B77"/>
    <w:rsid w:val="64A37553"/>
    <w:rsid w:val="64A5243A"/>
    <w:rsid w:val="64A77044"/>
    <w:rsid w:val="64AA2690"/>
    <w:rsid w:val="64AA6315"/>
    <w:rsid w:val="64AD03D2"/>
    <w:rsid w:val="64AD31F8"/>
    <w:rsid w:val="64AE4B9C"/>
    <w:rsid w:val="64AF414A"/>
    <w:rsid w:val="64AF7CA6"/>
    <w:rsid w:val="64B11C70"/>
    <w:rsid w:val="64B1669D"/>
    <w:rsid w:val="64B259E8"/>
    <w:rsid w:val="64B36C20"/>
    <w:rsid w:val="64B41760"/>
    <w:rsid w:val="64B4350F"/>
    <w:rsid w:val="64B81251"/>
    <w:rsid w:val="64BC16FB"/>
    <w:rsid w:val="64BE22D6"/>
    <w:rsid w:val="64C113E7"/>
    <w:rsid w:val="64C25C2B"/>
    <w:rsid w:val="64C319A4"/>
    <w:rsid w:val="64C37BF6"/>
    <w:rsid w:val="64C429B5"/>
    <w:rsid w:val="64C5571C"/>
    <w:rsid w:val="64C76F07"/>
    <w:rsid w:val="64CA5483"/>
    <w:rsid w:val="64D23995"/>
    <w:rsid w:val="64D37E39"/>
    <w:rsid w:val="64D44DFB"/>
    <w:rsid w:val="64D4770D"/>
    <w:rsid w:val="64D52220"/>
    <w:rsid w:val="64D75DCC"/>
    <w:rsid w:val="64D92F75"/>
    <w:rsid w:val="64DB3C48"/>
    <w:rsid w:val="64DB4F3F"/>
    <w:rsid w:val="64DC045E"/>
    <w:rsid w:val="64DD2A65"/>
    <w:rsid w:val="64E42254"/>
    <w:rsid w:val="64E53F9C"/>
    <w:rsid w:val="64E555D9"/>
    <w:rsid w:val="64E90958"/>
    <w:rsid w:val="64EC2CA8"/>
    <w:rsid w:val="64ED59A7"/>
    <w:rsid w:val="64EE225C"/>
    <w:rsid w:val="64EE2C8E"/>
    <w:rsid w:val="64F34AA0"/>
    <w:rsid w:val="64F35C8B"/>
    <w:rsid w:val="64F45E8A"/>
    <w:rsid w:val="64F47DAF"/>
    <w:rsid w:val="64F524AE"/>
    <w:rsid w:val="64F531DE"/>
    <w:rsid w:val="64F537D4"/>
    <w:rsid w:val="64F61D79"/>
    <w:rsid w:val="64F77EA0"/>
    <w:rsid w:val="64F825F4"/>
    <w:rsid w:val="64FB52A4"/>
    <w:rsid w:val="64FD32CA"/>
    <w:rsid w:val="6503156E"/>
    <w:rsid w:val="65031DA0"/>
    <w:rsid w:val="65040919"/>
    <w:rsid w:val="65044496"/>
    <w:rsid w:val="6505168F"/>
    <w:rsid w:val="6505216A"/>
    <w:rsid w:val="65053FDE"/>
    <w:rsid w:val="65054FF0"/>
    <w:rsid w:val="6508782D"/>
    <w:rsid w:val="6509385A"/>
    <w:rsid w:val="650A67C2"/>
    <w:rsid w:val="650E2813"/>
    <w:rsid w:val="650E70C3"/>
    <w:rsid w:val="65102E3B"/>
    <w:rsid w:val="65136487"/>
    <w:rsid w:val="65150451"/>
    <w:rsid w:val="65167129"/>
    <w:rsid w:val="65167D25"/>
    <w:rsid w:val="651A5A67"/>
    <w:rsid w:val="651D5558"/>
    <w:rsid w:val="65202952"/>
    <w:rsid w:val="65206063"/>
    <w:rsid w:val="652473FA"/>
    <w:rsid w:val="652561BA"/>
    <w:rsid w:val="65256800"/>
    <w:rsid w:val="652634E2"/>
    <w:rsid w:val="652A469E"/>
    <w:rsid w:val="652A472F"/>
    <w:rsid w:val="652C48C2"/>
    <w:rsid w:val="652E32C1"/>
    <w:rsid w:val="65304D16"/>
    <w:rsid w:val="6530528B"/>
    <w:rsid w:val="65363F24"/>
    <w:rsid w:val="65371597"/>
    <w:rsid w:val="6537195E"/>
    <w:rsid w:val="65373578"/>
    <w:rsid w:val="65393A14"/>
    <w:rsid w:val="65401246"/>
    <w:rsid w:val="65402FF4"/>
    <w:rsid w:val="65424FBE"/>
    <w:rsid w:val="65431AC9"/>
    <w:rsid w:val="65433FC7"/>
    <w:rsid w:val="65436640"/>
    <w:rsid w:val="65452A7D"/>
    <w:rsid w:val="65475F7A"/>
    <w:rsid w:val="6549634D"/>
    <w:rsid w:val="654A387B"/>
    <w:rsid w:val="654A6CD7"/>
    <w:rsid w:val="654F3237"/>
    <w:rsid w:val="65542D17"/>
    <w:rsid w:val="65564343"/>
    <w:rsid w:val="655645C6"/>
    <w:rsid w:val="65566374"/>
    <w:rsid w:val="65574630"/>
    <w:rsid w:val="65587918"/>
    <w:rsid w:val="655A40B6"/>
    <w:rsid w:val="655A5E64"/>
    <w:rsid w:val="655C79FF"/>
    <w:rsid w:val="655D5954"/>
    <w:rsid w:val="655F0F12"/>
    <w:rsid w:val="655F791E"/>
    <w:rsid w:val="6560169D"/>
    <w:rsid w:val="65603427"/>
    <w:rsid w:val="65605444"/>
    <w:rsid w:val="656162C8"/>
    <w:rsid w:val="656211BC"/>
    <w:rsid w:val="656447FC"/>
    <w:rsid w:val="65644F35"/>
    <w:rsid w:val="65670581"/>
    <w:rsid w:val="6567508E"/>
    <w:rsid w:val="656960A7"/>
    <w:rsid w:val="656A1E1F"/>
    <w:rsid w:val="6572676E"/>
    <w:rsid w:val="65736F26"/>
    <w:rsid w:val="65764D9F"/>
    <w:rsid w:val="6578278E"/>
    <w:rsid w:val="657A02B4"/>
    <w:rsid w:val="657D1B52"/>
    <w:rsid w:val="657D389C"/>
    <w:rsid w:val="65835F29"/>
    <w:rsid w:val="6587782E"/>
    <w:rsid w:val="65883C7E"/>
    <w:rsid w:val="658A426F"/>
    <w:rsid w:val="658C6239"/>
    <w:rsid w:val="658C6B79"/>
    <w:rsid w:val="658D132E"/>
    <w:rsid w:val="658D6FE2"/>
    <w:rsid w:val="658F596B"/>
    <w:rsid w:val="65901886"/>
    <w:rsid w:val="65902411"/>
    <w:rsid w:val="6593322E"/>
    <w:rsid w:val="6594184F"/>
    <w:rsid w:val="65953340"/>
    <w:rsid w:val="659679D9"/>
    <w:rsid w:val="6598698C"/>
    <w:rsid w:val="659E3FF5"/>
    <w:rsid w:val="659F479B"/>
    <w:rsid w:val="65A05841"/>
    <w:rsid w:val="65A10402"/>
    <w:rsid w:val="65A11CE5"/>
    <w:rsid w:val="65A13A93"/>
    <w:rsid w:val="65A22524"/>
    <w:rsid w:val="65A2780B"/>
    <w:rsid w:val="65A4210E"/>
    <w:rsid w:val="65AB4911"/>
    <w:rsid w:val="65AB66C0"/>
    <w:rsid w:val="65AD1278"/>
    <w:rsid w:val="65AD4482"/>
    <w:rsid w:val="65AE7F5E"/>
    <w:rsid w:val="65B13755"/>
    <w:rsid w:val="65B1577C"/>
    <w:rsid w:val="65B247A9"/>
    <w:rsid w:val="65B35574"/>
    <w:rsid w:val="65B55790"/>
    <w:rsid w:val="65B61B00"/>
    <w:rsid w:val="65B640A4"/>
    <w:rsid w:val="65B71508"/>
    <w:rsid w:val="65B752FD"/>
    <w:rsid w:val="65B7706E"/>
    <w:rsid w:val="65BD63F3"/>
    <w:rsid w:val="65BE334F"/>
    <w:rsid w:val="65BE7529"/>
    <w:rsid w:val="65C13D88"/>
    <w:rsid w:val="65C30852"/>
    <w:rsid w:val="65C43C25"/>
    <w:rsid w:val="65C475C9"/>
    <w:rsid w:val="65C47781"/>
    <w:rsid w:val="65C6799D"/>
    <w:rsid w:val="65C7187A"/>
    <w:rsid w:val="65C9123C"/>
    <w:rsid w:val="65C94D98"/>
    <w:rsid w:val="65CB0B10"/>
    <w:rsid w:val="65CD092D"/>
    <w:rsid w:val="65CE23AE"/>
    <w:rsid w:val="65CE4D3D"/>
    <w:rsid w:val="65D04378"/>
    <w:rsid w:val="65D070D8"/>
    <w:rsid w:val="65D2183F"/>
    <w:rsid w:val="65D31F89"/>
    <w:rsid w:val="65D5373C"/>
    <w:rsid w:val="65D556C2"/>
    <w:rsid w:val="65D6331D"/>
    <w:rsid w:val="65D8147F"/>
    <w:rsid w:val="65D96968"/>
    <w:rsid w:val="65DD66AA"/>
    <w:rsid w:val="65DF280D"/>
    <w:rsid w:val="65E21EFF"/>
    <w:rsid w:val="65E240AB"/>
    <w:rsid w:val="65E25E59"/>
    <w:rsid w:val="65E966F5"/>
    <w:rsid w:val="65E971E8"/>
    <w:rsid w:val="65EA243C"/>
    <w:rsid w:val="65EC0A86"/>
    <w:rsid w:val="65EF2C19"/>
    <w:rsid w:val="65F242EE"/>
    <w:rsid w:val="65F43E32"/>
    <w:rsid w:val="65F53DDF"/>
    <w:rsid w:val="65F70C74"/>
    <w:rsid w:val="65F77B57"/>
    <w:rsid w:val="65F8567D"/>
    <w:rsid w:val="65F8742B"/>
    <w:rsid w:val="65F87769"/>
    <w:rsid w:val="65F91B21"/>
    <w:rsid w:val="65FA13F5"/>
    <w:rsid w:val="65FC3378"/>
    <w:rsid w:val="65FD7C93"/>
    <w:rsid w:val="65FF1978"/>
    <w:rsid w:val="65FF1B98"/>
    <w:rsid w:val="65FF6A0B"/>
    <w:rsid w:val="66012059"/>
    <w:rsid w:val="66017756"/>
    <w:rsid w:val="6602389C"/>
    <w:rsid w:val="66031465"/>
    <w:rsid w:val="6603474E"/>
    <w:rsid w:val="660364FC"/>
    <w:rsid w:val="66042274"/>
    <w:rsid w:val="66081D64"/>
    <w:rsid w:val="66091638"/>
    <w:rsid w:val="660A7F79"/>
    <w:rsid w:val="660B1D22"/>
    <w:rsid w:val="660C23C3"/>
    <w:rsid w:val="660D1128"/>
    <w:rsid w:val="660E4EA0"/>
    <w:rsid w:val="660E5D4A"/>
    <w:rsid w:val="66106E6A"/>
    <w:rsid w:val="66117555"/>
    <w:rsid w:val="661204ED"/>
    <w:rsid w:val="6615622F"/>
    <w:rsid w:val="661852A9"/>
    <w:rsid w:val="66185846"/>
    <w:rsid w:val="661A1B85"/>
    <w:rsid w:val="661A3DBF"/>
    <w:rsid w:val="661B5F18"/>
    <w:rsid w:val="661E1587"/>
    <w:rsid w:val="661E50E3"/>
    <w:rsid w:val="661E5F23"/>
    <w:rsid w:val="662128A2"/>
    <w:rsid w:val="66212E26"/>
    <w:rsid w:val="66224AAC"/>
    <w:rsid w:val="66233F96"/>
    <w:rsid w:val="66241FD5"/>
    <w:rsid w:val="66253AF4"/>
    <w:rsid w:val="662A645F"/>
    <w:rsid w:val="662B7E7F"/>
    <w:rsid w:val="662C31E0"/>
    <w:rsid w:val="662E3A05"/>
    <w:rsid w:val="662F72F1"/>
    <w:rsid w:val="66300B25"/>
    <w:rsid w:val="66300FDB"/>
    <w:rsid w:val="6632293D"/>
    <w:rsid w:val="66322BEC"/>
    <w:rsid w:val="66364909"/>
    <w:rsid w:val="66373E26"/>
    <w:rsid w:val="663743F7"/>
    <w:rsid w:val="66382E1B"/>
    <w:rsid w:val="663969A5"/>
    <w:rsid w:val="663A164B"/>
    <w:rsid w:val="663A4443"/>
    <w:rsid w:val="663C1A0D"/>
    <w:rsid w:val="663F0762"/>
    <w:rsid w:val="664005E1"/>
    <w:rsid w:val="66417024"/>
    <w:rsid w:val="66426AF0"/>
    <w:rsid w:val="6645325E"/>
    <w:rsid w:val="664757DE"/>
    <w:rsid w:val="66494422"/>
    <w:rsid w:val="66495ED8"/>
    <w:rsid w:val="664B39FF"/>
    <w:rsid w:val="664B7EA3"/>
    <w:rsid w:val="664F5C5B"/>
    <w:rsid w:val="66560D21"/>
    <w:rsid w:val="66572A46"/>
    <w:rsid w:val="66575996"/>
    <w:rsid w:val="665C32B6"/>
    <w:rsid w:val="665C74B3"/>
    <w:rsid w:val="665D5C3B"/>
    <w:rsid w:val="665F2CBF"/>
    <w:rsid w:val="6660394E"/>
    <w:rsid w:val="66611474"/>
    <w:rsid w:val="66630D48"/>
    <w:rsid w:val="66636F9A"/>
    <w:rsid w:val="66641A48"/>
    <w:rsid w:val="66650F64"/>
    <w:rsid w:val="66666A8A"/>
    <w:rsid w:val="666845B1"/>
    <w:rsid w:val="666878A0"/>
    <w:rsid w:val="666A0329"/>
    <w:rsid w:val="666B5E4F"/>
    <w:rsid w:val="6671177C"/>
    <w:rsid w:val="667411A7"/>
    <w:rsid w:val="667465EF"/>
    <w:rsid w:val="667A70C9"/>
    <w:rsid w:val="66805D9E"/>
    <w:rsid w:val="66815672"/>
    <w:rsid w:val="66851E61"/>
    <w:rsid w:val="66882EA5"/>
    <w:rsid w:val="668A1726"/>
    <w:rsid w:val="668D04BB"/>
    <w:rsid w:val="668D1CA4"/>
    <w:rsid w:val="668E7D04"/>
    <w:rsid w:val="668F701A"/>
    <w:rsid w:val="668F7D8F"/>
    <w:rsid w:val="669435F8"/>
    <w:rsid w:val="6695111E"/>
    <w:rsid w:val="66971DAA"/>
    <w:rsid w:val="66974E96"/>
    <w:rsid w:val="669911AB"/>
    <w:rsid w:val="669A6B60"/>
    <w:rsid w:val="669C06FE"/>
    <w:rsid w:val="669C70D0"/>
    <w:rsid w:val="669D53CD"/>
    <w:rsid w:val="669F3F18"/>
    <w:rsid w:val="66A001EE"/>
    <w:rsid w:val="66A15D14"/>
    <w:rsid w:val="66A42AA6"/>
    <w:rsid w:val="66A555B8"/>
    <w:rsid w:val="66A60567"/>
    <w:rsid w:val="66A620D8"/>
    <w:rsid w:val="66A73AD5"/>
    <w:rsid w:val="66A7728C"/>
    <w:rsid w:val="66A856DB"/>
    <w:rsid w:val="66A85D3D"/>
    <w:rsid w:val="66AA64C9"/>
    <w:rsid w:val="66AB0941"/>
    <w:rsid w:val="66AD24F1"/>
    <w:rsid w:val="66AF3F8D"/>
    <w:rsid w:val="66B028AC"/>
    <w:rsid w:val="66B21CD0"/>
    <w:rsid w:val="66B7135B"/>
    <w:rsid w:val="66B75E3C"/>
    <w:rsid w:val="66BA1BB1"/>
    <w:rsid w:val="66BB1227"/>
    <w:rsid w:val="66BB3A5B"/>
    <w:rsid w:val="66BC2B4E"/>
    <w:rsid w:val="66BF438B"/>
    <w:rsid w:val="66C10E74"/>
    <w:rsid w:val="66C510F2"/>
    <w:rsid w:val="66C51A03"/>
    <w:rsid w:val="66CA13F7"/>
    <w:rsid w:val="66CE09D8"/>
    <w:rsid w:val="66CF2882"/>
    <w:rsid w:val="66D117D1"/>
    <w:rsid w:val="66D20DB5"/>
    <w:rsid w:val="66D32372"/>
    <w:rsid w:val="66D52837"/>
    <w:rsid w:val="66D63C10"/>
    <w:rsid w:val="66D87988"/>
    <w:rsid w:val="66DB1226"/>
    <w:rsid w:val="66E225B5"/>
    <w:rsid w:val="66E55C01"/>
    <w:rsid w:val="66E75E1D"/>
    <w:rsid w:val="66EA2B70"/>
    <w:rsid w:val="66EC6F90"/>
    <w:rsid w:val="66ED3E26"/>
    <w:rsid w:val="66ED50A5"/>
    <w:rsid w:val="66EF1E27"/>
    <w:rsid w:val="66EF64D6"/>
    <w:rsid w:val="66F2031E"/>
    <w:rsid w:val="66F36584"/>
    <w:rsid w:val="66F37153"/>
    <w:rsid w:val="66F5123C"/>
    <w:rsid w:val="66F95B50"/>
    <w:rsid w:val="66FB770B"/>
    <w:rsid w:val="66FE6ADC"/>
    <w:rsid w:val="67000047"/>
    <w:rsid w:val="67002A3B"/>
    <w:rsid w:val="67010561"/>
    <w:rsid w:val="6701074C"/>
    <w:rsid w:val="6702779F"/>
    <w:rsid w:val="67042721"/>
    <w:rsid w:val="67073DC9"/>
    <w:rsid w:val="6708172D"/>
    <w:rsid w:val="670A5668"/>
    <w:rsid w:val="670B1C06"/>
    <w:rsid w:val="670C13E0"/>
    <w:rsid w:val="670C36EC"/>
    <w:rsid w:val="670E33AA"/>
    <w:rsid w:val="670E7FFE"/>
    <w:rsid w:val="670F0ED0"/>
    <w:rsid w:val="670F2C7E"/>
    <w:rsid w:val="670F2F2B"/>
    <w:rsid w:val="671457CF"/>
    <w:rsid w:val="67174AC7"/>
    <w:rsid w:val="67175330"/>
    <w:rsid w:val="671833E7"/>
    <w:rsid w:val="671B1CDB"/>
    <w:rsid w:val="671B7875"/>
    <w:rsid w:val="671C12D7"/>
    <w:rsid w:val="671E1113"/>
    <w:rsid w:val="671E68C1"/>
    <w:rsid w:val="671F124A"/>
    <w:rsid w:val="67201DC6"/>
    <w:rsid w:val="672229B1"/>
    <w:rsid w:val="67242737"/>
    <w:rsid w:val="6724794A"/>
    <w:rsid w:val="672530FF"/>
    <w:rsid w:val="67280181"/>
    <w:rsid w:val="672901E4"/>
    <w:rsid w:val="67297518"/>
    <w:rsid w:val="672D1356"/>
    <w:rsid w:val="672D5B1F"/>
    <w:rsid w:val="67337219"/>
    <w:rsid w:val="67340937"/>
    <w:rsid w:val="67376B48"/>
    <w:rsid w:val="67386679"/>
    <w:rsid w:val="673F4CC4"/>
    <w:rsid w:val="673F7A07"/>
    <w:rsid w:val="67406A5C"/>
    <w:rsid w:val="67414503"/>
    <w:rsid w:val="67452B44"/>
    <w:rsid w:val="6747066A"/>
    <w:rsid w:val="6747356F"/>
    <w:rsid w:val="674974BA"/>
    <w:rsid w:val="674A63AC"/>
    <w:rsid w:val="674C3ED2"/>
    <w:rsid w:val="674E61E1"/>
    <w:rsid w:val="6751773B"/>
    <w:rsid w:val="67526993"/>
    <w:rsid w:val="675608AD"/>
    <w:rsid w:val="6757612D"/>
    <w:rsid w:val="675B268B"/>
    <w:rsid w:val="67643E6C"/>
    <w:rsid w:val="6764746E"/>
    <w:rsid w:val="67654F94"/>
    <w:rsid w:val="67667E72"/>
    <w:rsid w:val="67675304"/>
    <w:rsid w:val="676A6106"/>
    <w:rsid w:val="676C6322"/>
    <w:rsid w:val="676E5BF7"/>
    <w:rsid w:val="67717495"/>
    <w:rsid w:val="677275FC"/>
    <w:rsid w:val="67737039"/>
    <w:rsid w:val="677551D7"/>
    <w:rsid w:val="67762CFD"/>
    <w:rsid w:val="677671A1"/>
    <w:rsid w:val="67780823"/>
    <w:rsid w:val="67787B9A"/>
    <w:rsid w:val="67794E07"/>
    <w:rsid w:val="67797A6F"/>
    <w:rsid w:val="677A33C6"/>
    <w:rsid w:val="677B31C5"/>
    <w:rsid w:val="677B47B7"/>
    <w:rsid w:val="677D5E3A"/>
    <w:rsid w:val="677F6056"/>
    <w:rsid w:val="67801DCE"/>
    <w:rsid w:val="678371C8"/>
    <w:rsid w:val="678673E4"/>
    <w:rsid w:val="67896ED4"/>
    <w:rsid w:val="678A0557"/>
    <w:rsid w:val="678A5FC8"/>
    <w:rsid w:val="678C181A"/>
    <w:rsid w:val="678E0047"/>
    <w:rsid w:val="67902011"/>
    <w:rsid w:val="67902498"/>
    <w:rsid w:val="67917B37"/>
    <w:rsid w:val="67926C86"/>
    <w:rsid w:val="67932D08"/>
    <w:rsid w:val="679338AF"/>
    <w:rsid w:val="679530DD"/>
    <w:rsid w:val="67961AD5"/>
    <w:rsid w:val="67964B1E"/>
    <w:rsid w:val="67980EC5"/>
    <w:rsid w:val="679877B4"/>
    <w:rsid w:val="67997C61"/>
    <w:rsid w:val="679A164F"/>
    <w:rsid w:val="679B09B6"/>
    <w:rsid w:val="679C6C08"/>
    <w:rsid w:val="679F4002"/>
    <w:rsid w:val="679F57BD"/>
    <w:rsid w:val="679F6B73"/>
    <w:rsid w:val="67A07D7A"/>
    <w:rsid w:val="67A1421E"/>
    <w:rsid w:val="67A41555"/>
    <w:rsid w:val="67A45ABC"/>
    <w:rsid w:val="67A8331D"/>
    <w:rsid w:val="67A83B2A"/>
    <w:rsid w:val="67A914DA"/>
    <w:rsid w:val="67A9459A"/>
    <w:rsid w:val="67AB0BF9"/>
    <w:rsid w:val="67AC7843"/>
    <w:rsid w:val="67B31C64"/>
    <w:rsid w:val="67B654F3"/>
    <w:rsid w:val="67B93ECE"/>
    <w:rsid w:val="67BA52E0"/>
    <w:rsid w:val="67BA708E"/>
    <w:rsid w:val="67BB6A17"/>
    <w:rsid w:val="67BD3E80"/>
    <w:rsid w:val="67BF46A4"/>
    <w:rsid w:val="67C25743"/>
    <w:rsid w:val="67C25F42"/>
    <w:rsid w:val="67C27CF0"/>
    <w:rsid w:val="67C47F0C"/>
    <w:rsid w:val="67C648EF"/>
    <w:rsid w:val="67C72187"/>
    <w:rsid w:val="67C83D07"/>
    <w:rsid w:val="67CA0ED0"/>
    <w:rsid w:val="67CA33A0"/>
    <w:rsid w:val="67CD13ED"/>
    <w:rsid w:val="67D129C5"/>
    <w:rsid w:val="67D16185"/>
    <w:rsid w:val="67D26649"/>
    <w:rsid w:val="67D30DA4"/>
    <w:rsid w:val="67D363A2"/>
    <w:rsid w:val="67D45A61"/>
    <w:rsid w:val="67D55C58"/>
    <w:rsid w:val="67D73004"/>
    <w:rsid w:val="67D77B33"/>
    <w:rsid w:val="67D839B8"/>
    <w:rsid w:val="67D8670D"/>
    <w:rsid w:val="67D918D5"/>
    <w:rsid w:val="67DA3A17"/>
    <w:rsid w:val="67DB0FD2"/>
    <w:rsid w:val="67DC51A2"/>
    <w:rsid w:val="67E11CA1"/>
    <w:rsid w:val="67E4410B"/>
    <w:rsid w:val="67E759A9"/>
    <w:rsid w:val="67E850B8"/>
    <w:rsid w:val="67E909C1"/>
    <w:rsid w:val="67EA34C8"/>
    <w:rsid w:val="67EB3CE9"/>
    <w:rsid w:val="67EC2FBF"/>
    <w:rsid w:val="67EC7222"/>
    <w:rsid w:val="67F02AB0"/>
    <w:rsid w:val="67F307F2"/>
    <w:rsid w:val="67F64180"/>
    <w:rsid w:val="67F72FE5"/>
    <w:rsid w:val="67F87BB6"/>
    <w:rsid w:val="67FA0C0D"/>
    <w:rsid w:val="67FA29E9"/>
    <w:rsid w:val="67FA4524"/>
    <w:rsid w:val="67FA6E17"/>
    <w:rsid w:val="67FA7148"/>
    <w:rsid w:val="67FC12C5"/>
    <w:rsid w:val="67FC76A6"/>
    <w:rsid w:val="67FD341E"/>
    <w:rsid w:val="67FD6F7B"/>
    <w:rsid w:val="6808604B"/>
    <w:rsid w:val="68093B71"/>
    <w:rsid w:val="6809591F"/>
    <w:rsid w:val="680C4C9B"/>
    <w:rsid w:val="680C5410"/>
    <w:rsid w:val="680C758D"/>
    <w:rsid w:val="680E2F36"/>
    <w:rsid w:val="680E73DA"/>
    <w:rsid w:val="680E7FD0"/>
    <w:rsid w:val="6813679E"/>
    <w:rsid w:val="68142C42"/>
    <w:rsid w:val="681445C6"/>
    <w:rsid w:val="68150768"/>
    <w:rsid w:val="68172E80"/>
    <w:rsid w:val="681977A3"/>
    <w:rsid w:val="681A18DB"/>
    <w:rsid w:val="681B3721"/>
    <w:rsid w:val="681C1AF7"/>
    <w:rsid w:val="681C48F5"/>
    <w:rsid w:val="681D761D"/>
    <w:rsid w:val="681F6961"/>
    <w:rsid w:val="68242759"/>
    <w:rsid w:val="682641B2"/>
    <w:rsid w:val="68290E37"/>
    <w:rsid w:val="682940CA"/>
    <w:rsid w:val="682C160E"/>
    <w:rsid w:val="682D4683"/>
    <w:rsid w:val="682E6088"/>
    <w:rsid w:val="682F4E84"/>
    <w:rsid w:val="683010FE"/>
    <w:rsid w:val="6833293A"/>
    <w:rsid w:val="68361123"/>
    <w:rsid w:val="683706DE"/>
    <w:rsid w:val="683873C8"/>
    <w:rsid w:val="68387E58"/>
    <w:rsid w:val="683926A8"/>
    <w:rsid w:val="683A2C26"/>
    <w:rsid w:val="683D0227"/>
    <w:rsid w:val="683D5D7D"/>
    <w:rsid w:val="6843005F"/>
    <w:rsid w:val="684575B1"/>
    <w:rsid w:val="684766F5"/>
    <w:rsid w:val="684A6277"/>
    <w:rsid w:val="684D7AF1"/>
    <w:rsid w:val="684E77D6"/>
    <w:rsid w:val="685272C6"/>
    <w:rsid w:val="68545A07"/>
    <w:rsid w:val="68550B65"/>
    <w:rsid w:val="6857360F"/>
    <w:rsid w:val="68593C09"/>
    <w:rsid w:val="68594AF9"/>
    <w:rsid w:val="685C14AA"/>
    <w:rsid w:val="685D03B3"/>
    <w:rsid w:val="68610A2F"/>
    <w:rsid w:val="686139AD"/>
    <w:rsid w:val="686162C6"/>
    <w:rsid w:val="68623BE2"/>
    <w:rsid w:val="686252AC"/>
    <w:rsid w:val="6862611F"/>
    <w:rsid w:val="68647BCC"/>
    <w:rsid w:val="68654D55"/>
    <w:rsid w:val="68665A66"/>
    <w:rsid w:val="68680898"/>
    <w:rsid w:val="686B0388"/>
    <w:rsid w:val="686B65DA"/>
    <w:rsid w:val="68702721"/>
    <w:rsid w:val="68751207"/>
    <w:rsid w:val="68784CB5"/>
    <w:rsid w:val="68797AD8"/>
    <w:rsid w:val="687A681D"/>
    <w:rsid w:val="687B0E53"/>
    <w:rsid w:val="687D2886"/>
    <w:rsid w:val="687E630D"/>
    <w:rsid w:val="68802085"/>
    <w:rsid w:val="68805514"/>
    <w:rsid w:val="68812254"/>
    <w:rsid w:val="688250C5"/>
    <w:rsid w:val="68831B76"/>
    <w:rsid w:val="68840271"/>
    <w:rsid w:val="68866F70"/>
    <w:rsid w:val="688676F9"/>
    <w:rsid w:val="68871ACF"/>
    <w:rsid w:val="68882CE8"/>
    <w:rsid w:val="688B0A2A"/>
    <w:rsid w:val="688C0B0A"/>
    <w:rsid w:val="688C1644"/>
    <w:rsid w:val="688D47A2"/>
    <w:rsid w:val="688E0997"/>
    <w:rsid w:val="68927F26"/>
    <w:rsid w:val="68950932"/>
    <w:rsid w:val="689556A6"/>
    <w:rsid w:val="6897117D"/>
    <w:rsid w:val="68975621"/>
    <w:rsid w:val="689968E3"/>
    <w:rsid w:val="689B0664"/>
    <w:rsid w:val="689B4BE3"/>
    <w:rsid w:val="689B6EBF"/>
    <w:rsid w:val="689C23CA"/>
    <w:rsid w:val="689C2C37"/>
    <w:rsid w:val="689F0032"/>
    <w:rsid w:val="68A14D54"/>
    <w:rsid w:val="68A24402"/>
    <w:rsid w:val="68A33FC6"/>
    <w:rsid w:val="68A37B22"/>
    <w:rsid w:val="68A828B7"/>
    <w:rsid w:val="68A85138"/>
    <w:rsid w:val="68A851A8"/>
    <w:rsid w:val="68AA0EB0"/>
    <w:rsid w:val="68AB69D7"/>
    <w:rsid w:val="68AC071F"/>
    <w:rsid w:val="68AD09A1"/>
    <w:rsid w:val="68AD6BF3"/>
    <w:rsid w:val="68AE6BBD"/>
    <w:rsid w:val="68B24209"/>
    <w:rsid w:val="68B63CF9"/>
    <w:rsid w:val="68B7181F"/>
    <w:rsid w:val="68B77E20"/>
    <w:rsid w:val="68B860A6"/>
    <w:rsid w:val="68BA4E6C"/>
    <w:rsid w:val="68BE495C"/>
    <w:rsid w:val="68BF0456"/>
    <w:rsid w:val="68C057CD"/>
    <w:rsid w:val="68C11B28"/>
    <w:rsid w:val="68C301C4"/>
    <w:rsid w:val="68C47A98"/>
    <w:rsid w:val="68C771A8"/>
    <w:rsid w:val="68C87588"/>
    <w:rsid w:val="68CA1BBE"/>
    <w:rsid w:val="68CA6D7A"/>
    <w:rsid w:val="68CF0917"/>
    <w:rsid w:val="68CF6B69"/>
    <w:rsid w:val="68D0468F"/>
    <w:rsid w:val="68D21128"/>
    <w:rsid w:val="68D3083D"/>
    <w:rsid w:val="68D51CA5"/>
    <w:rsid w:val="68D56FE7"/>
    <w:rsid w:val="68D57D54"/>
    <w:rsid w:val="68D67C32"/>
    <w:rsid w:val="68D73C6F"/>
    <w:rsid w:val="68D777CC"/>
    <w:rsid w:val="68D904ED"/>
    <w:rsid w:val="68D94C48"/>
    <w:rsid w:val="68DB550E"/>
    <w:rsid w:val="68DC4DE2"/>
    <w:rsid w:val="68DD3D60"/>
    <w:rsid w:val="68DD671E"/>
    <w:rsid w:val="68DE0B5A"/>
    <w:rsid w:val="68DE6DAC"/>
    <w:rsid w:val="68DE7682"/>
    <w:rsid w:val="68E22B8F"/>
    <w:rsid w:val="68E548CC"/>
    <w:rsid w:val="68E84305"/>
    <w:rsid w:val="68EB3277"/>
    <w:rsid w:val="68EC4CA4"/>
    <w:rsid w:val="68F16ADF"/>
    <w:rsid w:val="68F4037D"/>
    <w:rsid w:val="68F568DA"/>
    <w:rsid w:val="68F60958"/>
    <w:rsid w:val="68F712FA"/>
    <w:rsid w:val="68F77E6E"/>
    <w:rsid w:val="68F93BE6"/>
    <w:rsid w:val="68F93DCE"/>
    <w:rsid w:val="68F95994"/>
    <w:rsid w:val="68FA78A4"/>
    <w:rsid w:val="68FB2C74"/>
    <w:rsid w:val="68FB795E"/>
    <w:rsid w:val="68FF2338"/>
    <w:rsid w:val="6900033B"/>
    <w:rsid w:val="69001879"/>
    <w:rsid w:val="69006D22"/>
    <w:rsid w:val="69020CEC"/>
    <w:rsid w:val="690760DC"/>
    <w:rsid w:val="69076303"/>
    <w:rsid w:val="69092B05"/>
    <w:rsid w:val="69092DF3"/>
    <w:rsid w:val="690A194F"/>
    <w:rsid w:val="690A35D8"/>
    <w:rsid w:val="690A45F5"/>
    <w:rsid w:val="690D0B0D"/>
    <w:rsid w:val="690D5BC9"/>
    <w:rsid w:val="690E5004"/>
    <w:rsid w:val="690E58E3"/>
    <w:rsid w:val="69110F2F"/>
    <w:rsid w:val="69117181"/>
    <w:rsid w:val="69165DB8"/>
    <w:rsid w:val="69175F4C"/>
    <w:rsid w:val="69182EEF"/>
    <w:rsid w:val="691879C4"/>
    <w:rsid w:val="691E2146"/>
    <w:rsid w:val="691E555C"/>
    <w:rsid w:val="692017C3"/>
    <w:rsid w:val="69205616"/>
    <w:rsid w:val="6921630D"/>
    <w:rsid w:val="69216C99"/>
    <w:rsid w:val="6922138F"/>
    <w:rsid w:val="69230C63"/>
    <w:rsid w:val="69232A11"/>
    <w:rsid w:val="692364C7"/>
    <w:rsid w:val="692549DB"/>
    <w:rsid w:val="69272501"/>
    <w:rsid w:val="69284792"/>
    <w:rsid w:val="69285424"/>
    <w:rsid w:val="69286279"/>
    <w:rsid w:val="692A0C26"/>
    <w:rsid w:val="692A0FFC"/>
    <w:rsid w:val="692C14E1"/>
    <w:rsid w:val="692D1AE1"/>
    <w:rsid w:val="692D72DA"/>
    <w:rsid w:val="69310C2E"/>
    <w:rsid w:val="69313380"/>
    <w:rsid w:val="69316E2F"/>
    <w:rsid w:val="693370F8"/>
    <w:rsid w:val="693764BC"/>
    <w:rsid w:val="69386786"/>
    <w:rsid w:val="693873DF"/>
    <w:rsid w:val="69390486"/>
    <w:rsid w:val="693C3AD3"/>
    <w:rsid w:val="693D696C"/>
    <w:rsid w:val="693F458D"/>
    <w:rsid w:val="694035C3"/>
    <w:rsid w:val="69437FBC"/>
    <w:rsid w:val="69450BD9"/>
    <w:rsid w:val="69474951"/>
    <w:rsid w:val="69480AA1"/>
    <w:rsid w:val="69482477"/>
    <w:rsid w:val="694A2693"/>
    <w:rsid w:val="694A4441"/>
    <w:rsid w:val="694B2B30"/>
    <w:rsid w:val="694B4F12"/>
    <w:rsid w:val="694C1F68"/>
    <w:rsid w:val="694D5C24"/>
    <w:rsid w:val="694E2071"/>
    <w:rsid w:val="694F4159"/>
    <w:rsid w:val="6951757E"/>
    <w:rsid w:val="695232F6"/>
    <w:rsid w:val="6954706E"/>
    <w:rsid w:val="69567E8C"/>
    <w:rsid w:val="6958090C"/>
    <w:rsid w:val="695837E8"/>
    <w:rsid w:val="69586B5E"/>
    <w:rsid w:val="695B664F"/>
    <w:rsid w:val="695C1FC6"/>
    <w:rsid w:val="695D5F23"/>
    <w:rsid w:val="695E7EED"/>
    <w:rsid w:val="6960290C"/>
    <w:rsid w:val="69623539"/>
    <w:rsid w:val="696279DD"/>
    <w:rsid w:val="696319E0"/>
    <w:rsid w:val="69642246"/>
    <w:rsid w:val="69663946"/>
    <w:rsid w:val="696848C8"/>
    <w:rsid w:val="6969350C"/>
    <w:rsid w:val="696D5660"/>
    <w:rsid w:val="696E145B"/>
    <w:rsid w:val="6975099C"/>
    <w:rsid w:val="69765236"/>
    <w:rsid w:val="69766163"/>
    <w:rsid w:val="69766FE4"/>
    <w:rsid w:val="697A3B33"/>
    <w:rsid w:val="698027E8"/>
    <w:rsid w:val="69823BDB"/>
    <w:rsid w:val="69845BA5"/>
    <w:rsid w:val="69847953"/>
    <w:rsid w:val="6985191D"/>
    <w:rsid w:val="6987410D"/>
    <w:rsid w:val="69877444"/>
    <w:rsid w:val="698943BD"/>
    <w:rsid w:val="698973A3"/>
    <w:rsid w:val="698C1B79"/>
    <w:rsid w:val="698D4023"/>
    <w:rsid w:val="698E0265"/>
    <w:rsid w:val="69927F0F"/>
    <w:rsid w:val="6995125C"/>
    <w:rsid w:val="69965742"/>
    <w:rsid w:val="69983B9D"/>
    <w:rsid w:val="699861D4"/>
    <w:rsid w:val="69992CD3"/>
    <w:rsid w:val="699A7177"/>
    <w:rsid w:val="699A72B6"/>
    <w:rsid w:val="69A022B3"/>
    <w:rsid w:val="69A17166"/>
    <w:rsid w:val="69A27909"/>
    <w:rsid w:val="69A27DD9"/>
    <w:rsid w:val="69A43B52"/>
    <w:rsid w:val="69AA4185"/>
    <w:rsid w:val="69AA4EE0"/>
    <w:rsid w:val="69AC0C58"/>
    <w:rsid w:val="69AC118A"/>
    <w:rsid w:val="69AC3B25"/>
    <w:rsid w:val="69AE335C"/>
    <w:rsid w:val="69B14241"/>
    <w:rsid w:val="69B23F57"/>
    <w:rsid w:val="69B3007F"/>
    <w:rsid w:val="69B5321C"/>
    <w:rsid w:val="69B67E5B"/>
    <w:rsid w:val="69B76776"/>
    <w:rsid w:val="69B800F1"/>
    <w:rsid w:val="69BA15C7"/>
    <w:rsid w:val="69BE2583"/>
    <w:rsid w:val="69C05D93"/>
    <w:rsid w:val="69C266CE"/>
    <w:rsid w:val="69C42446"/>
    <w:rsid w:val="69C63A25"/>
    <w:rsid w:val="69C72D95"/>
    <w:rsid w:val="69C73CE4"/>
    <w:rsid w:val="69C9180A"/>
    <w:rsid w:val="69C97A5C"/>
    <w:rsid w:val="69CA01D2"/>
    <w:rsid w:val="69CB2F4D"/>
    <w:rsid w:val="69CB37D4"/>
    <w:rsid w:val="69CB5582"/>
    <w:rsid w:val="69CC4E56"/>
    <w:rsid w:val="69D106BF"/>
    <w:rsid w:val="69D2308E"/>
    <w:rsid w:val="69D44760"/>
    <w:rsid w:val="69D501AF"/>
    <w:rsid w:val="69D546F2"/>
    <w:rsid w:val="69D72179"/>
    <w:rsid w:val="69D807B4"/>
    <w:rsid w:val="69D80BC6"/>
    <w:rsid w:val="69D837FB"/>
    <w:rsid w:val="69D87C7B"/>
    <w:rsid w:val="69DB153D"/>
    <w:rsid w:val="69DD1CCD"/>
    <w:rsid w:val="69DE35C8"/>
    <w:rsid w:val="69E10789"/>
    <w:rsid w:val="69E30E73"/>
    <w:rsid w:val="69E51C60"/>
    <w:rsid w:val="69E55F18"/>
    <w:rsid w:val="69E61596"/>
    <w:rsid w:val="69E82ABE"/>
    <w:rsid w:val="69E96249"/>
    <w:rsid w:val="69EC72A7"/>
    <w:rsid w:val="69ED3060"/>
    <w:rsid w:val="69ED387F"/>
    <w:rsid w:val="69EE55EF"/>
    <w:rsid w:val="69EF4136"/>
    <w:rsid w:val="69F12B0F"/>
    <w:rsid w:val="69F3647B"/>
    <w:rsid w:val="69F4103E"/>
    <w:rsid w:val="69F726E9"/>
    <w:rsid w:val="69F73C39"/>
    <w:rsid w:val="69F745C9"/>
    <w:rsid w:val="69F820EF"/>
    <w:rsid w:val="69FC1BE0"/>
    <w:rsid w:val="69FC398E"/>
    <w:rsid w:val="69FD2865"/>
    <w:rsid w:val="69FF1E1C"/>
    <w:rsid w:val="6A0171F6"/>
    <w:rsid w:val="6A040A94"/>
    <w:rsid w:val="6A042842"/>
    <w:rsid w:val="6A050E6F"/>
    <w:rsid w:val="6A070584"/>
    <w:rsid w:val="6A072AD7"/>
    <w:rsid w:val="6A082821"/>
    <w:rsid w:val="6A08282A"/>
    <w:rsid w:val="6A130CD7"/>
    <w:rsid w:val="6A1421F5"/>
    <w:rsid w:val="6A152CA1"/>
    <w:rsid w:val="6A1644F9"/>
    <w:rsid w:val="6A1707C7"/>
    <w:rsid w:val="6A177DAC"/>
    <w:rsid w:val="6A19132B"/>
    <w:rsid w:val="6A19561B"/>
    <w:rsid w:val="6A1A2066"/>
    <w:rsid w:val="6A1C5DDE"/>
    <w:rsid w:val="6A1D52DB"/>
    <w:rsid w:val="6A222320"/>
    <w:rsid w:val="6A225197"/>
    <w:rsid w:val="6A242EE4"/>
    <w:rsid w:val="6A244C92"/>
    <w:rsid w:val="6A25140B"/>
    <w:rsid w:val="6A293D41"/>
    <w:rsid w:val="6A294057"/>
    <w:rsid w:val="6A2E5B11"/>
    <w:rsid w:val="6A2F7112"/>
    <w:rsid w:val="6A30031F"/>
    <w:rsid w:val="6A303637"/>
    <w:rsid w:val="6A3053E5"/>
    <w:rsid w:val="6A31115D"/>
    <w:rsid w:val="6A382A33"/>
    <w:rsid w:val="6A3A6264"/>
    <w:rsid w:val="6A3A7A70"/>
    <w:rsid w:val="6A3C6480"/>
    <w:rsid w:val="6A3D2DC8"/>
    <w:rsid w:val="6A3D3B2B"/>
    <w:rsid w:val="6A3D4823"/>
    <w:rsid w:val="6A3E1967"/>
    <w:rsid w:val="6A435D04"/>
    <w:rsid w:val="6A456619"/>
    <w:rsid w:val="6A4814BC"/>
    <w:rsid w:val="6A484E25"/>
    <w:rsid w:val="6A4B0471"/>
    <w:rsid w:val="6A4B66C3"/>
    <w:rsid w:val="6A4D005C"/>
    <w:rsid w:val="6A4E7F61"/>
    <w:rsid w:val="6A50632A"/>
    <w:rsid w:val="6A5135AE"/>
    <w:rsid w:val="6A520EC7"/>
    <w:rsid w:val="6A530054"/>
    <w:rsid w:val="6A5639FE"/>
    <w:rsid w:val="6A5662EB"/>
    <w:rsid w:val="6A5712BF"/>
    <w:rsid w:val="6A5A1261"/>
    <w:rsid w:val="6A5A5F3F"/>
    <w:rsid w:val="6A5C267E"/>
    <w:rsid w:val="6A5C454E"/>
    <w:rsid w:val="6A5D1F52"/>
    <w:rsid w:val="6A5E5D0F"/>
    <w:rsid w:val="6A5F216E"/>
    <w:rsid w:val="6A615EE7"/>
    <w:rsid w:val="6A64109C"/>
    <w:rsid w:val="6A641E66"/>
    <w:rsid w:val="6A646723"/>
    <w:rsid w:val="6A65681C"/>
    <w:rsid w:val="6A694D9B"/>
    <w:rsid w:val="6A6A3304"/>
    <w:rsid w:val="6A6A4E2D"/>
    <w:rsid w:val="6A6B35B6"/>
    <w:rsid w:val="6A6D488B"/>
    <w:rsid w:val="6A6E7D55"/>
    <w:rsid w:val="6A706E05"/>
    <w:rsid w:val="6A707ED8"/>
    <w:rsid w:val="6A721EA2"/>
    <w:rsid w:val="6A723C50"/>
    <w:rsid w:val="6A745C1A"/>
    <w:rsid w:val="6A76059E"/>
    <w:rsid w:val="6A771266"/>
    <w:rsid w:val="6A794FDE"/>
    <w:rsid w:val="6A7F011B"/>
    <w:rsid w:val="6A7F636D"/>
    <w:rsid w:val="6A835E5D"/>
    <w:rsid w:val="6A841BD5"/>
    <w:rsid w:val="6A84565A"/>
    <w:rsid w:val="6A8676FB"/>
    <w:rsid w:val="6A870BC5"/>
    <w:rsid w:val="6A876FCF"/>
    <w:rsid w:val="6A882E79"/>
    <w:rsid w:val="6A8B2F63"/>
    <w:rsid w:val="6A8B4D12"/>
    <w:rsid w:val="6A9036F6"/>
    <w:rsid w:val="6A905752"/>
    <w:rsid w:val="6A9242F2"/>
    <w:rsid w:val="6A935974"/>
    <w:rsid w:val="6A975464"/>
    <w:rsid w:val="6A9A31A7"/>
    <w:rsid w:val="6A9A6D03"/>
    <w:rsid w:val="6A9B3BE7"/>
    <w:rsid w:val="6A9D256A"/>
    <w:rsid w:val="6A9D49CB"/>
    <w:rsid w:val="6AA0101D"/>
    <w:rsid w:val="6AA121D3"/>
    <w:rsid w:val="6AA44925"/>
    <w:rsid w:val="6AA858C3"/>
    <w:rsid w:val="6AA87672"/>
    <w:rsid w:val="6AAA7150"/>
    <w:rsid w:val="6AAD6A36"/>
    <w:rsid w:val="6AB04778"/>
    <w:rsid w:val="6AB14833"/>
    <w:rsid w:val="6AB21A07"/>
    <w:rsid w:val="6AB44268"/>
    <w:rsid w:val="6AB53B3C"/>
    <w:rsid w:val="6AB57AAC"/>
    <w:rsid w:val="6AB73B1D"/>
    <w:rsid w:val="6AB83133"/>
    <w:rsid w:val="6AB97AD1"/>
    <w:rsid w:val="6ABB1A86"/>
    <w:rsid w:val="6ABC136F"/>
    <w:rsid w:val="6ABC311D"/>
    <w:rsid w:val="6AC1126E"/>
    <w:rsid w:val="6AC16985"/>
    <w:rsid w:val="6AC50223"/>
    <w:rsid w:val="6AC63F9C"/>
    <w:rsid w:val="6AC70AC8"/>
    <w:rsid w:val="6AC95D81"/>
    <w:rsid w:val="6AC975E8"/>
    <w:rsid w:val="6ACB0AEE"/>
    <w:rsid w:val="6ACB3360"/>
    <w:rsid w:val="6ACC1A78"/>
    <w:rsid w:val="6ACF2E50"/>
    <w:rsid w:val="6AD05C0E"/>
    <w:rsid w:val="6AD47994"/>
    <w:rsid w:val="6AD55498"/>
    <w:rsid w:val="6AD55F8D"/>
    <w:rsid w:val="6ADE3093"/>
    <w:rsid w:val="6ADF4905"/>
    <w:rsid w:val="6AE371E6"/>
    <w:rsid w:val="6AE6019A"/>
    <w:rsid w:val="6AE70083"/>
    <w:rsid w:val="6AEB755E"/>
    <w:rsid w:val="6AED777A"/>
    <w:rsid w:val="6AF1726A"/>
    <w:rsid w:val="6AF30B62"/>
    <w:rsid w:val="6AF40B09"/>
    <w:rsid w:val="6AF55859"/>
    <w:rsid w:val="6AF77A3F"/>
    <w:rsid w:val="6AF87E20"/>
    <w:rsid w:val="6AF93983"/>
    <w:rsid w:val="6AF9611F"/>
    <w:rsid w:val="6AFC5C0F"/>
    <w:rsid w:val="6AFE3735"/>
    <w:rsid w:val="6AFF4127"/>
    <w:rsid w:val="6B0074AE"/>
    <w:rsid w:val="6B007530"/>
    <w:rsid w:val="6B013226"/>
    <w:rsid w:val="6B015FC4"/>
    <w:rsid w:val="6B040620"/>
    <w:rsid w:val="6B057532"/>
    <w:rsid w:val="6B062598"/>
    <w:rsid w:val="6B0A3E88"/>
    <w:rsid w:val="6B0B1692"/>
    <w:rsid w:val="6B0B6105"/>
    <w:rsid w:val="6B0D1E50"/>
    <w:rsid w:val="6B113469"/>
    <w:rsid w:val="6B115A08"/>
    <w:rsid w:val="6B1271E1"/>
    <w:rsid w:val="6B152326"/>
    <w:rsid w:val="6B155434"/>
    <w:rsid w:val="6B156EEA"/>
    <w:rsid w:val="6B1765A5"/>
    <w:rsid w:val="6B1C2F08"/>
    <w:rsid w:val="6B1C74D8"/>
    <w:rsid w:val="6B20545A"/>
    <w:rsid w:val="6B252A70"/>
    <w:rsid w:val="6B26558D"/>
    <w:rsid w:val="6B2677F2"/>
    <w:rsid w:val="6B272C8C"/>
    <w:rsid w:val="6B282560"/>
    <w:rsid w:val="6B2A452A"/>
    <w:rsid w:val="6B2B4E03"/>
    <w:rsid w:val="6B2D5A66"/>
    <w:rsid w:val="6B3158B9"/>
    <w:rsid w:val="6B322639"/>
    <w:rsid w:val="6B340F05"/>
    <w:rsid w:val="6B347157"/>
    <w:rsid w:val="6B350141"/>
    <w:rsid w:val="6B367304"/>
    <w:rsid w:val="6B394D25"/>
    <w:rsid w:val="6B39679C"/>
    <w:rsid w:val="6B3B04E6"/>
    <w:rsid w:val="6B3B25CF"/>
    <w:rsid w:val="6B3C1C4B"/>
    <w:rsid w:val="6B3C25D5"/>
    <w:rsid w:val="6B3D24B0"/>
    <w:rsid w:val="6B446341"/>
    <w:rsid w:val="6B453112"/>
    <w:rsid w:val="6B460893"/>
    <w:rsid w:val="6B460D2F"/>
    <w:rsid w:val="6B46444E"/>
    <w:rsid w:val="6B47684C"/>
    <w:rsid w:val="6B482C03"/>
    <w:rsid w:val="6B494109"/>
    <w:rsid w:val="6B4C44A1"/>
    <w:rsid w:val="6B4E646B"/>
    <w:rsid w:val="6B4F5D3F"/>
    <w:rsid w:val="6B501BE3"/>
    <w:rsid w:val="6B5108D2"/>
    <w:rsid w:val="6B533A81"/>
    <w:rsid w:val="6B560256"/>
    <w:rsid w:val="6B5648A0"/>
    <w:rsid w:val="6B572E46"/>
    <w:rsid w:val="6B5951D8"/>
    <w:rsid w:val="6B5966AC"/>
    <w:rsid w:val="6B5976B2"/>
    <w:rsid w:val="6B5A1D17"/>
    <w:rsid w:val="6B5D118A"/>
    <w:rsid w:val="6B5D328F"/>
    <w:rsid w:val="6B5E10CE"/>
    <w:rsid w:val="6B601CFA"/>
    <w:rsid w:val="6B612BDA"/>
    <w:rsid w:val="6B637A3C"/>
    <w:rsid w:val="6B655563"/>
    <w:rsid w:val="6B6712DB"/>
    <w:rsid w:val="6B686E01"/>
    <w:rsid w:val="6B6932A5"/>
    <w:rsid w:val="6B6976FC"/>
    <w:rsid w:val="6B6A458D"/>
    <w:rsid w:val="6B706339"/>
    <w:rsid w:val="6B715CB5"/>
    <w:rsid w:val="6B722451"/>
    <w:rsid w:val="6B726CE1"/>
    <w:rsid w:val="6B741C4A"/>
    <w:rsid w:val="6B742A32"/>
    <w:rsid w:val="6B747779"/>
    <w:rsid w:val="6B7623B7"/>
    <w:rsid w:val="6B7705BE"/>
    <w:rsid w:val="6B795D92"/>
    <w:rsid w:val="6B7A48DB"/>
    <w:rsid w:val="6B7B2FD8"/>
    <w:rsid w:val="6B7C52C9"/>
    <w:rsid w:val="6B8021A2"/>
    <w:rsid w:val="6B80239C"/>
    <w:rsid w:val="6B804816"/>
    <w:rsid w:val="6B80516F"/>
    <w:rsid w:val="6B811B5C"/>
    <w:rsid w:val="6B8232BC"/>
    <w:rsid w:val="6B830827"/>
    <w:rsid w:val="6B8359E9"/>
    <w:rsid w:val="6B836F9E"/>
    <w:rsid w:val="6B867323"/>
    <w:rsid w:val="6B8A37BC"/>
    <w:rsid w:val="6B8A6D77"/>
    <w:rsid w:val="6B8C0F17"/>
    <w:rsid w:val="6B8D121C"/>
    <w:rsid w:val="6B8D30A0"/>
    <w:rsid w:val="6B8E10CC"/>
    <w:rsid w:val="6B901786"/>
    <w:rsid w:val="6B9030EA"/>
    <w:rsid w:val="6B910106"/>
    <w:rsid w:val="6B923E7E"/>
    <w:rsid w:val="6B961BC0"/>
    <w:rsid w:val="6B965D40"/>
    <w:rsid w:val="6B975124"/>
    <w:rsid w:val="6B981494"/>
    <w:rsid w:val="6B98231E"/>
    <w:rsid w:val="6B994999"/>
    <w:rsid w:val="6B9B2D32"/>
    <w:rsid w:val="6B9C20A5"/>
    <w:rsid w:val="6B9C2FDE"/>
    <w:rsid w:val="6BA125A7"/>
    <w:rsid w:val="6BA20565"/>
    <w:rsid w:val="6BA2467F"/>
    <w:rsid w:val="6BA41FF0"/>
    <w:rsid w:val="6BA50055"/>
    <w:rsid w:val="6BA52E1D"/>
    <w:rsid w:val="6BA77929"/>
    <w:rsid w:val="6BAC13E3"/>
    <w:rsid w:val="6BAD7C16"/>
    <w:rsid w:val="6BB17DD8"/>
    <w:rsid w:val="6BB362CE"/>
    <w:rsid w:val="6BB65DBE"/>
    <w:rsid w:val="6BB74DB2"/>
    <w:rsid w:val="6BB771A3"/>
    <w:rsid w:val="6BB8140D"/>
    <w:rsid w:val="6BB8659D"/>
    <w:rsid w:val="6BBA3B00"/>
    <w:rsid w:val="6BBB33D4"/>
    <w:rsid w:val="6BBD7E25"/>
    <w:rsid w:val="6BBF2EC5"/>
    <w:rsid w:val="6BC26511"/>
    <w:rsid w:val="6BC624EF"/>
    <w:rsid w:val="6BC73B27"/>
    <w:rsid w:val="6BC81355"/>
    <w:rsid w:val="6BC84A99"/>
    <w:rsid w:val="6BCE3108"/>
    <w:rsid w:val="6BCF67A9"/>
    <w:rsid w:val="6BD001F5"/>
    <w:rsid w:val="6BD429F3"/>
    <w:rsid w:val="6BD530F0"/>
    <w:rsid w:val="6BD85D34"/>
    <w:rsid w:val="6BD97DC9"/>
    <w:rsid w:val="6BDC495C"/>
    <w:rsid w:val="6BDD159D"/>
    <w:rsid w:val="6BDD334B"/>
    <w:rsid w:val="6BDD6A1B"/>
    <w:rsid w:val="6BDF4029"/>
    <w:rsid w:val="6BE0108D"/>
    <w:rsid w:val="6BE741CA"/>
    <w:rsid w:val="6BEA70D2"/>
    <w:rsid w:val="6BEB135E"/>
    <w:rsid w:val="6BEC0F54"/>
    <w:rsid w:val="6BEC17E0"/>
    <w:rsid w:val="6BED71F9"/>
    <w:rsid w:val="6BF15048"/>
    <w:rsid w:val="6BF652B0"/>
    <w:rsid w:val="6BF7370E"/>
    <w:rsid w:val="6BF76512"/>
    <w:rsid w:val="6BFA214F"/>
    <w:rsid w:val="6BFD22F3"/>
    <w:rsid w:val="6BFD579B"/>
    <w:rsid w:val="6BFF1513"/>
    <w:rsid w:val="6C00528B"/>
    <w:rsid w:val="6C024F00"/>
    <w:rsid w:val="6C075BA5"/>
    <w:rsid w:val="6C07744D"/>
    <w:rsid w:val="6C0905E4"/>
    <w:rsid w:val="6C092392"/>
    <w:rsid w:val="6C0A118D"/>
    <w:rsid w:val="6C0B12F5"/>
    <w:rsid w:val="6C0B610A"/>
    <w:rsid w:val="6C0C00AA"/>
    <w:rsid w:val="6C0C579C"/>
    <w:rsid w:val="6C1256EA"/>
    <w:rsid w:val="6C142426"/>
    <w:rsid w:val="6C145B1E"/>
    <w:rsid w:val="6C186A79"/>
    <w:rsid w:val="6C1A634D"/>
    <w:rsid w:val="6C1B335F"/>
    <w:rsid w:val="6C1B3E73"/>
    <w:rsid w:val="6C1D33DE"/>
    <w:rsid w:val="6C1E6B53"/>
    <w:rsid w:val="6C206C2F"/>
    <w:rsid w:val="6C215B15"/>
    <w:rsid w:val="6C225202"/>
    <w:rsid w:val="6C2430F2"/>
    <w:rsid w:val="6C256F92"/>
    <w:rsid w:val="6C262F44"/>
    <w:rsid w:val="6C270A6A"/>
    <w:rsid w:val="6C296590"/>
    <w:rsid w:val="6C2A4AD0"/>
    <w:rsid w:val="6C2C42D2"/>
    <w:rsid w:val="6C2E39BA"/>
    <w:rsid w:val="6C305D09"/>
    <w:rsid w:val="6C30791F"/>
    <w:rsid w:val="6C313EC9"/>
    <w:rsid w:val="6C327B3B"/>
    <w:rsid w:val="6C366711"/>
    <w:rsid w:val="6C376EFF"/>
    <w:rsid w:val="6C3770D3"/>
    <w:rsid w:val="6C395ADD"/>
    <w:rsid w:val="6C3A15ED"/>
    <w:rsid w:val="6C3A6A4E"/>
    <w:rsid w:val="6C3D537B"/>
    <w:rsid w:val="6C3E6C50"/>
    <w:rsid w:val="6C3F5DB4"/>
    <w:rsid w:val="6C4023C7"/>
    <w:rsid w:val="6C4371D7"/>
    <w:rsid w:val="6C445178"/>
    <w:rsid w:val="6C465394"/>
    <w:rsid w:val="6C47110C"/>
    <w:rsid w:val="6C497A36"/>
    <w:rsid w:val="6C4B6506"/>
    <w:rsid w:val="6C523D39"/>
    <w:rsid w:val="6C537ACA"/>
    <w:rsid w:val="6C560286"/>
    <w:rsid w:val="6C58439A"/>
    <w:rsid w:val="6C5B736F"/>
    <w:rsid w:val="6C5F0204"/>
    <w:rsid w:val="6C5F1FB2"/>
    <w:rsid w:val="6C626850"/>
    <w:rsid w:val="6C636C38"/>
    <w:rsid w:val="6C655330"/>
    <w:rsid w:val="6C663340"/>
    <w:rsid w:val="6C666D26"/>
    <w:rsid w:val="6C6770B8"/>
    <w:rsid w:val="6C68355C"/>
    <w:rsid w:val="6C695410"/>
    <w:rsid w:val="6C6D0B73"/>
    <w:rsid w:val="6C7047EF"/>
    <w:rsid w:val="6C711CE5"/>
    <w:rsid w:val="6C724015"/>
    <w:rsid w:val="6C7555E1"/>
    <w:rsid w:val="6C757A27"/>
    <w:rsid w:val="6C7A503E"/>
    <w:rsid w:val="6C7A5AE4"/>
    <w:rsid w:val="6C7C0DB6"/>
    <w:rsid w:val="6C7C17FA"/>
    <w:rsid w:val="6C7C48D0"/>
    <w:rsid w:val="6C7C74FB"/>
    <w:rsid w:val="6C7E46E3"/>
    <w:rsid w:val="6C892A88"/>
    <w:rsid w:val="6C89702F"/>
    <w:rsid w:val="6C8D4D71"/>
    <w:rsid w:val="6C8E5444"/>
    <w:rsid w:val="6C8E6D3B"/>
    <w:rsid w:val="6C9205D9"/>
    <w:rsid w:val="6C937EAD"/>
    <w:rsid w:val="6C975BF0"/>
    <w:rsid w:val="6C97799E"/>
    <w:rsid w:val="6C9A123C"/>
    <w:rsid w:val="6C9A5685"/>
    <w:rsid w:val="6C9B56A6"/>
    <w:rsid w:val="6C9E71FB"/>
    <w:rsid w:val="6C9F4AA4"/>
    <w:rsid w:val="6C9F6852"/>
    <w:rsid w:val="6CA02C98"/>
    <w:rsid w:val="6CA4030D"/>
    <w:rsid w:val="6CA429B8"/>
    <w:rsid w:val="6CAB1E0F"/>
    <w:rsid w:val="6CAD3DC2"/>
    <w:rsid w:val="6CAE2F39"/>
    <w:rsid w:val="6CAE4CE7"/>
    <w:rsid w:val="6CAE6A95"/>
    <w:rsid w:val="6CB103E8"/>
    <w:rsid w:val="6CB22A29"/>
    <w:rsid w:val="6CB338DA"/>
    <w:rsid w:val="6CB340FA"/>
    <w:rsid w:val="6CB609E9"/>
    <w:rsid w:val="6CB840BA"/>
    <w:rsid w:val="6CB9122E"/>
    <w:rsid w:val="6CB91D8D"/>
    <w:rsid w:val="6CBC034D"/>
    <w:rsid w:val="6CBD5DCB"/>
    <w:rsid w:val="6CBE317C"/>
    <w:rsid w:val="6CBF6EF4"/>
    <w:rsid w:val="6CC10EBE"/>
    <w:rsid w:val="6CC8224D"/>
    <w:rsid w:val="6CCA0D42"/>
    <w:rsid w:val="6CCA3B44"/>
    <w:rsid w:val="6CCE2359"/>
    <w:rsid w:val="6CD209D6"/>
    <w:rsid w:val="6CD24E7A"/>
    <w:rsid w:val="6CD504C6"/>
    <w:rsid w:val="6CD5275F"/>
    <w:rsid w:val="6CD7423E"/>
    <w:rsid w:val="6CD75FEC"/>
    <w:rsid w:val="6CD7690F"/>
    <w:rsid w:val="6CD90E4B"/>
    <w:rsid w:val="6CDC1854"/>
    <w:rsid w:val="6CDE381E"/>
    <w:rsid w:val="6CDF1345"/>
    <w:rsid w:val="6CDF2259"/>
    <w:rsid w:val="6CDF30F3"/>
    <w:rsid w:val="6CE05843"/>
    <w:rsid w:val="6CE17D21"/>
    <w:rsid w:val="6CE23EFF"/>
    <w:rsid w:val="6CE31389"/>
    <w:rsid w:val="6CE34991"/>
    <w:rsid w:val="6CE40709"/>
    <w:rsid w:val="6CE5095D"/>
    <w:rsid w:val="6CE575E6"/>
    <w:rsid w:val="6CE64481"/>
    <w:rsid w:val="6CE85DC6"/>
    <w:rsid w:val="6CE94A13"/>
    <w:rsid w:val="6CEB5F3B"/>
    <w:rsid w:val="6CEB7CE9"/>
    <w:rsid w:val="6CEC593D"/>
    <w:rsid w:val="6CF02529"/>
    <w:rsid w:val="6CF03552"/>
    <w:rsid w:val="6CF070AE"/>
    <w:rsid w:val="6CF323EC"/>
    <w:rsid w:val="6CF47C93"/>
    <w:rsid w:val="6CFA5147"/>
    <w:rsid w:val="6CFE17CB"/>
    <w:rsid w:val="6D0112BB"/>
    <w:rsid w:val="6D035497"/>
    <w:rsid w:val="6D04610E"/>
    <w:rsid w:val="6D077C6F"/>
    <w:rsid w:val="6D080226"/>
    <w:rsid w:val="6D0811AE"/>
    <w:rsid w:val="6D082649"/>
    <w:rsid w:val="6D094B87"/>
    <w:rsid w:val="6D0A1BE7"/>
    <w:rsid w:val="6D0D1A0E"/>
    <w:rsid w:val="6D0D6A21"/>
    <w:rsid w:val="6D1014FE"/>
    <w:rsid w:val="6D120DA3"/>
    <w:rsid w:val="6D121E51"/>
    <w:rsid w:val="6D134E43"/>
    <w:rsid w:val="6D143FEF"/>
    <w:rsid w:val="6D167479"/>
    <w:rsid w:val="6D172012"/>
    <w:rsid w:val="6D18080C"/>
    <w:rsid w:val="6D192885"/>
    <w:rsid w:val="6D1E4045"/>
    <w:rsid w:val="6D2125C7"/>
    <w:rsid w:val="6D215AA8"/>
    <w:rsid w:val="6D220569"/>
    <w:rsid w:val="6D2531FB"/>
    <w:rsid w:val="6D267174"/>
    <w:rsid w:val="6D28245A"/>
    <w:rsid w:val="6D2A0812"/>
    <w:rsid w:val="6D2A6A64"/>
    <w:rsid w:val="6D2B458A"/>
    <w:rsid w:val="6D2C52A2"/>
    <w:rsid w:val="6D2E0E9D"/>
    <w:rsid w:val="6D3064DD"/>
    <w:rsid w:val="6D336224"/>
    <w:rsid w:val="6D3530DF"/>
    <w:rsid w:val="6D371592"/>
    <w:rsid w:val="6D392794"/>
    <w:rsid w:val="6D3B2A1F"/>
    <w:rsid w:val="6D3C0545"/>
    <w:rsid w:val="6D3E250F"/>
    <w:rsid w:val="6D447137"/>
    <w:rsid w:val="6D463172"/>
    <w:rsid w:val="6D464F20"/>
    <w:rsid w:val="6D4713C4"/>
    <w:rsid w:val="6D481F95"/>
    <w:rsid w:val="6D487533"/>
    <w:rsid w:val="6D4B2536"/>
    <w:rsid w:val="6D4D2752"/>
    <w:rsid w:val="6D4F0278"/>
    <w:rsid w:val="6D4F6F20"/>
    <w:rsid w:val="6D5272DA"/>
    <w:rsid w:val="6D567859"/>
    <w:rsid w:val="6D57712D"/>
    <w:rsid w:val="6D5910F7"/>
    <w:rsid w:val="6D5B09CB"/>
    <w:rsid w:val="6D5C3CC5"/>
    <w:rsid w:val="6D5D0BE7"/>
    <w:rsid w:val="6D5E1B92"/>
    <w:rsid w:val="6D5E495F"/>
    <w:rsid w:val="6D611D5A"/>
    <w:rsid w:val="6D61390F"/>
    <w:rsid w:val="6D6535F8"/>
    <w:rsid w:val="6D6673EF"/>
    <w:rsid w:val="6D697F9E"/>
    <w:rsid w:val="6D6A4855"/>
    <w:rsid w:val="6D714693"/>
    <w:rsid w:val="6D741A8D"/>
    <w:rsid w:val="6D761CA9"/>
    <w:rsid w:val="6D763A57"/>
    <w:rsid w:val="6D771355"/>
    <w:rsid w:val="6D7952F5"/>
    <w:rsid w:val="6D7B4153"/>
    <w:rsid w:val="6D7C02DE"/>
    <w:rsid w:val="6D7D3018"/>
    <w:rsid w:val="6D7D3037"/>
    <w:rsid w:val="6D7E0B5E"/>
    <w:rsid w:val="6D7E30E4"/>
    <w:rsid w:val="6D8310FD"/>
    <w:rsid w:val="6D8343C6"/>
    <w:rsid w:val="6D85026B"/>
    <w:rsid w:val="6D851EEC"/>
    <w:rsid w:val="6D855A48"/>
    <w:rsid w:val="6D875C64"/>
    <w:rsid w:val="6D87693B"/>
    <w:rsid w:val="6D8819DC"/>
    <w:rsid w:val="6D897DF9"/>
    <w:rsid w:val="6D8A12B0"/>
    <w:rsid w:val="6D8B090B"/>
    <w:rsid w:val="6D8C327A"/>
    <w:rsid w:val="6D8C382B"/>
    <w:rsid w:val="6D8E68C7"/>
    <w:rsid w:val="6D91187B"/>
    <w:rsid w:val="6D9143ED"/>
    <w:rsid w:val="6D924450"/>
    <w:rsid w:val="6D99588D"/>
    <w:rsid w:val="6D9B170F"/>
    <w:rsid w:val="6D9B34BE"/>
    <w:rsid w:val="6DA00AD4"/>
    <w:rsid w:val="6DA02882"/>
    <w:rsid w:val="6DA175D8"/>
    <w:rsid w:val="6DA2484C"/>
    <w:rsid w:val="6DA46A10"/>
    <w:rsid w:val="6DA5551F"/>
    <w:rsid w:val="6DA9226E"/>
    <w:rsid w:val="6DAB4171"/>
    <w:rsid w:val="6DAD7D9C"/>
    <w:rsid w:val="6DAF39A7"/>
    <w:rsid w:val="6DAF6E57"/>
    <w:rsid w:val="6DB14A8F"/>
    <w:rsid w:val="6DB1683D"/>
    <w:rsid w:val="6DB2186D"/>
    <w:rsid w:val="6DB34098"/>
    <w:rsid w:val="6DB427D1"/>
    <w:rsid w:val="6DB44DC2"/>
    <w:rsid w:val="6DB4632D"/>
    <w:rsid w:val="6DB46455"/>
    <w:rsid w:val="6DB545B6"/>
    <w:rsid w:val="6DB7676C"/>
    <w:rsid w:val="6DB8406F"/>
    <w:rsid w:val="6DBB7826"/>
    <w:rsid w:val="6DBD0525"/>
    <w:rsid w:val="6DBD1686"/>
    <w:rsid w:val="6DC00740"/>
    <w:rsid w:val="6DC047E4"/>
    <w:rsid w:val="6DC04CD2"/>
    <w:rsid w:val="6DC13BBE"/>
    <w:rsid w:val="6DC4778B"/>
    <w:rsid w:val="6DC5053A"/>
    <w:rsid w:val="6DC5678C"/>
    <w:rsid w:val="6DC75E19"/>
    <w:rsid w:val="6DC80F25"/>
    <w:rsid w:val="6DC81DD9"/>
    <w:rsid w:val="6DCB60BD"/>
    <w:rsid w:val="6DCC6D38"/>
    <w:rsid w:val="6DCC7B1B"/>
    <w:rsid w:val="6DCE5641"/>
    <w:rsid w:val="6DD15131"/>
    <w:rsid w:val="6DD245A6"/>
    <w:rsid w:val="6DD24A05"/>
    <w:rsid w:val="6DD31E4F"/>
    <w:rsid w:val="6DD40F2E"/>
    <w:rsid w:val="6DD639F5"/>
    <w:rsid w:val="6DD6613B"/>
    <w:rsid w:val="6DD80F51"/>
    <w:rsid w:val="6DD864C0"/>
    <w:rsid w:val="6DDA3074"/>
    <w:rsid w:val="6DDA5341"/>
    <w:rsid w:val="6DDB1B0C"/>
    <w:rsid w:val="6DDE2036"/>
    <w:rsid w:val="6DDF1D34"/>
    <w:rsid w:val="6DDF3EE6"/>
    <w:rsid w:val="6DDF784E"/>
    <w:rsid w:val="6DE02FB4"/>
    <w:rsid w:val="6DE05374"/>
    <w:rsid w:val="6DE17F47"/>
    <w:rsid w:val="6DE25CB5"/>
    <w:rsid w:val="6DE2733E"/>
    <w:rsid w:val="6DE36C13"/>
    <w:rsid w:val="6DE531B0"/>
    <w:rsid w:val="6DE74955"/>
    <w:rsid w:val="6DEA1B66"/>
    <w:rsid w:val="6DEA1D4F"/>
    <w:rsid w:val="6DF6074B"/>
    <w:rsid w:val="6DF8446C"/>
    <w:rsid w:val="6DFA4688"/>
    <w:rsid w:val="6DFE6CF9"/>
    <w:rsid w:val="6E005A16"/>
    <w:rsid w:val="6E0077C5"/>
    <w:rsid w:val="6E0241C5"/>
    <w:rsid w:val="6E026744"/>
    <w:rsid w:val="6E03022B"/>
    <w:rsid w:val="6E054DDB"/>
    <w:rsid w:val="6E076329"/>
    <w:rsid w:val="6E09799D"/>
    <w:rsid w:val="6E0E5A3E"/>
    <w:rsid w:val="6E1119D2"/>
    <w:rsid w:val="6E114DF8"/>
    <w:rsid w:val="6E11552E"/>
    <w:rsid w:val="6E121421"/>
    <w:rsid w:val="6E16222E"/>
    <w:rsid w:val="6E1731E1"/>
    <w:rsid w:val="6E190628"/>
    <w:rsid w:val="6E1A0886"/>
    <w:rsid w:val="6E1B7E27"/>
    <w:rsid w:val="6E1E1242"/>
    <w:rsid w:val="6E1F40EF"/>
    <w:rsid w:val="6E206041"/>
    <w:rsid w:val="6E22598D"/>
    <w:rsid w:val="6E225F1E"/>
    <w:rsid w:val="6E22686A"/>
    <w:rsid w:val="6E245261"/>
    <w:rsid w:val="6E271196"/>
    <w:rsid w:val="6E296D1B"/>
    <w:rsid w:val="6E2A13F8"/>
    <w:rsid w:val="6E2C6686"/>
    <w:rsid w:val="6E3273EC"/>
    <w:rsid w:val="6E36174B"/>
    <w:rsid w:val="6E364F94"/>
    <w:rsid w:val="6E3851B0"/>
    <w:rsid w:val="6E386F5E"/>
    <w:rsid w:val="6E396867"/>
    <w:rsid w:val="6E3D4A2D"/>
    <w:rsid w:val="6E3F02ED"/>
    <w:rsid w:val="6E407BC1"/>
    <w:rsid w:val="6E421B8B"/>
    <w:rsid w:val="6E443B55"/>
    <w:rsid w:val="6E455E09"/>
    <w:rsid w:val="6E494CC8"/>
    <w:rsid w:val="6E4A7093"/>
    <w:rsid w:val="6E4D24E8"/>
    <w:rsid w:val="6E4E22DE"/>
    <w:rsid w:val="6E4F0890"/>
    <w:rsid w:val="6E5024FA"/>
    <w:rsid w:val="6E511DCE"/>
    <w:rsid w:val="6E514CED"/>
    <w:rsid w:val="6E5356C4"/>
    <w:rsid w:val="6E544513"/>
    <w:rsid w:val="6E556F03"/>
    <w:rsid w:val="6E557B10"/>
    <w:rsid w:val="6E5816F4"/>
    <w:rsid w:val="6E5B2C4D"/>
    <w:rsid w:val="6E5B4C87"/>
    <w:rsid w:val="6E5B52BA"/>
    <w:rsid w:val="6E5D4544"/>
    <w:rsid w:val="6E5D4CE0"/>
    <w:rsid w:val="6E5E0439"/>
    <w:rsid w:val="6E5E42C5"/>
    <w:rsid w:val="6E603EBE"/>
    <w:rsid w:val="6E647D53"/>
    <w:rsid w:val="6E6553ED"/>
    <w:rsid w:val="6E66587A"/>
    <w:rsid w:val="6E6715F2"/>
    <w:rsid w:val="6E6B0AC4"/>
    <w:rsid w:val="6E6E472E"/>
    <w:rsid w:val="6E6F14F6"/>
    <w:rsid w:val="6E70494A"/>
    <w:rsid w:val="6E724372"/>
    <w:rsid w:val="6E751F61"/>
    <w:rsid w:val="6E761835"/>
    <w:rsid w:val="6E765892"/>
    <w:rsid w:val="6E77051E"/>
    <w:rsid w:val="6E775CD9"/>
    <w:rsid w:val="6E781A51"/>
    <w:rsid w:val="6E7906C9"/>
    <w:rsid w:val="6E7D0E15"/>
    <w:rsid w:val="6E7F2DDF"/>
    <w:rsid w:val="6E803E6A"/>
    <w:rsid w:val="6E8242BB"/>
    <w:rsid w:val="6E8403F6"/>
    <w:rsid w:val="6E885060"/>
    <w:rsid w:val="6E891568"/>
    <w:rsid w:val="6E8C1058"/>
    <w:rsid w:val="6E8E4DD0"/>
    <w:rsid w:val="6E8F15D9"/>
    <w:rsid w:val="6E902F64"/>
    <w:rsid w:val="6E920ED3"/>
    <w:rsid w:val="6E971ED7"/>
    <w:rsid w:val="6E985DB4"/>
    <w:rsid w:val="6E9D3E76"/>
    <w:rsid w:val="6E9D645F"/>
    <w:rsid w:val="6E9F1D90"/>
    <w:rsid w:val="6EA4245C"/>
    <w:rsid w:val="6EA53A47"/>
    <w:rsid w:val="6EA840E4"/>
    <w:rsid w:val="6EA91803"/>
    <w:rsid w:val="6EA92939"/>
    <w:rsid w:val="6EAB14DE"/>
    <w:rsid w:val="6EAB7730"/>
    <w:rsid w:val="6EAC0AC2"/>
    <w:rsid w:val="6EAC0CD0"/>
    <w:rsid w:val="6EAE5472"/>
    <w:rsid w:val="6EB23548"/>
    <w:rsid w:val="6EB5235D"/>
    <w:rsid w:val="6EB563D5"/>
    <w:rsid w:val="6EB74327"/>
    <w:rsid w:val="6EB81680"/>
    <w:rsid w:val="6EBA03B7"/>
    <w:rsid w:val="6EBD1212"/>
    <w:rsid w:val="6EBF5F48"/>
    <w:rsid w:val="6EC16F54"/>
    <w:rsid w:val="6EC22730"/>
    <w:rsid w:val="6EC407F2"/>
    <w:rsid w:val="6EC666EF"/>
    <w:rsid w:val="6EC84364"/>
    <w:rsid w:val="6ECA67E0"/>
    <w:rsid w:val="6ECC3A2B"/>
    <w:rsid w:val="6ECC4480"/>
    <w:rsid w:val="6ECD7FC5"/>
    <w:rsid w:val="6ECE587C"/>
    <w:rsid w:val="6ECF673C"/>
    <w:rsid w:val="6ED03C91"/>
    <w:rsid w:val="6ED07197"/>
    <w:rsid w:val="6ED16A5E"/>
    <w:rsid w:val="6ED32A0D"/>
    <w:rsid w:val="6ED462E2"/>
    <w:rsid w:val="6ED60F77"/>
    <w:rsid w:val="6ED7185C"/>
    <w:rsid w:val="6ED759B1"/>
    <w:rsid w:val="6ED83266"/>
    <w:rsid w:val="6ED92677"/>
    <w:rsid w:val="6ED940C8"/>
    <w:rsid w:val="6EDA0016"/>
    <w:rsid w:val="6EDA427E"/>
    <w:rsid w:val="6EDC2D66"/>
    <w:rsid w:val="6EDC2E6D"/>
    <w:rsid w:val="6EDC59CC"/>
    <w:rsid w:val="6EE32EE0"/>
    <w:rsid w:val="6EED541C"/>
    <w:rsid w:val="6EEE1943"/>
    <w:rsid w:val="6EF014BD"/>
    <w:rsid w:val="6EF2535F"/>
    <w:rsid w:val="6EF67F74"/>
    <w:rsid w:val="6EF74724"/>
    <w:rsid w:val="6EFA2466"/>
    <w:rsid w:val="6EFA2890"/>
    <w:rsid w:val="6EFC490E"/>
    <w:rsid w:val="6EFE3D04"/>
    <w:rsid w:val="6F0065A5"/>
    <w:rsid w:val="6F0155A2"/>
    <w:rsid w:val="6F060E0B"/>
    <w:rsid w:val="6F06170C"/>
    <w:rsid w:val="6F062BB9"/>
    <w:rsid w:val="6F082DD5"/>
    <w:rsid w:val="6F086931"/>
    <w:rsid w:val="6F0A08FB"/>
    <w:rsid w:val="6F0B05C7"/>
    <w:rsid w:val="6F0C01D0"/>
    <w:rsid w:val="6F0D069C"/>
    <w:rsid w:val="6F0D2199"/>
    <w:rsid w:val="6F0F4163"/>
    <w:rsid w:val="6F0F5F11"/>
    <w:rsid w:val="6F107811"/>
    <w:rsid w:val="6F121618"/>
    <w:rsid w:val="6F125D67"/>
    <w:rsid w:val="6F143527"/>
    <w:rsid w:val="6F162CBE"/>
    <w:rsid w:val="6F167094"/>
    <w:rsid w:val="6F1928EC"/>
    <w:rsid w:val="6F193D73"/>
    <w:rsid w:val="6F2132A4"/>
    <w:rsid w:val="6F225983"/>
    <w:rsid w:val="6F226C82"/>
    <w:rsid w:val="6F2614AD"/>
    <w:rsid w:val="6F281F5C"/>
    <w:rsid w:val="6F2907FB"/>
    <w:rsid w:val="6F2C4388"/>
    <w:rsid w:val="6F2C5D9F"/>
    <w:rsid w:val="6F2D20FD"/>
    <w:rsid w:val="6F341D9E"/>
    <w:rsid w:val="6F345553"/>
    <w:rsid w:val="6F347726"/>
    <w:rsid w:val="6F3516F0"/>
    <w:rsid w:val="6F372F30"/>
    <w:rsid w:val="6F394D3C"/>
    <w:rsid w:val="6F3A46D4"/>
    <w:rsid w:val="6F3B6921"/>
    <w:rsid w:val="6F3C5F3C"/>
    <w:rsid w:val="6F3C65DA"/>
    <w:rsid w:val="6F3D6210"/>
    <w:rsid w:val="6F3D7995"/>
    <w:rsid w:val="6F3E3AB7"/>
    <w:rsid w:val="6F3E5E16"/>
    <w:rsid w:val="6F4145F3"/>
    <w:rsid w:val="6F437898"/>
    <w:rsid w:val="6F451933"/>
    <w:rsid w:val="6F45267B"/>
    <w:rsid w:val="6F4651E9"/>
    <w:rsid w:val="6F4656AB"/>
    <w:rsid w:val="6F467459"/>
    <w:rsid w:val="6F46798E"/>
    <w:rsid w:val="6F481423"/>
    <w:rsid w:val="6F490CF7"/>
    <w:rsid w:val="6F4A19F1"/>
    <w:rsid w:val="6F4A2922"/>
    <w:rsid w:val="6F4A6F49"/>
    <w:rsid w:val="6F4F630E"/>
    <w:rsid w:val="6F5222A2"/>
    <w:rsid w:val="6F541B76"/>
    <w:rsid w:val="6F547DC8"/>
    <w:rsid w:val="6F5515B5"/>
    <w:rsid w:val="6F5558EE"/>
    <w:rsid w:val="6F5648EC"/>
    <w:rsid w:val="6F565587"/>
    <w:rsid w:val="6F571666"/>
    <w:rsid w:val="6F574CF5"/>
    <w:rsid w:val="6F5778B8"/>
    <w:rsid w:val="6F593F46"/>
    <w:rsid w:val="6F5B39C3"/>
    <w:rsid w:val="6F5C0A92"/>
    <w:rsid w:val="6F5C6C7D"/>
    <w:rsid w:val="6F5E1933"/>
    <w:rsid w:val="6F60286A"/>
    <w:rsid w:val="6F6124E5"/>
    <w:rsid w:val="6F653D83"/>
    <w:rsid w:val="6F662F07"/>
    <w:rsid w:val="6F685621"/>
    <w:rsid w:val="6F6A6CC4"/>
    <w:rsid w:val="6F6A75EB"/>
    <w:rsid w:val="6F6D49E6"/>
    <w:rsid w:val="6F6F5788"/>
    <w:rsid w:val="6F7056C6"/>
    <w:rsid w:val="6F7154D0"/>
    <w:rsid w:val="6F72024E"/>
    <w:rsid w:val="6F721791"/>
    <w:rsid w:val="6F751AEC"/>
    <w:rsid w:val="6F7542C0"/>
    <w:rsid w:val="6F761BCE"/>
    <w:rsid w:val="6F771D08"/>
    <w:rsid w:val="6F795A80"/>
    <w:rsid w:val="6F79782E"/>
    <w:rsid w:val="6F7A5B5D"/>
    <w:rsid w:val="6F7B0803"/>
    <w:rsid w:val="6F7C10CD"/>
    <w:rsid w:val="6F7E3097"/>
    <w:rsid w:val="6F7E50A7"/>
    <w:rsid w:val="6F800BBD"/>
    <w:rsid w:val="6F806E0F"/>
    <w:rsid w:val="6F8561D3"/>
    <w:rsid w:val="6F8952F9"/>
    <w:rsid w:val="6F8A5598"/>
    <w:rsid w:val="6F8B35CD"/>
    <w:rsid w:val="6F8D5088"/>
    <w:rsid w:val="6F9401C4"/>
    <w:rsid w:val="6F9603E0"/>
    <w:rsid w:val="6F9630BC"/>
    <w:rsid w:val="6F9A10E7"/>
    <w:rsid w:val="6F9A6128"/>
    <w:rsid w:val="6F9B7539"/>
    <w:rsid w:val="6F9C236B"/>
    <w:rsid w:val="6F9D1C83"/>
    <w:rsid w:val="6F9E1043"/>
    <w:rsid w:val="6F9F1960"/>
    <w:rsid w:val="6FA010AC"/>
    <w:rsid w:val="6FA214FE"/>
    <w:rsid w:val="6FA348AB"/>
    <w:rsid w:val="6FA34B36"/>
    <w:rsid w:val="6FA83C70"/>
    <w:rsid w:val="6FAA5C3A"/>
    <w:rsid w:val="6FAA62B9"/>
    <w:rsid w:val="6FAA7810"/>
    <w:rsid w:val="6FAA796F"/>
    <w:rsid w:val="6FAC3760"/>
    <w:rsid w:val="6FB129BF"/>
    <w:rsid w:val="6FB14F16"/>
    <w:rsid w:val="6FB630A9"/>
    <w:rsid w:val="6FB6562C"/>
    <w:rsid w:val="6FB72105"/>
    <w:rsid w:val="6FBD4BA9"/>
    <w:rsid w:val="6FBD596D"/>
    <w:rsid w:val="6FBE7075"/>
    <w:rsid w:val="6FC0437E"/>
    <w:rsid w:val="6FC15644"/>
    <w:rsid w:val="6FC36CFC"/>
    <w:rsid w:val="6FC50CC6"/>
    <w:rsid w:val="6FC52A74"/>
    <w:rsid w:val="6FC542D5"/>
    <w:rsid w:val="6FC8265E"/>
    <w:rsid w:val="6FD045B9"/>
    <w:rsid w:val="6FD21FA5"/>
    <w:rsid w:val="6FD47446"/>
    <w:rsid w:val="6FD607DD"/>
    <w:rsid w:val="6FD638AD"/>
    <w:rsid w:val="6FD63B5C"/>
    <w:rsid w:val="6FDA28E8"/>
    <w:rsid w:val="6FDA6871"/>
    <w:rsid w:val="6FDB5DF3"/>
    <w:rsid w:val="6FDD774B"/>
    <w:rsid w:val="6FDF512A"/>
    <w:rsid w:val="6FE42D8C"/>
    <w:rsid w:val="6FE434E5"/>
    <w:rsid w:val="6FE439A3"/>
    <w:rsid w:val="6FE665F4"/>
    <w:rsid w:val="6FE715C1"/>
    <w:rsid w:val="6FE80510"/>
    <w:rsid w:val="6FEA4288"/>
    <w:rsid w:val="6FED5B27"/>
    <w:rsid w:val="6FEE4FB3"/>
    <w:rsid w:val="6FEE52B1"/>
    <w:rsid w:val="6FF173C5"/>
    <w:rsid w:val="6FF21C22"/>
    <w:rsid w:val="6FF3098D"/>
    <w:rsid w:val="6FF46EB5"/>
    <w:rsid w:val="6FF57C67"/>
    <w:rsid w:val="6FF70194"/>
    <w:rsid w:val="6FF9271D"/>
    <w:rsid w:val="6FF9711E"/>
    <w:rsid w:val="6FFA03B4"/>
    <w:rsid w:val="6FFC5590"/>
    <w:rsid w:val="6FFD4164"/>
    <w:rsid w:val="6FFE55F4"/>
    <w:rsid w:val="6FFF657D"/>
    <w:rsid w:val="70031779"/>
    <w:rsid w:val="7007308C"/>
    <w:rsid w:val="700D244E"/>
    <w:rsid w:val="700F1A0F"/>
    <w:rsid w:val="70124526"/>
    <w:rsid w:val="70125365"/>
    <w:rsid w:val="701337DF"/>
    <w:rsid w:val="70133D25"/>
    <w:rsid w:val="701423EB"/>
    <w:rsid w:val="70142B8B"/>
    <w:rsid w:val="70150127"/>
    <w:rsid w:val="70160FEB"/>
    <w:rsid w:val="70166EA6"/>
    <w:rsid w:val="70187B4C"/>
    <w:rsid w:val="70193029"/>
    <w:rsid w:val="70195DCF"/>
    <w:rsid w:val="701A2120"/>
    <w:rsid w:val="701C50DC"/>
    <w:rsid w:val="701E1DE4"/>
    <w:rsid w:val="702249EF"/>
    <w:rsid w:val="7023779A"/>
    <w:rsid w:val="70250DDC"/>
    <w:rsid w:val="702552C0"/>
    <w:rsid w:val="70265A0E"/>
    <w:rsid w:val="70294DB1"/>
    <w:rsid w:val="702964E1"/>
    <w:rsid w:val="702A0B29"/>
    <w:rsid w:val="702B3865"/>
    <w:rsid w:val="702D1A1B"/>
    <w:rsid w:val="702E686B"/>
    <w:rsid w:val="702F17DE"/>
    <w:rsid w:val="70301BE4"/>
    <w:rsid w:val="70321AFE"/>
    <w:rsid w:val="70357BF9"/>
    <w:rsid w:val="703D1014"/>
    <w:rsid w:val="703F43EA"/>
    <w:rsid w:val="70404CD4"/>
    <w:rsid w:val="70437F52"/>
    <w:rsid w:val="70451AB7"/>
    <w:rsid w:val="70453BB5"/>
    <w:rsid w:val="70494A3D"/>
    <w:rsid w:val="704E4817"/>
    <w:rsid w:val="704F233D"/>
    <w:rsid w:val="704F241E"/>
    <w:rsid w:val="704F27DE"/>
    <w:rsid w:val="70540CD7"/>
    <w:rsid w:val="7055244F"/>
    <w:rsid w:val="70587444"/>
    <w:rsid w:val="705931BC"/>
    <w:rsid w:val="705B3840"/>
    <w:rsid w:val="705C08C8"/>
    <w:rsid w:val="705C2BBF"/>
    <w:rsid w:val="705C33D8"/>
    <w:rsid w:val="705C648C"/>
    <w:rsid w:val="705C7751"/>
    <w:rsid w:val="705D4A5A"/>
    <w:rsid w:val="705D592C"/>
    <w:rsid w:val="705F4991"/>
    <w:rsid w:val="70604B9D"/>
    <w:rsid w:val="70670B5A"/>
    <w:rsid w:val="70671AB8"/>
    <w:rsid w:val="70672C5C"/>
    <w:rsid w:val="70674C0E"/>
    <w:rsid w:val="70685CF4"/>
    <w:rsid w:val="706A53C9"/>
    <w:rsid w:val="706B7052"/>
    <w:rsid w:val="706C2EEF"/>
    <w:rsid w:val="706C4D00"/>
    <w:rsid w:val="706C5325"/>
    <w:rsid w:val="706D1DD0"/>
    <w:rsid w:val="706E4EB9"/>
    <w:rsid w:val="706F171B"/>
    <w:rsid w:val="707549E1"/>
    <w:rsid w:val="70757FF6"/>
    <w:rsid w:val="70797043"/>
    <w:rsid w:val="707A2CDA"/>
    <w:rsid w:val="707A7466"/>
    <w:rsid w:val="707D6058"/>
    <w:rsid w:val="707F70C6"/>
    <w:rsid w:val="7080699B"/>
    <w:rsid w:val="7082135A"/>
    <w:rsid w:val="708244C1"/>
    <w:rsid w:val="708270EC"/>
    <w:rsid w:val="70856B87"/>
    <w:rsid w:val="70860455"/>
    <w:rsid w:val="708744A1"/>
    <w:rsid w:val="708869EF"/>
    <w:rsid w:val="708A1DFA"/>
    <w:rsid w:val="708D3D21"/>
    <w:rsid w:val="708D42F7"/>
    <w:rsid w:val="708E10B8"/>
    <w:rsid w:val="708E730A"/>
    <w:rsid w:val="70901D61"/>
    <w:rsid w:val="70903082"/>
    <w:rsid w:val="70904E30"/>
    <w:rsid w:val="70912956"/>
    <w:rsid w:val="709366CE"/>
    <w:rsid w:val="70946103"/>
    <w:rsid w:val="70961A03"/>
    <w:rsid w:val="709661BE"/>
    <w:rsid w:val="70974410"/>
    <w:rsid w:val="70992566"/>
    <w:rsid w:val="709B04B2"/>
    <w:rsid w:val="709D7890"/>
    <w:rsid w:val="709F1517"/>
    <w:rsid w:val="709F2893"/>
    <w:rsid w:val="709F32C5"/>
    <w:rsid w:val="70A36114"/>
    <w:rsid w:val="70A4017D"/>
    <w:rsid w:val="70A45C5C"/>
    <w:rsid w:val="70AA0678"/>
    <w:rsid w:val="70AC0470"/>
    <w:rsid w:val="70AC7F5E"/>
    <w:rsid w:val="70AE175A"/>
    <w:rsid w:val="70AF36CD"/>
    <w:rsid w:val="70B026AF"/>
    <w:rsid w:val="70B057C5"/>
    <w:rsid w:val="70B25315"/>
    <w:rsid w:val="70B31C63"/>
    <w:rsid w:val="70B328CC"/>
    <w:rsid w:val="70B34FC2"/>
    <w:rsid w:val="70B56644"/>
    <w:rsid w:val="70B825D8"/>
    <w:rsid w:val="70BA00FF"/>
    <w:rsid w:val="70BA6DA6"/>
    <w:rsid w:val="70BD7BEF"/>
    <w:rsid w:val="70C36998"/>
    <w:rsid w:val="70CA0008"/>
    <w:rsid w:val="70CB230C"/>
    <w:rsid w:val="70CD2B2B"/>
    <w:rsid w:val="70CF2E52"/>
    <w:rsid w:val="70CF38C7"/>
    <w:rsid w:val="70D016D0"/>
    <w:rsid w:val="70D527EE"/>
    <w:rsid w:val="70D6480D"/>
    <w:rsid w:val="70D72A5F"/>
    <w:rsid w:val="70D94A29"/>
    <w:rsid w:val="70D94CA2"/>
    <w:rsid w:val="70DF0A2D"/>
    <w:rsid w:val="70E11BD6"/>
    <w:rsid w:val="70E17113"/>
    <w:rsid w:val="70E4517B"/>
    <w:rsid w:val="70E64FCA"/>
    <w:rsid w:val="70E909E4"/>
    <w:rsid w:val="70E92792"/>
    <w:rsid w:val="70EA6735"/>
    <w:rsid w:val="70EB3505"/>
    <w:rsid w:val="70EB475C"/>
    <w:rsid w:val="70EC0405"/>
    <w:rsid w:val="70ED2B7B"/>
    <w:rsid w:val="70ED4030"/>
    <w:rsid w:val="70EE7DA8"/>
    <w:rsid w:val="70F01D72"/>
    <w:rsid w:val="70F47C7D"/>
    <w:rsid w:val="70F52EE5"/>
    <w:rsid w:val="70F7117C"/>
    <w:rsid w:val="70F73101"/>
    <w:rsid w:val="70F7549F"/>
    <w:rsid w:val="70F76C5D"/>
    <w:rsid w:val="70F858D1"/>
    <w:rsid w:val="70F925AE"/>
    <w:rsid w:val="70F930D3"/>
    <w:rsid w:val="70FA04FB"/>
    <w:rsid w:val="70FA499F"/>
    <w:rsid w:val="70FB1B43"/>
    <w:rsid w:val="70FC24C5"/>
    <w:rsid w:val="70FD3D54"/>
    <w:rsid w:val="70FF15F5"/>
    <w:rsid w:val="70FF7387"/>
    <w:rsid w:val="71025602"/>
    <w:rsid w:val="71037CD9"/>
    <w:rsid w:val="71057C17"/>
    <w:rsid w:val="71080E6A"/>
    <w:rsid w:val="7108325D"/>
    <w:rsid w:val="71092523"/>
    <w:rsid w:val="710A13BA"/>
    <w:rsid w:val="710B2708"/>
    <w:rsid w:val="710C022E"/>
    <w:rsid w:val="710D78DA"/>
    <w:rsid w:val="710F1CF7"/>
    <w:rsid w:val="71117063"/>
    <w:rsid w:val="71174D83"/>
    <w:rsid w:val="711772FF"/>
    <w:rsid w:val="71184E25"/>
    <w:rsid w:val="711D4AD7"/>
    <w:rsid w:val="7121101F"/>
    <w:rsid w:val="71237A52"/>
    <w:rsid w:val="712437CA"/>
    <w:rsid w:val="712455BD"/>
    <w:rsid w:val="7125203C"/>
    <w:rsid w:val="71257C6E"/>
    <w:rsid w:val="71280864"/>
    <w:rsid w:val="71293828"/>
    <w:rsid w:val="71296173"/>
    <w:rsid w:val="712B2DAA"/>
    <w:rsid w:val="712B4B58"/>
    <w:rsid w:val="712C5FDC"/>
    <w:rsid w:val="712E4649"/>
    <w:rsid w:val="71301B9A"/>
    <w:rsid w:val="71302142"/>
    <w:rsid w:val="7132328E"/>
    <w:rsid w:val="71333A0D"/>
    <w:rsid w:val="713360A0"/>
    <w:rsid w:val="71342483"/>
    <w:rsid w:val="71343D18"/>
    <w:rsid w:val="71353C29"/>
    <w:rsid w:val="713A4D9B"/>
    <w:rsid w:val="713B4E17"/>
    <w:rsid w:val="713C6D66"/>
    <w:rsid w:val="713E3E60"/>
    <w:rsid w:val="7144359E"/>
    <w:rsid w:val="71453E6C"/>
    <w:rsid w:val="714807B6"/>
    <w:rsid w:val="71494FDF"/>
    <w:rsid w:val="714C3C41"/>
    <w:rsid w:val="714D0F73"/>
    <w:rsid w:val="714E4B93"/>
    <w:rsid w:val="714F5B57"/>
    <w:rsid w:val="71514BA2"/>
    <w:rsid w:val="715246D0"/>
    <w:rsid w:val="71542301"/>
    <w:rsid w:val="715569BA"/>
    <w:rsid w:val="71566079"/>
    <w:rsid w:val="715916C6"/>
    <w:rsid w:val="715A40F1"/>
    <w:rsid w:val="715B5300"/>
    <w:rsid w:val="715D3AC8"/>
    <w:rsid w:val="715D4DFE"/>
    <w:rsid w:val="715D7827"/>
    <w:rsid w:val="71600CA6"/>
    <w:rsid w:val="71605913"/>
    <w:rsid w:val="71615295"/>
    <w:rsid w:val="71616075"/>
    <w:rsid w:val="71656712"/>
    <w:rsid w:val="71662210"/>
    <w:rsid w:val="716714CA"/>
    <w:rsid w:val="716B18C0"/>
    <w:rsid w:val="716C138F"/>
    <w:rsid w:val="71706A0F"/>
    <w:rsid w:val="717208D5"/>
    <w:rsid w:val="717209D9"/>
    <w:rsid w:val="71720A08"/>
    <w:rsid w:val="717572F0"/>
    <w:rsid w:val="717604C9"/>
    <w:rsid w:val="717676FC"/>
    <w:rsid w:val="71791D68"/>
    <w:rsid w:val="717A4578"/>
    <w:rsid w:val="717C0617"/>
    <w:rsid w:val="717C1858"/>
    <w:rsid w:val="717C1922"/>
    <w:rsid w:val="717C3606"/>
    <w:rsid w:val="717C53B4"/>
    <w:rsid w:val="717E2EDA"/>
    <w:rsid w:val="71841346"/>
    <w:rsid w:val="71845518"/>
    <w:rsid w:val="71846349"/>
    <w:rsid w:val="71871A01"/>
    <w:rsid w:val="71886A06"/>
    <w:rsid w:val="718B55F7"/>
    <w:rsid w:val="718C5DA5"/>
    <w:rsid w:val="718D54E8"/>
    <w:rsid w:val="718F158B"/>
    <w:rsid w:val="71901525"/>
    <w:rsid w:val="71936644"/>
    <w:rsid w:val="7195081B"/>
    <w:rsid w:val="71997D14"/>
    <w:rsid w:val="719A584F"/>
    <w:rsid w:val="719B3F8F"/>
    <w:rsid w:val="719B7F30"/>
    <w:rsid w:val="719E532A"/>
    <w:rsid w:val="719F449E"/>
    <w:rsid w:val="71A05546"/>
    <w:rsid w:val="71A07EC3"/>
    <w:rsid w:val="71A32BE3"/>
    <w:rsid w:val="71A60683"/>
    <w:rsid w:val="71A62B9D"/>
    <w:rsid w:val="71A768D5"/>
    <w:rsid w:val="71A979AE"/>
    <w:rsid w:val="71AA0173"/>
    <w:rsid w:val="71AC3EEB"/>
    <w:rsid w:val="71AE0106"/>
    <w:rsid w:val="71AE564D"/>
    <w:rsid w:val="71B069C3"/>
    <w:rsid w:val="71B15D60"/>
    <w:rsid w:val="71B408D9"/>
    <w:rsid w:val="71B44B4E"/>
    <w:rsid w:val="71B4675E"/>
    <w:rsid w:val="71B5752C"/>
    <w:rsid w:val="71B721E9"/>
    <w:rsid w:val="71B85CEC"/>
    <w:rsid w:val="71B903B6"/>
    <w:rsid w:val="71BA0608"/>
    <w:rsid w:val="71BB0B74"/>
    <w:rsid w:val="71BC0E19"/>
    <w:rsid w:val="71BC5E42"/>
    <w:rsid w:val="71BF6508"/>
    <w:rsid w:val="71C22409"/>
    <w:rsid w:val="71C32FE3"/>
    <w:rsid w:val="71C34D91"/>
    <w:rsid w:val="71C70D25"/>
    <w:rsid w:val="71C72AD3"/>
    <w:rsid w:val="71C805F9"/>
    <w:rsid w:val="71CB1E97"/>
    <w:rsid w:val="71CD5C10"/>
    <w:rsid w:val="71D074AE"/>
    <w:rsid w:val="71D15700"/>
    <w:rsid w:val="71D21478"/>
    <w:rsid w:val="71D24AD1"/>
    <w:rsid w:val="71D25CFA"/>
    <w:rsid w:val="71D27F8A"/>
    <w:rsid w:val="71D32E27"/>
    <w:rsid w:val="71D40D4C"/>
    <w:rsid w:val="71D5512E"/>
    <w:rsid w:val="71D57FD1"/>
    <w:rsid w:val="71D64AC4"/>
    <w:rsid w:val="71D7083C"/>
    <w:rsid w:val="71D90A58"/>
    <w:rsid w:val="71DC1DF3"/>
    <w:rsid w:val="71E10A8E"/>
    <w:rsid w:val="71E219F3"/>
    <w:rsid w:val="71E36DA3"/>
    <w:rsid w:val="71E47081"/>
    <w:rsid w:val="71E52F59"/>
    <w:rsid w:val="71E73175"/>
    <w:rsid w:val="71E84F51"/>
    <w:rsid w:val="71EF3DD8"/>
    <w:rsid w:val="71F17782"/>
    <w:rsid w:val="71F31B1A"/>
    <w:rsid w:val="71F348FB"/>
    <w:rsid w:val="71F53B14"/>
    <w:rsid w:val="71F63220"/>
    <w:rsid w:val="71F633B8"/>
    <w:rsid w:val="71F73A6C"/>
    <w:rsid w:val="71F764E3"/>
    <w:rsid w:val="71F84A26"/>
    <w:rsid w:val="71F87130"/>
    <w:rsid w:val="71FB277D"/>
    <w:rsid w:val="71FB31AE"/>
    <w:rsid w:val="71FD4747"/>
    <w:rsid w:val="71FD64F5"/>
    <w:rsid w:val="71FE226D"/>
    <w:rsid w:val="72005FE5"/>
    <w:rsid w:val="72010254"/>
    <w:rsid w:val="72036E88"/>
    <w:rsid w:val="7206264A"/>
    <w:rsid w:val="72077373"/>
    <w:rsid w:val="72083634"/>
    <w:rsid w:val="72085BC5"/>
    <w:rsid w:val="72097377"/>
    <w:rsid w:val="720C6A87"/>
    <w:rsid w:val="720D2014"/>
    <w:rsid w:val="720F449A"/>
    <w:rsid w:val="72100DFB"/>
    <w:rsid w:val="721800D5"/>
    <w:rsid w:val="7219649A"/>
    <w:rsid w:val="721A091A"/>
    <w:rsid w:val="721D6B97"/>
    <w:rsid w:val="721E124A"/>
    <w:rsid w:val="721E51E3"/>
    <w:rsid w:val="721E61E4"/>
    <w:rsid w:val="72227FE4"/>
    <w:rsid w:val="72253158"/>
    <w:rsid w:val="72261ADE"/>
    <w:rsid w:val="7226697F"/>
    <w:rsid w:val="722C26B1"/>
    <w:rsid w:val="72330169"/>
    <w:rsid w:val="72332413"/>
    <w:rsid w:val="72402F7F"/>
    <w:rsid w:val="724063E2"/>
    <w:rsid w:val="724203AC"/>
    <w:rsid w:val="72451C4A"/>
    <w:rsid w:val="724537FB"/>
    <w:rsid w:val="724629D6"/>
    <w:rsid w:val="72472DED"/>
    <w:rsid w:val="724A7DA3"/>
    <w:rsid w:val="724C10A7"/>
    <w:rsid w:val="724E7204"/>
    <w:rsid w:val="7251239D"/>
    <w:rsid w:val="72553024"/>
    <w:rsid w:val="72563F5A"/>
    <w:rsid w:val="72584C90"/>
    <w:rsid w:val="72590377"/>
    <w:rsid w:val="725956F5"/>
    <w:rsid w:val="725B167F"/>
    <w:rsid w:val="725B3E7C"/>
    <w:rsid w:val="725B76BF"/>
    <w:rsid w:val="725C7E81"/>
    <w:rsid w:val="725D51E5"/>
    <w:rsid w:val="72600832"/>
    <w:rsid w:val="726037CB"/>
    <w:rsid w:val="72606E27"/>
    <w:rsid w:val="72655E48"/>
    <w:rsid w:val="72657737"/>
    <w:rsid w:val="72665F72"/>
    <w:rsid w:val="72667D82"/>
    <w:rsid w:val="72676064"/>
    <w:rsid w:val="72691DDC"/>
    <w:rsid w:val="72692A34"/>
    <w:rsid w:val="72693B8A"/>
    <w:rsid w:val="72695938"/>
    <w:rsid w:val="7269652D"/>
    <w:rsid w:val="726A0F8B"/>
    <w:rsid w:val="726A16B0"/>
    <w:rsid w:val="726B5B54"/>
    <w:rsid w:val="726D3A48"/>
    <w:rsid w:val="726D4CD4"/>
    <w:rsid w:val="726E6B19"/>
    <w:rsid w:val="726E73F3"/>
    <w:rsid w:val="72710C91"/>
    <w:rsid w:val="72722139"/>
    <w:rsid w:val="7278201F"/>
    <w:rsid w:val="727851A4"/>
    <w:rsid w:val="727B0FB5"/>
    <w:rsid w:val="727B38BE"/>
    <w:rsid w:val="727B4E4E"/>
    <w:rsid w:val="727B566C"/>
    <w:rsid w:val="727D7636"/>
    <w:rsid w:val="72807C67"/>
    <w:rsid w:val="72810D31"/>
    <w:rsid w:val="72824C4C"/>
    <w:rsid w:val="728409C4"/>
    <w:rsid w:val="72843975"/>
    <w:rsid w:val="72843E75"/>
    <w:rsid w:val="7285301A"/>
    <w:rsid w:val="728A3B01"/>
    <w:rsid w:val="728C1FD3"/>
    <w:rsid w:val="728C5ACB"/>
    <w:rsid w:val="728D6135"/>
    <w:rsid w:val="728E1815"/>
    <w:rsid w:val="728F1117"/>
    <w:rsid w:val="729055BB"/>
    <w:rsid w:val="72914E8F"/>
    <w:rsid w:val="72916C3D"/>
    <w:rsid w:val="72930C07"/>
    <w:rsid w:val="72966949"/>
    <w:rsid w:val="729A1C60"/>
    <w:rsid w:val="729B74F5"/>
    <w:rsid w:val="729D4C52"/>
    <w:rsid w:val="729D6DC9"/>
    <w:rsid w:val="729E3A2F"/>
    <w:rsid w:val="729F57FE"/>
    <w:rsid w:val="72A00D96"/>
    <w:rsid w:val="72A050D2"/>
    <w:rsid w:val="72A5555B"/>
    <w:rsid w:val="72A66B8C"/>
    <w:rsid w:val="72A91AB4"/>
    <w:rsid w:val="72AA7CFF"/>
    <w:rsid w:val="72AB5F51"/>
    <w:rsid w:val="72AE3C93"/>
    <w:rsid w:val="72B172DF"/>
    <w:rsid w:val="72B3305C"/>
    <w:rsid w:val="72B43CA2"/>
    <w:rsid w:val="72B60275"/>
    <w:rsid w:val="72B67C77"/>
    <w:rsid w:val="72B74C3A"/>
    <w:rsid w:val="72B91F33"/>
    <w:rsid w:val="72B93B68"/>
    <w:rsid w:val="72B947F7"/>
    <w:rsid w:val="72BA2638"/>
    <w:rsid w:val="72BB015E"/>
    <w:rsid w:val="72BC2E52"/>
    <w:rsid w:val="72BD3075"/>
    <w:rsid w:val="72BD7A32"/>
    <w:rsid w:val="72BF58E0"/>
    <w:rsid w:val="72BF6AEA"/>
    <w:rsid w:val="72C36841"/>
    <w:rsid w:val="72C45265"/>
    <w:rsid w:val="72C4549C"/>
    <w:rsid w:val="72C54770"/>
    <w:rsid w:val="72C60FDD"/>
    <w:rsid w:val="72C62D8B"/>
    <w:rsid w:val="72C76B03"/>
    <w:rsid w:val="72C8582B"/>
    <w:rsid w:val="72CC34A1"/>
    <w:rsid w:val="72CC5EC7"/>
    <w:rsid w:val="72CE1DCA"/>
    <w:rsid w:val="72CE3D8E"/>
    <w:rsid w:val="72D03C09"/>
    <w:rsid w:val="72D130E8"/>
    <w:rsid w:val="72D134DE"/>
    <w:rsid w:val="72D74F98"/>
    <w:rsid w:val="72D75430"/>
    <w:rsid w:val="72D82ABE"/>
    <w:rsid w:val="72D83162"/>
    <w:rsid w:val="72DA5B02"/>
    <w:rsid w:val="72DA6836"/>
    <w:rsid w:val="72DE0622"/>
    <w:rsid w:val="72E17BC5"/>
    <w:rsid w:val="72E466B6"/>
    <w:rsid w:val="72E63A81"/>
    <w:rsid w:val="72E70F53"/>
    <w:rsid w:val="72E8136F"/>
    <w:rsid w:val="72E94077"/>
    <w:rsid w:val="72EB1953"/>
    <w:rsid w:val="72EB27F1"/>
    <w:rsid w:val="72EC63AC"/>
    <w:rsid w:val="72ED6CB2"/>
    <w:rsid w:val="72EF69BE"/>
    <w:rsid w:val="72F07E08"/>
    <w:rsid w:val="72F20481"/>
    <w:rsid w:val="72F23B42"/>
    <w:rsid w:val="72F35B4A"/>
    <w:rsid w:val="72F47912"/>
    <w:rsid w:val="72F84F0E"/>
    <w:rsid w:val="72F859D2"/>
    <w:rsid w:val="72F90E91"/>
    <w:rsid w:val="72FA2A34"/>
    <w:rsid w:val="72FB6B9B"/>
    <w:rsid w:val="72FC49FE"/>
    <w:rsid w:val="72FD2525"/>
    <w:rsid w:val="72FF629D"/>
    <w:rsid w:val="73006BA2"/>
    <w:rsid w:val="730114A6"/>
    <w:rsid w:val="73025D8D"/>
    <w:rsid w:val="73041B05"/>
    <w:rsid w:val="730438B3"/>
    <w:rsid w:val="73043F02"/>
    <w:rsid w:val="730739E2"/>
    <w:rsid w:val="7309711B"/>
    <w:rsid w:val="730D688F"/>
    <w:rsid w:val="730E1E7E"/>
    <w:rsid w:val="7310261E"/>
    <w:rsid w:val="73104006"/>
    <w:rsid w:val="73104372"/>
    <w:rsid w:val="73105FB4"/>
    <w:rsid w:val="73110ECA"/>
    <w:rsid w:val="73122968"/>
    <w:rsid w:val="73124F7B"/>
    <w:rsid w:val="7315161C"/>
    <w:rsid w:val="73155AC0"/>
    <w:rsid w:val="73186D0D"/>
    <w:rsid w:val="731A30D6"/>
    <w:rsid w:val="731D09A3"/>
    <w:rsid w:val="731F5D5E"/>
    <w:rsid w:val="731F693F"/>
    <w:rsid w:val="73232B52"/>
    <w:rsid w:val="7326284F"/>
    <w:rsid w:val="732775A1"/>
    <w:rsid w:val="73277640"/>
    <w:rsid w:val="73281A91"/>
    <w:rsid w:val="732909AA"/>
    <w:rsid w:val="732950C8"/>
    <w:rsid w:val="73297757"/>
    <w:rsid w:val="732A158F"/>
    <w:rsid w:val="732A3975"/>
    <w:rsid w:val="732B7092"/>
    <w:rsid w:val="732C3EDF"/>
    <w:rsid w:val="732C61DB"/>
    <w:rsid w:val="732D0C2F"/>
    <w:rsid w:val="732F14C4"/>
    <w:rsid w:val="733046A8"/>
    <w:rsid w:val="73321A02"/>
    <w:rsid w:val="73337CF4"/>
    <w:rsid w:val="73353A6C"/>
    <w:rsid w:val="733A5B3C"/>
    <w:rsid w:val="733F0FE6"/>
    <w:rsid w:val="734168B5"/>
    <w:rsid w:val="73426189"/>
    <w:rsid w:val="7343262D"/>
    <w:rsid w:val="734343DB"/>
    <w:rsid w:val="734622B9"/>
    <w:rsid w:val="734760AD"/>
    <w:rsid w:val="734939BC"/>
    <w:rsid w:val="734B14E2"/>
    <w:rsid w:val="734D44BC"/>
    <w:rsid w:val="734E4B2E"/>
    <w:rsid w:val="734E6C46"/>
    <w:rsid w:val="734F0FD2"/>
    <w:rsid w:val="735008A6"/>
    <w:rsid w:val="73515A0E"/>
    <w:rsid w:val="73530396"/>
    <w:rsid w:val="73530456"/>
    <w:rsid w:val="735760D9"/>
    <w:rsid w:val="7358775B"/>
    <w:rsid w:val="735B10BF"/>
    <w:rsid w:val="735C44E6"/>
    <w:rsid w:val="735D2FC3"/>
    <w:rsid w:val="736274B7"/>
    <w:rsid w:val="7363682B"/>
    <w:rsid w:val="73661179"/>
    <w:rsid w:val="736669F6"/>
    <w:rsid w:val="73685CE0"/>
    <w:rsid w:val="736C0ED5"/>
    <w:rsid w:val="736C3037"/>
    <w:rsid w:val="736D3206"/>
    <w:rsid w:val="736E1ACB"/>
    <w:rsid w:val="736F00C7"/>
    <w:rsid w:val="73725816"/>
    <w:rsid w:val="7375030D"/>
    <w:rsid w:val="737547B1"/>
    <w:rsid w:val="737A7C98"/>
    <w:rsid w:val="737B5603"/>
    <w:rsid w:val="737C0CC1"/>
    <w:rsid w:val="737D66D2"/>
    <w:rsid w:val="73811242"/>
    <w:rsid w:val="73814F04"/>
    <w:rsid w:val="73835247"/>
    <w:rsid w:val="73836ECE"/>
    <w:rsid w:val="73840550"/>
    <w:rsid w:val="738603ED"/>
    <w:rsid w:val="7386251A"/>
    <w:rsid w:val="738723B4"/>
    <w:rsid w:val="7388317E"/>
    <w:rsid w:val="738A054B"/>
    <w:rsid w:val="738B3D0E"/>
    <w:rsid w:val="738B7B30"/>
    <w:rsid w:val="738E13CF"/>
    <w:rsid w:val="738E7C38"/>
    <w:rsid w:val="738F33AD"/>
    <w:rsid w:val="73904912"/>
    <w:rsid w:val="73927111"/>
    <w:rsid w:val="73942E89"/>
    <w:rsid w:val="73971510"/>
    <w:rsid w:val="7399224D"/>
    <w:rsid w:val="7399336C"/>
    <w:rsid w:val="739A0D1C"/>
    <w:rsid w:val="739F3822"/>
    <w:rsid w:val="73A07A56"/>
    <w:rsid w:val="73A527A7"/>
    <w:rsid w:val="73A5689D"/>
    <w:rsid w:val="73A739C4"/>
    <w:rsid w:val="73A9787C"/>
    <w:rsid w:val="73AB01D2"/>
    <w:rsid w:val="73AD08A6"/>
    <w:rsid w:val="73B03521"/>
    <w:rsid w:val="73B11477"/>
    <w:rsid w:val="73B6179D"/>
    <w:rsid w:val="73B835AD"/>
    <w:rsid w:val="73B9783C"/>
    <w:rsid w:val="73BB2DC9"/>
    <w:rsid w:val="73BC4E45"/>
    <w:rsid w:val="73BD7FBB"/>
    <w:rsid w:val="73C117A4"/>
    <w:rsid w:val="73C11DA7"/>
    <w:rsid w:val="73C30B4F"/>
    <w:rsid w:val="73C31078"/>
    <w:rsid w:val="73C33AC4"/>
    <w:rsid w:val="73C51294"/>
    <w:rsid w:val="73C51AD5"/>
    <w:rsid w:val="73C53CEF"/>
    <w:rsid w:val="73C6500C"/>
    <w:rsid w:val="73C66DBA"/>
    <w:rsid w:val="73CA3D17"/>
    <w:rsid w:val="73CC2623"/>
    <w:rsid w:val="73CE3C6E"/>
    <w:rsid w:val="73CF1DC3"/>
    <w:rsid w:val="73CF2113"/>
    <w:rsid w:val="73D072A1"/>
    <w:rsid w:val="73D47729"/>
    <w:rsid w:val="73D554C1"/>
    <w:rsid w:val="73D6524F"/>
    <w:rsid w:val="73D72D76"/>
    <w:rsid w:val="73D74B24"/>
    <w:rsid w:val="73D7549C"/>
    <w:rsid w:val="73D80C9E"/>
    <w:rsid w:val="73D9089C"/>
    <w:rsid w:val="73D915D3"/>
    <w:rsid w:val="73DA729F"/>
    <w:rsid w:val="73DD7C5F"/>
    <w:rsid w:val="73DE65CA"/>
    <w:rsid w:val="73DF6A23"/>
    <w:rsid w:val="73E02E4A"/>
    <w:rsid w:val="73E060CE"/>
    <w:rsid w:val="73E16942"/>
    <w:rsid w:val="73E22936"/>
    <w:rsid w:val="73E30F41"/>
    <w:rsid w:val="73E34995"/>
    <w:rsid w:val="73E536E4"/>
    <w:rsid w:val="73E727C7"/>
    <w:rsid w:val="73E86ADF"/>
    <w:rsid w:val="73F24EEE"/>
    <w:rsid w:val="73F44B75"/>
    <w:rsid w:val="73F456D6"/>
    <w:rsid w:val="73F50522"/>
    <w:rsid w:val="73F54AD6"/>
    <w:rsid w:val="73F676A0"/>
    <w:rsid w:val="73F739DE"/>
    <w:rsid w:val="73F81D9D"/>
    <w:rsid w:val="73F8560F"/>
    <w:rsid w:val="73F875D8"/>
    <w:rsid w:val="73FC32EF"/>
    <w:rsid w:val="73FD2157"/>
    <w:rsid w:val="73FE0302"/>
    <w:rsid w:val="73FF2654"/>
    <w:rsid w:val="74000DE6"/>
    <w:rsid w:val="740016EF"/>
    <w:rsid w:val="740022CC"/>
    <w:rsid w:val="74033B6B"/>
    <w:rsid w:val="74070777"/>
    <w:rsid w:val="7409065C"/>
    <w:rsid w:val="740D4274"/>
    <w:rsid w:val="740D6797"/>
    <w:rsid w:val="740F3D13"/>
    <w:rsid w:val="740F42BD"/>
    <w:rsid w:val="74103A19"/>
    <w:rsid w:val="7413048E"/>
    <w:rsid w:val="74165ABB"/>
    <w:rsid w:val="741904FC"/>
    <w:rsid w:val="7419338E"/>
    <w:rsid w:val="74193CE7"/>
    <w:rsid w:val="741C2D1C"/>
    <w:rsid w:val="741C3B1A"/>
    <w:rsid w:val="741E793C"/>
    <w:rsid w:val="7420328D"/>
    <w:rsid w:val="74205056"/>
    <w:rsid w:val="74205829"/>
    <w:rsid w:val="74212243"/>
    <w:rsid w:val="74257F85"/>
    <w:rsid w:val="74296F20"/>
    <w:rsid w:val="742A7834"/>
    <w:rsid w:val="742C3B09"/>
    <w:rsid w:val="742E508B"/>
    <w:rsid w:val="742F2BB2"/>
    <w:rsid w:val="74302EC1"/>
    <w:rsid w:val="7430754E"/>
    <w:rsid w:val="743127E4"/>
    <w:rsid w:val="7431692A"/>
    <w:rsid w:val="74351E7B"/>
    <w:rsid w:val="74370445"/>
    <w:rsid w:val="743708C6"/>
    <w:rsid w:val="743B0273"/>
    <w:rsid w:val="743C5BB1"/>
    <w:rsid w:val="743E4BA3"/>
    <w:rsid w:val="743F2D9D"/>
    <w:rsid w:val="7440091B"/>
    <w:rsid w:val="7441556A"/>
    <w:rsid w:val="744219F1"/>
    <w:rsid w:val="744228E5"/>
    <w:rsid w:val="7444547F"/>
    <w:rsid w:val="74446DBA"/>
    <w:rsid w:val="7447614D"/>
    <w:rsid w:val="744B6BF1"/>
    <w:rsid w:val="744F3E47"/>
    <w:rsid w:val="744F464A"/>
    <w:rsid w:val="745138C3"/>
    <w:rsid w:val="745148D6"/>
    <w:rsid w:val="74514EFF"/>
    <w:rsid w:val="745230D7"/>
    <w:rsid w:val="74546174"/>
    <w:rsid w:val="74561EEC"/>
    <w:rsid w:val="745D4F62"/>
    <w:rsid w:val="745E3944"/>
    <w:rsid w:val="745E6237"/>
    <w:rsid w:val="745F185A"/>
    <w:rsid w:val="745F43E8"/>
    <w:rsid w:val="74624D35"/>
    <w:rsid w:val="74654825"/>
    <w:rsid w:val="74692854"/>
    <w:rsid w:val="746B1950"/>
    <w:rsid w:val="746D7236"/>
    <w:rsid w:val="746F598B"/>
    <w:rsid w:val="747338CE"/>
    <w:rsid w:val="74736F42"/>
    <w:rsid w:val="747566AD"/>
    <w:rsid w:val="747607E0"/>
    <w:rsid w:val="74786307"/>
    <w:rsid w:val="747926CA"/>
    <w:rsid w:val="747B5DF7"/>
    <w:rsid w:val="747D56CB"/>
    <w:rsid w:val="747E1443"/>
    <w:rsid w:val="747F58E7"/>
    <w:rsid w:val="74817D33"/>
    <w:rsid w:val="74827103"/>
    <w:rsid w:val="74873D49"/>
    <w:rsid w:val="7487479C"/>
    <w:rsid w:val="748A47CE"/>
    <w:rsid w:val="748C0004"/>
    <w:rsid w:val="748C590E"/>
    <w:rsid w:val="748E5B2A"/>
    <w:rsid w:val="748F72B7"/>
    <w:rsid w:val="749018A2"/>
    <w:rsid w:val="7491561A"/>
    <w:rsid w:val="74944A58"/>
    <w:rsid w:val="74972612"/>
    <w:rsid w:val="749803B7"/>
    <w:rsid w:val="74991B9F"/>
    <w:rsid w:val="749A2F9C"/>
    <w:rsid w:val="749E5935"/>
    <w:rsid w:val="749F08D0"/>
    <w:rsid w:val="74A01EAD"/>
    <w:rsid w:val="74A21962"/>
    <w:rsid w:val="74A54877"/>
    <w:rsid w:val="74AA0AA2"/>
    <w:rsid w:val="74AB66DC"/>
    <w:rsid w:val="74AC4202"/>
    <w:rsid w:val="74AD461B"/>
    <w:rsid w:val="74AE3AD6"/>
    <w:rsid w:val="74B13391"/>
    <w:rsid w:val="74B17A6A"/>
    <w:rsid w:val="74B2396A"/>
    <w:rsid w:val="74B310ED"/>
    <w:rsid w:val="74B41CAC"/>
    <w:rsid w:val="74B530B7"/>
    <w:rsid w:val="74B56384"/>
    <w:rsid w:val="74B77572"/>
    <w:rsid w:val="74BD6D01"/>
    <w:rsid w:val="74BE7A92"/>
    <w:rsid w:val="74BF61EB"/>
    <w:rsid w:val="74BF6CCF"/>
    <w:rsid w:val="74C4654A"/>
    <w:rsid w:val="74C4779E"/>
    <w:rsid w:val="74C72DEA"/>
    <w:rsid w:val="74C77033"/>
    <w:rsid w:val="74CA1AF7"/>
    <w:rsid w:val="74CA57BB"/>
    <w:rsid w:val="74CA6436"/>
    <w:rsid w:val="74CC0400"/>
    <w:rsid w:val="74CC2B9D"/>
    <w:rsid w:val="74CE0504"/>
    <w:rsid w:val="74CE5F27"/>
    <w:rsid w:val="74CF5300"/>
    <w:rsid w:val="74D370A7"/>
    <w:rsid w:val="74D3711D"/>
    <w:rsid w:val="74D379E1"/>
    <w:rsid w:val="74D8656F"/>
    <w:rsid w:val="74DA2B1D"/>
    <w:rsid w:val="74DA48CB"/>
    <w:rsid w:val="74DC3874"/>
    <w:rsid w:val="74DE28E9"/>
    <w:rsid w:val="74DE57F8"/>
    <w:rsid w:val="74E03EAC"/>
    <w:rsid w:val="74E162C2"/>
    <w:rsid w:val="74E201B1"/>
    <w:rsid w:val="74E25E76"/>
    <w:rsid w:val="74E31946"/>
    <w:rsid w:val="74E45F73"/>
    <w:rsid w:val="74E514C2"/>
    <w:rsid w:val="74E65115"/>
    <w:rsid w:val="74E70B47"/>
    <w:rsid w:val="74E812EC"/>
    <w:rsid w:val="74E874F4"/>
    <w:rsid w:val="74E90885"/>
    <w:rsid w:val="74E91E55"/>
    <w:rsid w:val="74E97204"/>
    <w:rsid w:val="74EA7FF7"/>
    <w:rsid w:val="74EC0AA3"/>
    <w:rsid w:val="74EE0377"/>
    <w:rsid w:val="74EF14E0"/>
    <w:rsid w:val="74F11ED4"/>
    <w:rsid w:val="74F3598D"/>
    <w:rsid w:val="74F6722B"/>
    <w:rsid w:val="74F77F07"/>
    <w:rsid w:val="74F87B8C"/>
    <w:rsid w:val="74FA6D1C"/>
    <w:rsid w:val="74FB2A94"/>
    <w:rsid w:val="74FB3A02"/>
    <w:rsid w:val="74FC053B"/>
    <w:rsid w:val="74FD4AB6"/>
    <w:rsid w:val="75011DAD"/>
    <w:rsid w:val="75061B64"/>
    <w:rsid w:val="7507768A"/>
    <w:rsid w:val="750871D3"/>
    <w:rsid w:val="75091B5D"/>
    <w:rsid w:val="75092201"/>
    <w:rsid w:val="75092519"/>
    <w:rsid w:val="750C545F"/>
    <w:rsid w:val="750E0A19"/>
    <w:rsid w:val="75104791"/>
    <w:rsid w:val="7510653F"/>
    <w:rsid w:val="751304FD"/>
    <w:rsid w:val="75137DDD"/>
    <w:rsid w:val="75153B55"/>
    <w:rsid w:val="751917DF"/>
    <w:rsid w:val="751A116C"/>
    <w:rsid w:val="751A6575"/>
    <w:rsid w:val="751B4EE4"/>
    <w:rsid w:val="751C0639"/>
    <w:rsid w:val="751D0C5C"/>
    <w:rsid w:val="751F6782"/>
    <w:rsid w:val="75224480"/>
    <w:rsid w:val="75272066"/>
    <w:rsid w:val="75277611"/>
    <w:rsid w:val="75287D2D"/>
    <w:rsid w:val="752A69DA"/>
    <w:rsid w:val="752C0E9F"/>
    <w:rsid w:val="7530273D"/>
    <w:rsid w:val="75357B34"/>
    <w:rsid w:val="75363ACC"/>
    <w:rsid w:val="75371D1E"/>
    <w:rsid w:val="753A7FEC"/>
    <w:rsid w:val="753C37D8"/>
    <w:rsid w:val="753F64AE"/>
    <w:rsid w:val="754052EF"/>
    <w:rsid w:val="75436C66"/>
    <w:rsid w:val="754460A5"/>
    <w:rsid w:val="754934DA"/>
    <w:rsid w:val="75497CA3"/>
    <w:rsid w:val="754B7577"/>
    <w:rsid w:val="754D1541"/>
    <w:rsid w:val="754F5AC4"/>
    <w:rsid w:val="754F7273"/>
    <w:rsid w:val="755015F9"/>
    <w:rsid w:val="75505ABB"/>
    <w:rsid w:val="755237F1"/>
    <w:rsid w:val="7553467E"/>
    <w:rsid w:val="7558322B"/>
    <w:rsid w:val="75587A68"/>
    <w:rsid w:val="75597338"/>
    <w:rsid w:val="755F1275"/>
    <w:rsid w:val="755F74C6"/>
    <w:rsid w:val="75614EC1"/>
    <w:rsid w:val="75624AD7"/>
    <w:rsid w:val="75641862"/>
    <w:rsid w:val="7565446E"/>
    <w:rsid w:val="75695C4F"/>
    <w:rsid w:val="75697EA3"/>
    <w:rsid w:val="756B356F"/>
    <w:rsid w:val="756B7FAF"/>
    <w:rsid w:val="756E14B8"/>
    <w:rsid w:val="756E1E96"/>
    <w:rsid w:val="75703482"/>
    <w:rsid w:val="75705230"/>
    <w:rsid w:val="75713194"/>
    <w:rsid w:val="75713E49"/>
    <w:rsid w:val="75720FA8"/>
    <w:rsid w:val="75727F48"/>
    <w:rsid w:val="75750A98"/>
    <w:rsid w:val="7577036C"/>
    <w:rsid w:val="75772898"/>
    <w:rsid w:val="757736BA"/>
    <w:rsid w:val="75774810"/>
    <w:rsid w:val="7578355B"/>
    <w:rsid w:val="75794EA5"/>
    <w:rsid w:val="757A7E5C"/>
    <w:rsid w:val="757B0813"/>
    <w:rsid w:val="758111EB"/>
    <w:rsid w:val="758115D9"/>
    <w:rsid w:val="758544AA"/>
    <w:rsid w:val="7586412F"/>
    <w:rsid w:val="75874BC8"/>
    <w:rsid w:val="7589213B"/>
    <w:rsid w:val="758962F1"/>
    <w:rsid w:val="758D5DE2"/>
    <w:rsid w:val="758E6416"/>
    <w:rsid w:val="7590142E"/>
    <w:rsid w:val="759251A6"/>
    <w:rsid w:val="75957D15"/>
    <w:rsid w:val="75983E7A"/>
    <w:rsid w:val="75986772"/>
    <w:rsid w:val="759B620F"/>
    <w:rsid w:val="759C4277"/>
    <w:rsid w:val="759D1B78"/>
    <w:rsid w:val="759E2E43"/>
    <w:rsid w:val="759F01F1"/>
    <w:rsid w:val="759F1D85"/>
    <w:rsid w:val="759F78C3"/>
    <w:rsid w:val="75A076B1"/>
    <w:rsid w:val="75A27A0F"/>
    <w:rsid w:val="75A4312B"/>
    <w:rsid w:val="75A629FF"/>
    <w:rsid w:val="75A90742"/>
    <w:rsid w:val="75AA312C"/>
    <w:rsid w:val="75AB6268"/>
    <w:rsid w:val="75AD3D8E"/>
    <w:rsid w:val="75AF5B8D"/>
    <w:rsid w:val="75AF5CB9"/>
    <w:rsid w:val="75B07D22"/>
    <w:rsid w:val="75B170EA"/>
    <w:rsid w:val="75B86DA1"/>
    <w:rsid w:val="75BC114A"/>
    <w:rsid w:val="75BC2223"/>
    <w:rsid w:val="75BE5F9B"/>
    <w:rsid w:val="75C13CDD"/>
    <w:rsid w:val="75C16A2E"/>
    <w:rsid w:val="75C37A55"/>
    <w:rsid w:val="75C550AC"/>
    <w:rsid w:val="75C612F4"/>
    <w:rsid w:val="75C61A70"/>
    <w:rsid w:val="75C86E1A"/>
    <w:rsid w:val="75C94940"/>
    <w:rsid w:val="75CE1F56"/>
    <w:rsid w:val="75CF1059"/>
    <w:rsid w:val="75D05CCE"/>
    <w:rsid w:val="75D237F5"/>
    <w:rsid w:val="75D25EEA"/>
    <w:rsid w:val="75D42821"/>
    <w:rsid w:val="75D551E6"/>
    <w:rsid w:val="75D7705D"/>
    <w:rsid w:val="75DB6889"/>
    <w:rsid w:val="75DD1465"/>
    <w:rsid w:val="75DE03EB"/>
    <w:rsid w:val="75DF2E08"/>
    <w:rsid w:val="75DF3181"/>
    <w:rsid w:val="75DF5F11"/>
    <w:rsid w:val="75E035FB"/>
    <w:rsid w:val="75E23BCE"/>
    <w:rsid w:val="75E31EA6"/>
    <w:rsid w:val="75E50648"/>
    <w:rsid w:val="75E90DD4"/>
    <w:rsid w:val="75EC52FE"/>
    <w:rsid w:val="75ED1525"/>
    <w:rsid w:val="75ED16AF"/>
    <w:rsid w:val="75ED4AD2"/>
    <w:rsid w:val="75ED6880"/>
    <w:rsid w:val="75F11553"/>
    <w:rsid w:val="75F145C2"/>
    <w:rsid w:val="75F24E29"/>
    <w:rsid w:val="75F26FDF"/>
    <w:rsid w:val="75F47C0F"/>
    <w:rsid w:val="75F53378"/>
    <w:rsid w:val="75F55735"/>
    <w:rsid w:val="75F776FF"/>
    <w:rsid w:val="75F95225"/>
    <w:rsid w:val="75F9639F"/>
    <w:rsid w:val="75FB0F9D"/>
    <w:rsid w:val="76047724"/>
    <w:rsid w:val="76067942"/>
    <w:rsid w:val="760836BA"/>
    <w:rsid w:val="7609701F"/>
    <w:rsid w:val="760B6D06"/>
    <w:rsid w:val="760C76AC"/>
    <w:rsid w:val="760D66FB"/>
    <w:rsid w:val="760D6F22"/>
    <w:rsid w:val="760E2DE3"/>
    <w:rsid w:val="76104044"/>
    <w:rsid w:val="76144445"/>
    <w:rsid w:val="761743E5"/>
    <w:rsid w:val="761777BD"/>
    <w:rsid w:val="761958C7"/>
    <w:rsid w:val="761A55F1"/>
    <w:rsid w:val="761B43DE"/>
    <w:rsid w:val="761C0F14"/>
    <w:rsid w:val="761C5A55"/>
    <w:rsid w:val="761D1047"/>
    <w:rsid w:val="762027B2"/>
    <w:rsid w:val="76236A0E"/>
    <w:rsid w:val="762539DE"/>
    <w:rsid w:val="76257DC8"/>
    <w:rsid w:val="76263B40"/>
    <w:rsid w:val="76290080"/>
    <w:rsid w:val="7629280E"/>
    <w:rsid w:val="762A1882"/>
    <w:rsid w:val="762A3631"/>
    <w:rsid w:val="762B73A9"/>
    <w:rsid w:val="762C0F0C"/>
    <w:rsid w:val="762F50C4"/>
    <w:rsid w:val="76306604"/>
    <w:rsid w:val="7630676D"/>
    <w:rsid w:val="76335586"/>
    <w:rsid w:val="763444AF"/>
    <w:rsid w:val="7635099D"/>
    <w:rsid w:val="76352D46"/>
    <w:rsid w:val="763936E1"/>
    <w:rsid w:val="763A7A4F"/>
    <w:rsid w:val="763B3A90"/>
    <w:rsid w:val="763B583E"/>
    <w:rsid w:val="763D0200"/>
    <w:rsid w:val="763F18A3"/>
    <w:rsid w:val="763F1BAC"/>
    <w:rsid w:val="76404C02"/>
    <w:rsid w:val="76441D17"/>
    <w:rsid w:val="764D5CB1"/>
    <w:rsid w:val="764F3097"/>
    <w:rsid w:val="764F753B"/>
    <w:rsid w:val="76500412"/>
    <w:rsid w:val="76526DF8"/>
    <w:rsid w:val="7653517A"/>
    <w:rsid w:val="76566171"/>
    <w:rsid w:val="765A137C"/>
    <w:rsid w:val="765B1A3C"/>
    <w:rsid w:val="765D565A"/>
    <w:rsid w:val="765E152C"/>
    <w:rsid w:val="76607052"/>
    <w:rsid w:val="766308F1"/>
    <w:rsid w:val="76635684"/>
    <w:rsid w:val="7666006E"/>
    <w:rsid w:val="7666755D"/>
    <w:rsid w:val="766703E1"/>
    <w:rsid w:val="76671DF5"/>
    <w:rsid w:val="766C4EB7"/>
    <w:rsid w:val="766C59F7"/>
    <w:rsid w:val="766E0D7A"/>
    <w:rsid w:val="766F639A"/>
    <w:rsid w:val="76726D86"/>
    <w:rsid w:val="76733229"/>
    <w:rsid w:val="76735613"/>
    <w:rsid w:val="76742AFE"/>
    <w:rsid w:val="76742E99"/>
    <w:rsid w:val="767567D8"/>
    <w:rsid w:val="7676525F"/>
    <w:rsid w:val="76766876"/>
    <w:rsid w:val="76790114"/>
    <w:rsid w:val="767D6DFE"/>
    <w:rsid w:val="767E397C"/>
    <w:rsid w:val="768076F4"/>
    <w:rsid w:val="76832D41"/>
    <w:rsid w:val="76846E3E"/>
    <w:rsid w:val="768537A4"/>
    <w:rsid w:val="76854D0B"/>
    <w:rsid w:val="7687685D"/>
    <w:rsid w:val="76876FCE"/>
    <w:rsid w:val="76880357"/>
    <w:rsid w:val="7689466C"/>
    <w:rsid w:val="76897EF9"/>
    <w:rsid w:val="768A1852"/>
    <w:rsid w:val="768C68AB"/>
    <w:rsid w:val="768F619E"/>
    <w:rsid w:val="768F7938"/>
    <w:rsid w:val="76941CCF"/>
    <w:rsid w:val="76970120"/>
    <w:rsid w:val="76982C90"/>
    <w:rsid w:val="769969A4"/>
    <w:rsid w:val="769A03B8"/>
    <w:rsid w:val="769E7B7B"/>
    <w:rsid w:val="769F6227"/>
    <w:rsid w:val="76A21419"/>
    <w:rsid w:val="76A35191"/>
    <w:rsid w:val="76A56DC7"/>
    <w:rsid w:val="76A5715B"/>
    <w:rsid w:val="76A61732"/>
    <w:rsid w:val="76A76A7D"/>
    <w:rsid w:val="76AA49C7"/>
    <w:rsid w:val="76AA5987"/>
    <w:rsid w:val="76AB6263"/>
    <w:rsid w:val="76AF4D00"/>
    <w:rsid w:val="76B01D8D"/>
    <w:rsid w:val="76B044BA"/>
    <w:rsid w:val="76B24885"/>
    <w:rsid w:val="76B24E85"/>
    <w:rsid w:val="76B35E5A"/>
    <w:rsid w:val="76B4114C"/>
    <w:rsid w:val="76B4739E"/>
    <w:rsid w:val="76BA404F"/>
    <w:rsid w:val="76BA57E3"/>
    <w:rsid w:val="76C42CA8"/>
    <w:rsid w:val="76C53359"/>
    <w:rsid w:val="76C606B2"/>
    <w:rsid w:val="76CC293A"/>
    <w:rsid w:val="76CD5900"/>
    <w:rsid w:val="76D11CFE"/>
    <w:rsid w:val="76D33CC8"/>
    <w:rsid w:val="76D34E7A"/>
    <w:rsid w:val="76D40EE0"/>
    <w:rsid w:val="76D4450D"/>
    <w:rsid w:val="76D57A40"/>
    <w:rsid w:val="76D62A3B"/>
    <w:rsid w:val="76D87530"/>
    <w:rsid w:val="76DB7E06"/>
    <w:rsid w:val="76DD4B47"/>
    <w:rsid w:val="76DE239C"/>
    <w:rsid w:val="76DF266D"/>
    <w:rsid w:val="76E00193"/>
    <w:rsid w:val="76E01075"/>
    <w:rsid w:val="76E063E5"/>
    <w:rsid w:val="76E402A0"/>
    <w:rsid w:val="76E57006"/>
    <w:rsid w:val="76E60F22"/>
    <w:rsid w:val="76E8146A"/>
    <w:rsid w:val="76EA2DC0"/>
    <w:rsid w:val="76EB0235"/>
    <w:rsid w:val="76EE465E"/>
    <w:rsid w:val="76EF4F4A"/>
    <w:rsid w:val="76EF5275"/>
    <w:rsid w:val="76EF6628"/>
    <w:rsid w:val="76F123A0"/>
    <w:rsid w:val="76F16E68"/>
    <w:rsid w:val="76F51E90"/>
    <w:rsid w:val="76F732A6"/>
    <w:rsid w:val="76F81981"/>
    <w:rsid w:val="76F93003"/>
    <w:rsid w:val="76FA050B"/>
    <w:rsid w:val="76FA3D9F"/>
    <w:rsid w:val="76FB6C77"/>
    <w:rsid w:val="76FC4B45"/>
    <w:rsid w:val="76FD2AF3"/>
    <w:rsid w:val="76FD6F97"/>
    <w:rsid w:val="76FF6781"/>
    <w:rsid w:val="76FF686B"/>
    <w:rsid w:val="77015FC8"/>
    <w:rsid w:val="770205FB"/>
    <w:rsid w:val="77020FFD"/>
    <w:rsid w:val="770420D4"/>
    <w:rsid w:val="77057BFA"/>
    <w:rsid w:val="770A7331"/>
    <w:rsid w:val="770E4D00"/>
    <w:rsid w:val="770E4D3B"/>
    <w:rsid w:val="7711659E"/>
    <w:rsid w:val="771340C5"/>
    <w:rsid w:val="7715608F"/>
    <w:rsid w:val="771A36A5"/>
    <w:rsid w:val="771F6898"/>
    <w:rsid w:val="772001B6"/>
    <w:rsid w:val="77203EDA"/>
    <w:rsid w:val="77211E83"/>
    <w:rsid w:val="77244524"/>
    <w:rsid w:val="77253DF8"/>
    <w:rsid w:val="772655EF"/>
    <w:rsid w:val="77291B3A"/>
    <w:rsid w:val="772C5186"/>
    <w:rsid w:val="772E1F99"/>
    <w:rsid w:val="772E6FC3"/>
    <w:rsid w:val="7732017F"/>
    <w:rsid w:val="7734311F"/>
    <w:rsid w:val="77344016"/>
    <w:rsid w:val="77354169"/>
    <w:rsid w:val="773674D6"/>
    <w:rsid w:val="773724A9"/>
    <w:rsid w:val="77383B2B"/>
    <w:rsid w:val="773A5AF5"/>
    <w:rsid w:val="773B361B"/>
    <w:rsid w:val="773B5A3D"/>
    <w:rsid w:val="773C186D"/>
    <w:rsid w:val="773C1917"/>
    <w:rsid w:val="773F15D1"/>
    <w:rsid w:val="773F310C"/>
    <w:rsid w:val="774150D6"/>
    <w:rsid w:val="77422BFC"/>
    <w:rsid w:val="77440722"/>
    <w:rsid w:val="774921DC"/>
    <w:rsid w:val="77492B6C"/>
    <w:rsid w:val="77492D2D"/>
    <w:rsid w:val="77496CC2"/>
    <w:rsid w:val="774A62B7"/>
    <w:rsid w:val="774C3D71"/>
    <w:rsid w:val="774D7E78"/>
    <w:rsid w:val="774F3A91"/>
    <w:rsid w:val="7751791A"/>
    <w:rsid w:val="775546DD"/>
    <w:rsid w:val="77560455"/>
    <w:rsid w:val="77563E6C"/>
    <w:rsid w:val="775716A3"/>
    <w:rsid w:val="775A6197"/>
    <w:rsid w:val="775C154B"/>
    <w:rsid w:val="775D3592"/>
    <w:rsid w:val="775E5E94"/>
    <w:rsid w:val="77610F13"/>
    <w:rsid w:val="77621BC8"/>
    <w:rsid w:val="77665C7A"/>
    <w:rsid w:val="77674410"/>
    <w:rsid w:val="776B5CAF"/>
    <w:rsid w:val="776E1C43"/>
    <w:rsid w:val="776F0D4D"/>
    <w:rsid w:val="77713ED2"/>
    <w:rsid w:val="7772528F"/>
    <w:rsid w:val="777368EB"/>
    <w:rsid w:val="77737FB6"/>
    <w:rsid w:val="77762421"/>
    <w:rsid w:val="77770AF7"/>
    <w:rsid w:val="777C7EBC"/>
    <w:rsid w:val="777D1E86"/>
    <w:rsid w:val="777D59E2"/>
    <w:rsid w:val="777F175A"/>
    <w:rsid w:val="77821F72"/>
    <w:rsid w:val="77844FC2"/>
    <w:rsid w:val="778518EF"/>
    <w:rsid w:val="77853FA0"/>
    <w:rsid w:val="778568EE"/>
    <w:rsid w:val="778637D8"/>
    <w:rsid w:val="778A4376"/>
    <w:rsid w:val="778C451F"/>
    <w:rsid w:val="778E73DC"/>
    <w:rsid w:val="77903967"/>
    <w:rsid w:val="77905E69"/>
    <w:rsid w:val="779135A2"/>
    <w:rsid w:val="779507DB"/>
    <w:rsid w:val="779879C4"/>
    <w:rsid w:val="779C2813"/>
    <w:rsid w:val="779C7EF1"/>
    <w:rsid w:val="779D7E32"/>
    <w:rsid w:val="779E031E"/>
    <w:rsid w:val="779E750C"/>
    <w:rsid w:val="77A15B74"/>
    <w:rsid w:val="77A25449"/>
    <w:rsid w:val="77A375F3"/>
    <w:rsid w:val="77A86F03"/>
    <w:rsid w:val="77A97721"/>
    <w:rsid w:val="77AB7448"/>
    <w:rsid w:val="77AE5638"/>
    <w:rsid w:val="77B07859"/>
    <w:rsid w:val="77B07B65"/>
    <w:rsid w:val="77B56B1F"/>
    <w:rsid w:val="77B577A8"/>
    <w:rsid w:val="77B739E1"/>
    <w:rsid w:val="77B81637"/>
    <w:rsid w:val="77BC475C"/>
    <w:rsid w:val="77BC650A"/>
    <w:rsid w:val="77BD2282"/>
    <w:rsid w:val="77BE6726"/>
    <w:rsid w:val="77C04CDF"/>
    <w:rsid w:val="77C07E9B"/>
    <w:rsid w:val="77C11D73"/>
    <w:rsid w:val="77C45D5A"/>
    <w:rsid w:val="77C875A5"/>
    <w:rsid w:val="77C94B88"/>
    <w:rsid w:val="77CD06A1"/>
    <w:rsid w:val="77D02609"/>
    <w:rsid w:val="77D221D2"/>
    <w:rsid w:val="77D25D2E"/>
    <w:rsid w:val="77D45166"/>
    <w:rsid w:val="77D45F4A"/>
    <w:rsid w:val="77D73344"/>
    <w:rsid w:val="77D850F0"/>
    <w:rsid w:val="77D870BC"/>
    <w:rsid w:val="77DE07BB"/>
    <w:rsid w:val="77DE2925"/>
    <w:rsid w:val="77E43CB3"/>
    <w:rsid w:val="77E5217E"/>
    <w:rsid w:val="77E62117"/>
    <w:rsid w:val="77E85551"/>
    <w:rsid w:val="77E85DB8"/>
    <w:rsid w:val="77EB3293"/>
    <w:rsid w:val="77EB5041"/>
    <w:rsid w:val="77EC2986"/>
    <w:rsid w:val="77EC53DA"/>
    <w:rsid w:val="77ED0DBA"/>
    <w:rsid w:val="77F11FD5"/>
    <w:rsid w:val="77F43EF6"/>
    <w:rsid w:val="77F55EC0"/>
    <w:rsid w:val="77F9770C"/>
    <w:rsid w:val="77FA34D6"/>
    <w:rsid w:val="77FF24EF"/>
    <w:rsid w:val="77FF54BD"/>
    <w:rsid w:val="780103C1"/>
    <w:rsid w:val="780157F3"/>
    <w:rsid w:val="78016613"/>
    <w:rsid w:val="78034B14"/>
    <w:rsid w:val="780674B3"/>
    <w:rsid w:val="780A196C"/>
    <w:rsid w:val="780A7B74"/>
    <w:rsid w:val="780B56E4"/>
    <w:rsid w:val="780F09F4"/>
    <w:rsid w:val="780F26EB"/>
    <w:rsid w:val="78101D81"/>
    <w:rsid w:val="78104AA8"/>
    <w:rsid w:val="78123B88"/>
    <w:rsid w:val="781250D2"/>
    <w:rsid w:val="78146346"/>
    <w:rsid w:val="781F4CEB"/>
    <w:rsid w:val="782154B8"/>
    <w:rsid w:val="78244976"/>
    <w:rsid w:val="7826607A"/>
    <w:rsid w:val="78283BA0"/>
    <w:rsid w:val="782A3DBC"/>
    <w:rsid w:val="782A5B6A"/>
    <w:rsid w:val="782D1944"/>
    <w:rsid w:val="782D7408"/>
    <w:rsid w:val="783235DF"/>
    <w:rsid w:val="783267CC"/>
    <w:rsid w:val="78342072"/>
    <w:rsid w:val="783562BD"/>
    <w:rsid w:val="783C764B"/>
    <w:rsid w:val="783F0EE9"/>
    <w:rsid w:val="78412EB3"/>
    <w:rsid w:val="78485B39"/>
    <w:rsid w:val="784A620C"/>
    <w:rsid w:val="784A7718"/>
    <w:rsid w:val="784B364A"/>
    <w:rsid w:val="784B64B2"/>
    <w:rsid w:val="785030F6"/>
    <w:rsid w:val="7853654F"/>
    <w:rsid w:val="78551151"/>
    <w:rsid w:val="78564BB1"/>
    <w:rsid w:val="7856695F"/>
    <w:rsid w:val="78596EC0"/>
    <w:rsid w:val="785C5E6F"/>
    <w:rsid w:val="785E2CA7"/>
    <w:rsid w:val="7860158C"/>
    <w:rsid w:val="78602451"/>
    <w:rsid w:val="78602DBF"/>
    <w:rsid w:val="78604B88"/>
    <w:rsid w:val="786077DD"/>
    <w:rsid w:val="78615304"/>
    <w:rsid w:val="78621628"/>
    <w:rsid w:val="78632E2A"/>
    <w:rsid w:val="78654DF4"/>
    <w:rsid w:val="78656BA2"/>
    <w:rsid w:val="78680440"/>
    <w:rsid w:val="78682280"/>
    <w:rsid w:val="786F17CF"/>
    <w:rsid w:val="78706966"/>
    <w:rsid w:val="78730703"/>
    <w:rsid w:val="78743289"/>
    <w:rsid w:val="7875635D"/>
    <w:rsid w:val="787768D5"/>
    <w:rsid w:val="78782D79"/>
    <w:rsid w:val="7879264D"/>
    <w:rsid w:val="7879627E"/>
    <w:rsid w:val="787A3436"/>
    <w:rsid w:val="787A373C"/>
    <w:rsid w:val="787B0173"/>
    <w:rsid w:val="787D213D"/>
    <w:rsid w:val="787D3DC4"/>
    <w:rsid w:val="787E5EB6"/>
    <w:rsid w:val="78821357"/>
    <w:rsid w:val="788622C2"/>
    <w:rsid w:val="78886D34"/>
    <w:rsid w:val="788A6449"/>
    <w:rsid w:val="788B3E74"/>
    <w:rsid w:val="788D434B"/>
    <w:rsid w:val="788D5D31"/>
    <w:rsid w:val="7892442D"/>
    <w:rsid w:val="78951A09"/>
    <w:rsid w:val="78964FAD"/>
    <w:rsid w:val="78970D25"/>
    <w:rsid w:val="78994768"/>
    <w:rsid w:val="789A1148"/>
    <w:rsid w:val="789A6BE8"/>
    <w:rsid w:val="789C1508"/>
    <w:rsid w:val="78A01CE3"/>
    <w:rsid w:val="78A07BDA"/>
    <w:rsid w:val="78A242D1"/>
    <w:rsid w:val="78A2537A"/>
    <w:rsid w:val="78A31D9E"/>
    <w:rsid w:val="78A558AE"/>
    <w:rsid w:val="78A75AAA"/>
    <w:rsid w:val="78A771BA"/>
    <w:rsid w:val="78A8167F"/>
    <w:rsid w:val="78A90480"/>
    <w:rsid w:val="78A91184"/>
    <w:rsid w:val="78AB0C1F"/>
    <w:rsid w:val="78AB59B1"/>
    <w:rsid w:val="78AC0275"/>
    <w:rsid w:val="78AC228F"/>
    <w:rsid w:val="78AF2513"/>
    <w:rsid w:val="78AF42C1"/>
    <w:rsid w:val="78AF606F"/>
    <w:rsid w:val="78AF6759"/>
    <w:rsid w:val="78B418D7"/>
    <w:rsid w:val="78B44F3C"/>
    <w:rsid w:val="78B6564F"/>
    <w:rsid w:val="78B813C8"/>
    <w:rsid w:val="78B94525"/>
    <w:rsid w:val="78BB0EB8"/>
    <w:rsid w:val="78BB2C66"/>
    <w:rsid w:val="78BC2F57"/>
    <w:rsid w:val="78BE4504"/>
    <w:rsid w:val="78BF4B20"/>
    <w:rsid w:val="78C33142"/>
    <w:rsid w:val="78C50714"/>
    <w:rsid w:val="78C82982"/>
    <w:rsid w:val="78C87095"/>
    <w:rsid w:val="78CC09CF"/>
    <w:rsid w:val="78CD54E5"/>
    <w:rsid w:val="78CF6711"/>
    <w:rsid w:val="78D21D5D"/>
    <w:rsid w:val="78D35AD7"/>
    <w:rsid w:val="78D45AD6"/>
    <w:rsid w:val="78D51979"/>
    <w:rsid w:val="78D559D4"/>
    <w:rsid w:val="78D83818"/>
    <w:rsid w:val="78D9133E"/>
    <w:rsid w:val="78DA7590"/>
    <w:rsid w:val="78DC45ED"/>
    <w:rsid w:val="78DC790C"/>
    <w:rsid w:val="78E0447A"/>
    <w:rsid w:val="78E26444"/>
    <w:rsid w:val="78E44FDF"/>
    <w:rsid w:val="78E71CAD"/>
    <w:rsid w:val="78E81581"/>
    <w:rsid w:val="78EF0B61"/>
    <w:rsid w:val="78EF1991"/>
    <w:rsid w:val="78EF2229"/>
    <w:rsid w:val="78EF617A"/>
    <w:rsid w:val="78EF7AAA"/>
    <w:rsid w:val="78F0240E"/>
    <w:rsid w:val="78F1568B"/>
    <w:rsid w:val="78F341AE"/>
    <w:rsid w:val="78F63C9E"/>
    <w:rsid w:val="78F74CE4"/>
    <w:rsid w:val="78FA7A1B"/>
    <w:rsid w:val="79030169"/>
    <w:rsid w:val="790652F1"/>
    <w:rsid w:val="790762C2"/>
    <w:rsid w:val="79077C59"/>
    <w:rsid w:val="790A315A"/>
    <w:rsid w:val="790C5919"/>
    <w:rsid w:val="790D031C"/>
    <w:rsid w:val="790E1B15"/>
    <w:rsid w:val="790E7239"/>
    <w:rsid w:val="790F61C2"/>
    <w:rsid w:val="791252DA"/>
    <w:rsid w:val="791329E0"/>
    <w:rsid w:val="79132AA2"/>
    <w:rsid w:val="791660EE"/>
    <w:rsid w:val="79167A12"/>
    <w:rsid w:val="79172C07"/>
    <w:rsid w:val="791A3E30"/>
    <w:rsid w:val="791A5BDE"/>
    <w:rsid w:val="791B3704"/>
    <w:rsid w:val="791B4B32"/>
    <w:rsid w:val="791E25F1"/>
    <w:rsid w:val="79200D1B"/>
    <w:rsid w:val="79202AC9"/>
    <w:rsid w:val="79222CE5"/>
    <w:rsid w:val="79223E1E"/>
    <w:rsid w:val="792425B9"/>
    <w:rsid w:val="792A1B14"/>
    <w:rsid w:val="792A3948"/>
    <w:rsid w:val="792A4675"/>
    <w:rsid w:val="792C3B64"/>
    <w:rsid w:val="79305D9E"/>
    <w:rsid w:val="79327C97"/>
    <w:rsid w:val="793571DC"/>
    <w:rsid w:val="793A1DDD"/>
    <w:rsid w:val="793B7903"/>
    <w:rsid w:val="793D0477"/>
    <w:rsid w:val="79400153"/>
    <w:rsid w:val="7943556B"/>
    <w:rsid w:val="794744F9"/>
    <w:rsid w:val="79490099"/>
    <w:rsid w:val="79490B8F"/>
    <w:rsid w:val="794E5888"/>
    <w:rsid w:val="79532571"/>
    <w:rsid w:val="795619D7"/>
    <w:rsid w:val="7956298E"/>
    <w:rsid w:val="795A3FF8"/>
    <w:rsid w:val="795A422D"/>
    <w:rsid w:val="795B4FDD"/>
    <w:rsid w:val="795B7FA5"/>
    <w:rsid w:val="795D6D90"/>
    <w:rsid w:val="796055BB"/>
    <w:rsid w:val="79627585"/>
    <w:rsid w:val="796412B4"/>
    <w:rsid w:val="79650D59"/>
    <w:rsid w:val="796706F8"/>
    <w:rsid w:val="7967694A"/>
    <w:rsid w:val="796B375D"/>
    <w:rsid w:val="796B6698"/>
    <w:rsid w:val="796E1A86"/>
    <w:rsid w:val="797352EE"/>
    <w:rsid w:val="797628DA"/>
    <w:rsid w:val="79763684"/>
    <w:rsid w:val="797814F7"/>
    <w:rsid w:val="79782905"/>
    <w:rsid w:val="797846B3"/>
    <w:rsid w:val="79795CCB"/>
    <w:rsid w:val="797A35F1"/>
    <w:rsid w:val="797A7F4A"/>
    <w:rsid w:val="79825532"/>
    <w:rsid w:val="79825F6B"/>
    <w:rsid w:val="7983794F"/>
    <w:rsid w:val="79861AB8"/>
    <w:rsid w:val="79864D04"/>
    <w:rsid w:val="7987219F"/>
    <w:rsid w:val="79883657"/>
    <w:rsid w:val="79885994"/>
    <w:rsid w:val="798A42B2"/>
    <w:rsid w:val="798E3ED6"/>
    <w:rsid w:val="798E7FEF"/>
    <w:rsid w:val="799028BC"/>
    <w:rsid w:val="799103EA"/>
    <w:rsid w:val="79915775"/>
    <w:rsid w:val="79916E2D"/>
    <w:rsid w:val="7993688E"/>
    <w:rsid w:val="79952967"/>
    <w:rsid w:val="79957FC1"/>
    <w:rsid w:val="7996429B"/>
    <w:rsid w:val="7997722F"/>
    <w:rsid w:val="79986DB7"/>
    <w:rsid w:val="799A22C0"/>
    <w:rsid w:val="799C4D8D"/>
    <w:rsid w:val="799E2AAC"/>
    <w:rsid w:val="799E3CDC"/>
    <w:rsid w:val="79A11135"/>
    <w:rsid w:val="79A26D9B"/>
    <w:rsid w:val="79A40B4A"/>
    <w:rsid w:val="79A53E3E"/>
    <w:rsid w:val="79A656C4"/>
    <w:rsid w:val="79A74F98"/>
    <w:rsid w:val="79A84268"/>
    <w:rsid w:val="79A96A58"/>
    <w:rsid w:val="79AD0B38"/>
    <w:rsid w:val="79B10C2A"/>
    <w:rsid w:val="79B55092"/>
    <w:rsid w:val="79B87E6E"/>
    <w:rsid w:val="79BA2F1D"/>
    <w:rsid w:val="79BA4CCB"/>
    <w:rsid w:val="79BF22E2"/>
    <w:rsid w:val="79BF6786"/>
    <w:rsid w:val="79C21DD2"/>
    <w:rsid w:val="79C268F7"/>
    <w:rsid w:val="79C30024"/>
    <w:rsid w:val="79C52CAB"/>
    <w:rsid w:val="79C55AA9"/>
    <w:rsid w:val="79C87D66"/>
    <w:rsid w:val="79C93160"/>
    <w:rsid w:val="79C975FD"/>
    <w:rsid w:val="79CD2C51"/>
    <w:rsid w:val="79D02FF4"/>
    <w:rsid w:val="79D05643"/>
    <w:rsid w:val="79D35D8D"/>
    <w:rsid w:val="79D57D57"/>
    <w:rsid w:val="79D833A4"/>
    <w:rsid w:val="79D83DD5"/>
    <w:rsid w:val="79D8705F"/>
    <w:rsid w:val="79DC2E94"/>
    <w:rsid w:val="79E04BB7"/>
    <w:rsid w:val="79E2766A"/>
    <w:rsid w:val="79E461EC"/>
    <w:rsid w:val="79E75892"/>
    <w:rsid w:val="79E82866"/>
    <w:rsid w:val="79E928D6"/>
    <w:rsid w:val="79EB3F0E"/>
    <w:rsid w:val="79ED2CE6"/>
    <w:rsid w:val="79ED6E4F"/>
    <w:rsid w:val="79EE1860"/>
    <w:rsid w:val="79F07E32"/>
    <w:rsid w:val="79F3222B"/>
    <w:rsid w:val="79F33266"/>
    <w:rsid w:val="79F50BE5"/>
    <w:rsid w:val="79F60209"/>
    <w:rsid w:val="79F62239"/>
    <w:rsid w:val="79F629F0"/>
    <w:rsid w:val="79F62A64"/>
    <w:rsid w:val="79F71A7C"/>
    <w:rsid w:val="79F95D73"/>
    <w:rsid w:val="79FA156C"/>
    <w:rsid w:val="79FD2E0A"/>
    <w:rsid w:val="7A0128FA"/>
    <w:rsid w:val="7A014DCA"/>
    <w:rsid w:val="7A022BF0"/>
    <w:rsid w:val="7A024CEB"/>
    <w:rsid w:val="7A037F0C"/>
    <w:rsid w:val="7A044199"/>
    <w:rsid w:val="7A0559C3"/>
    <w:rsid w:val="7A060019"/>
    <w:rsid w:val="7A064680"/>
    <w:rsid w:val="7A083C89"/>
    <w:rsid w:val="7A0B4512"/>
    <w:rsid w:val="7A0B5270"/>
    <w:rsid w:val="7A0D41F6"/>
    <w:rsid w:val="7A1179A4"/>
    <w:rsid w:val="7A124B07"/>
    <w:rsid w:val="7A1268B5"/>
    <w:rsid w:val="7A15284A"/>
    <w:rsid w:val="7A1563A6"/>
    <w:rsid w:val="7A170DAB"/>
    <w:rsid w:val="7A17125D"/>
    <w:rsid w:val="7A173ECC"/>
    <w:rsid w:val="7A1A39BC"/>
    <w:rsid w:val="7A1C544B"/>
    <w:rsid w:val="7A1D1050"/>
    <w:rsid w:val="7A1E1768"/>
    <w:rsid w:val="7A1E525A"/>
    <w:rsid w:val="7A1F33DD"/>
    <w:rsid w:val="7A2111EE"/>
    <w:rsid w:val="7A212F9C"/>
    <w:rsid w:val="7A2179AB"/>
    <w:rsid w:val="7A2325D1"/>
    <w:rsid w:val="7A233129"/>
    <w:rsid w:val="7A235C4A"/>
    <w:rsid w:val="7A2854C0"/>
    <w:rsid w:val="7A287E87"/>
    <w:rsid w:val="7A291E51"/>
    <w:rsid w:val="7A2A00A3"/>
    <w:rsid w:val="7A2B5BC9"/>
    <w:rsid w:val="7A2D6DC3"/>
    <w:rsid w:val="7A2D7B93"/>
    <w:rsid w:val="7A2E5C1B"/>
    <w:rsid w:val="7A301431"/>
    <w:rsid w:val="7A3031E0"/>
    <w:rsid w:val="7A306783"/>
    <w:rsid w:val="7A3128E4"/>
    <w:rsid w:val="7A320D06"/>
    <w:rsid w:val="7A3251AA"/>
    <w:rsid w:val="7A3327E5"/>
    <w:rsid w:val="7A342F00"/>
    <w:rsid w:val="7A3507F6"/>
    <w:rsid w:val="7A35375A"/>
    <w:rsid w:val="7A364017"/>
    <w:rsid w:val="7A374477"/>
    <w:rsid w:val="7A38427C"/>
    <w:rsid w:val="7A3A460E"/>
    <w:rsid w:val="7A3B6352"/>
    <w:rsid w:val="7A3C1B84"/>
    <w:rsid w:val="7A3C5A92"/>
    <w:rsid w:val="7A3D6F22"/>
    <w:rsid w:val="7A3D7406"/>
    <w:rsid w:val="7A3E7FFC"/>
    <w:rsid w:val="7A3F2552"/>
    <w:rsid w:val="7A412745"/>
    <w:rsid w:val="7A426844"/>
    <w:rsid w:val="7A481815"/>
    <w:rsid w:val="7A49604F"/>
    <w:rsid w:val="7A4A42A1"/>
    <w:rsid w:val="7A4A6B77"/>
    <w:rsid w:val="7A4B5117"/>
    <w:rsid w:val="7A4D5B40"/>
    <w:rsid w:val="7A536AB2"/>
    <w:rsid w:val="7A545120"/>
    <w:rsid w:val="7A56626E"/>
    <w:rsid w:val="7A57076C"/>
    <w:rsid w:val="7A5B0FE3"/>
    <w:rsid w:val="7A5B64AE"/>
    <w:rsid w:val="7A5B7A7B"/>
    <w:rsid w:val="7A5C2227"/>
    <w:rsid w:val="7A5D536E"/>
    <w:rsid w:val="7A613399"/>
    <w:rsid w:val="7A62268F"/>
    <w:rsid w:val="7A634900"/>
    <w:rsid w:val="7A651F0A"/>
    <w:rsid w:val="7A672DEE"/>
    <w:rsid w:val="7A6824E2"/>
    <w:rsid w:val="7A68361F"/>
    <w:rsid w:val="7A6869C9"/>
    <w:rsid w:val="7A6A4943"/>
    <w:rsid w:val="7A6B246A"/>
    <w:rsid w:val="7A6C06BC"/>
    <w:rsid w:val="7A70182E"/>
    <w:rsid w:val="7A74131E"/>
    <w:rsid w:val="7A770E0E"/>
    <w:rsid w:val="7A783035"/>
    <w:rsid w:val="7A793768"/>
    <w:rsid w:val="7A7A63F5"/>
    <w:rsid w:val="7A7A737E"/>
    <w:rsid w:val="7A7B08FF"/>
    <w:rsid w:val="7A7E219D"/>
    <w:rsid w:val="7A7F1A71"/>
    <w:rsid w:val="7A8265E1"/>
    <w:rsid w:val="7A83679E"/>
    <w:rsid w:val="7A855F61"/>
    <w:rsid w:val="7A861229"/>
    <w:rsid w:val="7A870038"/>
    <w:rsid w:val="7A88509C"/>
    <w:rsid w:val="7A887D1C"/>
    <w:rsid w:val="7A8B6668"/>
    <w:rsid w:val="7A8D0632"/>
    <w:rsid w:val="7A8D40B6"/>
    <w:rsid w:val="7A8E34F0"/>
    <w:rsid w:val="7A8F7F06"/>
    <w:rsid w:val="7A9058FF"/>
    <w:rsid w:val="7A930993"/>
    <w:rsid w:val="7A94376E"/>
    <w:rsid w:val="7A9665BE"/>
    <w:rsid w:val="7A9674E6"/>
    <w:rsid w:val="7A9726FE"/>
    <w:rsid w:val="7A982D55"/>
    <w:rsid w:val="7A9E45ED"/>
    <w:rsid w:val="7A9E62BF"/>
    <w:rsid w:val="7AA41137"/>
    <w:rsid w:val="7AA53BCD"/>
    <w:rsid w:val="7AA5772A"/>
    <w:rsid w:val="7AA61483"/>
    <w:rsid w:val="7AAB500C"/>
    <w:rsid w:val="7AAC302A"/>
    <w:rsid w:val="7AB12572"/>
    <w:rsid w:val="7AB23BF5"/>
    <w:rsid w:val="7AB61937"/>
    <w:rsid w:val="7AB705A7"/>
    <w:rsid w:val="7ABE07EB"/>
    <w:rsid w:val="7ABE4C8F"/>
    <w:rsid w:val="7ABE6B88"/>
    <w:rsid w:val="7ABF2192"/>
    <w:rsid w:val="7AC027B5"/>
    <w:rsid w:val="7AC34187"/>
    <w:rsid w:val="7AC53232"/>
    <w:rsid w:val="7AC66BA8"/>
    <w:rsid w:val="7AC83418"/>
    <w:rsid w:val="7AC90C0F"/>
    <w:rsid w:val="7AC92BC1"/>
    <w:rsid w:val="7ACC2F08"/>
    <w:rsid w:val="7ACE3C33"/>
    <w:rsid w:val="7ACE539E"/>
    <w:rsid w:val="7ACF0C4A"/>
    <w:rsid w:val="7AD60157"/>
    <w:rsid w:val="7AD8717E"/>
    <w:rsid w:val="7ADB139D"/>
    <w:rsid w:val="7ADC3B7E"/>
    <w:rsid w:val="7ADF1F5E"/>
    <w:rsid w:val="7ADF45DA"/>
    <w:rsid w:val="7AE04E9E"/>
    <w:rsid w:val="7AE253DB"/>
    <w:rsid w:val="7AE30252"/>
    <w:rsid w:val="7AE849DA"/>
    <w:rsid w:val="7AEA15E0"/>
    <w:rsid w:val="7AEB1A38"/>
    <w:rsid w:val="7AEB37AC"/>
    <w:rsid w:val="7AEC04C0"/>
    <w:rsid w:val="7AEC08D8"/>
    <w:rsid w:val="7AEC4088"/>
    <w:rsid w:val="7AEC4FBE"/>
    <w:rsid w:val="7AED71E6"/>
    <w:rsid w:val="7AED76A0"/>
    <w:rsid w:val="7AF11790"/>
    <w:rsid w:val="7AF365C2"/>
    <w:rsid w:val="7AF4799B"/>
    <w:rsid w:val="7AF64272"/>
    <w:rsid w:val="7AF75AAB"/>
    <w:rsid w:val="7AF93223"/>
    <w:rsid w:val="7AFC5577"/>
    <w:rsid w:val="7AFD1E83"/>
    <w:rsid w:val="7AFD57B8"/>
    <w:rsid w:val="7B022B46"/>
    <w:rsid w:val="7B022DCE"/>
    <w:rsid w:val="7B073F40"/>
    <w:rsid w:val="7B0A57DF"/>
    <w:rsid w:val="7B0A59BB"/>
    <w:rsid w:val="7B0C1557"/>
    <w:rsid w:val="7B0D52CF"/>
    <w:rsid w:val="7B0F0B41"/>
    <w:rsid w:val="7B110CFA"/>
    <w:rsid w:val="7B114DBF"/>
    <w:rsid w:val="7B1228E5"/>
    <w:rsid w:val="7B18439F"/>
    <w:rsid w:val="7B1E127E"/>
    <w:rsid w:val="7B1E128A"/>
    <w:rsid w:val="7B1F37B5"/>
    <w:rsid w:val="7B203254"/>
    <w:rsid w:val="7B245865"/>
    <w:rsid w:val="7B24771D"/>
    <w:rsid w:val="7B255FEB"/>
    <w:rsid w:val="7B2965AD"/>
    <w:rsid w:val="7B2A1B83"/>
    <w:rsid w:val="7B2A4B0A"/>
    <w:rsid w:val="7B2C1BF9"/>
    <w:rsid w:val="7B3103C5"/>
    <w:rsid w:val="7B313430"/>
    <w:rsid w:val="7B31397E"/>
    <w:rsid w:val="7B315461"/>
    <w:rsid w:val="7B334D35"/>
    <w:rsid w:val="7B346BE6"/>
    <w:rsid w:val="7B346CFF"/>
    <w:rsid w:val="7B354F51"/>
    <w:rsid w:val="7B364826"/>
    <w:rsid w:val="7B3979A1"/>
    <w:rsid w:val="7B407452"/>
    <w:rsid w:val="7B414B7B"/>
    <w:rsid w:val="7B424354"/>
    <w:rsid w:val="7B424F78"/>
    <w:rsid w:val="7B425439"/>
    <w:rsid w:val="7B43305A"/>
    <w:rsid w:val="7B445194"/>
    <w:rsid w:val="7B473990"/>
    <w:rsid w:val="7B480F49"/>
    <w:rsid w:val="7B4829D3"/>
    <w:rsid w:val="7B4A207F"/>
    <w:rsid w:val="7B4B40D4"/>
    <w:rsid w:val="7B4B7795"/>
    <w:rsid w:val="7B4D315B"/>
    <w:rsid w:val="7B4F1A74"/>
    <w:rsid w:val="7B50205E"/>
    <w:rsid w:val="7B5241F0"/>
    <w:rsid w:val="7B526ED8"/>
    <w:rsid w:val="7B541454"/>
    <w:rsid w:val="7B553884"/>
    <w:rsid w:val="7B560A24"/>
    <w:rsid w:val="7B566F61"/>
    <w:rsid w:val="7B57633D"/>
    <w:rsid w:val="7B5829EE"/>
    <w:rsid w:val="7B5D6256"/>
    <w:rsid w:val="7B5E06BA"/>
    <w:rsid w:val="7B6174A1"/>
    <w:rsid w:val="7B6273C9"/>
    <w:rsid w:val="7B635344"/>
    <w:rsid w:val="7B661CB5"/>
    <w:rsid w:val="7B6824BD"/>
    <w:rsid w:val="7B686D42"/>
    <w:rsid w:val="7B6B57A4"/>
    <w:rsid w:val="7B6C6499"/>
    <w:rsid w:val="7B6D1B0B"/>
    <w:rsid w:val="7B6E2211"/>
    <w:rsid w:val="7B6E46E7"/>
    <w:rsid w:val="7B6E5701"/>
    <w:rsid w:val="7B7274A9"/>
    <w:rsid w:val="7B730D76"/>
    <w:rsid w:val="7B737E78"/>
    <w:rsid w:val="7B762E74"/>
    <w:rsid w:val="7B77716B"/>
    <w:rsid w:val="7B7B38B9"/>
    <w:rsid w:val="7B7D06A6"/>
    <w:rsid w:val="7B7D3147"/>
    <w:rsid w:val="7B7F7F7B"/>
    <w:rsid w:val="7B810197"/>
    <w:rsid w:val="7B815597"/>
    <w:rsid w:val="7B8219E5"/>
    <w:rsid w:val="7B8413F7"/>
    <w:rsid w:val="7B841746"/>
    <w:rsid w:val="7B871525"/>
    <w:rsid w:val="7B88456D"/>
    <w:rsid w:val="7B892BA7"/>
    <w:rsid w:val="7B8B7F0E"/>
    <w:rsid w:val="7B917CAE"/>
    <w:rsid w:val="7B937E5A"/>
    <w:rsid w:val="7B9B0B2D"/>
    <w:rsid w:val="7B9B30A7"/>
    <w:rsid w:val="7B9C3CA6"/>
    <w:rsid w:val="7B9C4750"/>
    <w:rsid w:val="7B9C58C0"/>
    <w:rsid w:val="7B9C70B3"/>
    <w:rsid w:val="7BA7172B"/>
    <w:rsid w:val="7BA71861"/>
    <w:rsid w:val="7BA774D1"/>
    <w:rsid w:val="7BAA353D"/>
    <w:rsid w:val="7BAC5D3D"/>
    <w:rsid w:val="7BAF5786"/>
    <w:rsid w:val="7BB14F0A"/>
    <w:rsid w:val="7BB61791"/>
    <w:rsid w:val="7BB627A2"/>
    <w:rsid w:val="7BB64192"/>
    <w:rsid w:val="7BB75966"/>
    <w:rsid w:val="7BB97490"/>
    <w:rsid w:val="7BBA7205"/>
    <w:rsid w:val="7BBA7B82"/>
    <w:rsid w:val="7BBF4DF3"/>
    <w:rsid w:val="7BC2497A"/>
    <w:rsid w:val="7BC260B9"/>
    <w:rsid w:val="7BC4654C"/>
    <w:rsid w:val="7BC564B9"/>
    <w:rsid w:val="7BC63DFB"/>
    <w:rsid w:val="7BC74B31"/>
    <w:rsid w:val="7BCB31C0"/>
    <w:rsid w:val="7BCB40A7"/>
    <w:rsid w:val="7BCC0CE6"/>
    <w:rsid w:val="7BCE22B2"/>
    <w:rsid w:val="7BCE4DDE"/>
    <w:rsid w:val="7BD1417C"/>
    <w:rsid w:val="7BD61B65"/>
    <w:rsid w:val="7BD76E03"/>
    <w:rsid w:val="7BD76F04"/>
    <w:rsid w:val="7BD80399"/>
    <w:rsid w:val="7BDC717B"/>
    <w:rsid w:val="7BDD185C"/>
    <w:rsid w:val="7BDD2EF3"/>
    <w:rsid w:val="7BE44282"/>
    <w:rsid w:val="7BE514F9"/>
    <w:rsid w:val="7BE66B15"/>
    <w:rsid w:val="7BEA3567"/>
    <w:rsid w:val="7BEB172F"/>
    <w:rsid w:val="7BEE3352"/>
    <w:rsid w:val="7BF24BF0"/>
    <w:rsid w:val="7BF546E1"/>
    <w:rsid w:val="7BF562B6"/>
    <w:rsid w:val="7BF70459"/>
    <w:rsid w:val="7BF80B3D"/>
    <w:rsid w:val="7BF85F7F"/>
    <w:rsid w:val="7BF936EC"/>
    <w:rsid w:val="7BFA3B70"/>
    <w:rsid w:val="7BFC4543"/>
    <w:rsid w:val="7BFC781D"/>
    <w:rsid w:val="7BFD3595"/>
    <w:rsid w:val="7BFF10BB"/>
    <w:rsid w:val="7C040549"/>
    <w:rsid w:val="7C074FD3"/>
    <w:rsid w:val="7C084924"/>
    <w:rsid w:val="7C0B11A9"/>
    <w:rsid w:val="7C0B2906"/>
    <w:rsid w:val="7C0B7A60"/>
    <w:rsid w:val="7C0D1A2A"/>
    <w:rsid w:val="7C0F135C"/>
    <w:rsid w:val="7C111B51"/>
    <w:rsid w:val="7C115F5B"/>
    <w:rsid w:val="7C12242B"/>
    <w:rsid w:val="7C122B9D"/>
    <w:rsid w:val="7C13014F"/>
    <w:rsid w:val="7C13614C"/>
    <w:rsid w:val="7C1630C0"/>
    <w:rsid w:val="7C1A6215"/>
    <w:rsid w:val="7C1D7794"/>
    <w:rsid w:val="7C1D77D4"/>
    <w:rsid w:val="7C2154D6"/>
    <w:rsid w:val="7C22278F"/>
    <w:rsid w:val="7C240C2C"/>
    <w:rsid w:val="7C2555DB"/>
    <w:rsid w:val="7C262AEC"/>
    <w:rsid w:val="7C2A52CB"/>
    <w:rsid w:val="7C2A7B42"/>
    <w:rsid w:val="7C2B1EB0"/>
    <w:rsid w:val="7C2B392A"/>
    <w:rsid w:val="7C2B3FCF"/>
    <w:rsid w:val="7C2D3972"/>
    <w:rsid w:val="7C2E1E57"/>
    <w:rsid w:val="7C2E74EC"/>
    <w:rsid w:val="7C305C50"/>
    <w:rsid w:val="7C330220"/>
    <w:rsid w:val="7C330D65"/>
    <w:rsid w:val="7C336FB7"/>
    <w:rsid w:val="7C3440EE"/>
    <w:rsid w:val="7C370855"/>
    <w:rsid w:val="7C372603"/>
    <w:rsid w:val="7C374CF9"/>
    <w:rsid w:val="7C3829DF"/>
    <w:rsid w:val="7C390CF3"/>
    <w:rsid w:val="7C3B3FBE"/>
    <w:rsid w:val="7C400CC5"/>
    <w:rsid w:val="7C413F35"/>
    <w:rsid w:val="7C480CB4"/>
    <w:rsid w:val="7C4838C7"/>
    <w:rsid w:val="7C493A6E"/>
    <w:rsid w:val="7C4B55D7"/>
    <w:rsid w:val="7C4E6CC1"/>
    <w:rsid w:val="7C504024"/>
    <w:rsid w:val="7C510E17"/>
    <w:rsid w:val="7C574889"/>
    <w:rsid w:val="7C574A54"/>
    <w:rsid w:val="7C58454B"/>
    <w:rsid w:val="7C5904F3"/>
    <w:rsid w:val="7C5905FC"/>
    <w:rsid w:val="7C5918B9"/>
    <w:rsid w:val="7C594C70"/>
    <w:rsid w:val="7C5C292C"/>
    <w:rsid w:val="7C5E4034"/>
    <w:rsid w:val="7C605FFE"/>
    <w:rsid w:val="7C610CE3"/>
    <w:rsid w:val="7C63164A"/>
    <w:rsid w:val="7C6465C1"/>
    <w:rsid w:val="7C660D92"/>
    <w:rsid w:val="7C6B0968"/>
    <w:rsid w:val="7C6C5AC7"/>
    <w:rsid w:val="7C6D30A0"/>
    <w:rsid w:val="7C6D627C"/>
    <w:rsid w:val="7C703D67"/>
    <w:rsid w:val="7C741AA9"/>
    <w:rsid w:val="7C7448FE"/>
    <w:rsid w:val="7C774484"/>
    <w:rsid w:val="7C783E6A"/>
    <w:rsid w:val="7C7A269F"/>
    <w:rsid w:val="7C7B5ABB"/>
    <w:rsid w:val="7C7C7217"/>
    <w:rsid w:val="7C7E15C6"/>
    <w:rsid w:val="7C7E6484"/>
    <w:rsid w:val="7C7E7CDC"/>
    <w:rsid w:val="7C894DEE"/>
    <w:rsid w:val="7C8A4E29"/>
    <w:rsid w:val="7C8B00CE"/>
    <w:rsid w:val="7C8E41ED"/>
    <w:rsid w:val="7C8F243F"/>
    <w:rsid w:val="7C907F65"/>
    <w:rsid w:val="7C914409"/>
    <w:rsid w:val="7C923CDE"/>
    <w:rsid w:val="7C941F01"/>
    <w:rsid w:val="7C95557C"/>
    <w:rsid w:val="7C9742E4"/>
    <w:rsid w:val="7C975798"/>
    <w:rsid w:val="7C991510"/>
    <w:rsid w:val="7C9B7036"/>
    <w:rsid w:val="7C9E6B26"/>
    <w:rsid w:val="7CA065B0"/>
    <w:rsid w:val="7CA13F21"/>
    <w:rsid w:val="7CA3413D"/>
    <w:rsid w:val="7CA35EEB"/>
    <w:rsid w:val="7CA659DB"/>
    <w:rsid w:val="7CA70E3B"/>
    <w:rsid w:val="7CA819B0"/>
    <w:rsid w:val="7CA852AF"/>
    <w:rsid w:val="7CAA37FC"/>
    <w:rsid w:val="7CAA7279"/>
    <w:rsid w:val="7CAB372A"/>
    <w:rsid w:val="7CAF2AE1"/>
    <w:rsid w:val="7CAF4890"/>
    <w:rsid w:val="7CB11429"/>
    <w:rsid w:val="7CB13FFA"/>
    <w:rsid w:val="7CB1685A"/>
    <w:rsid w:val="7CB225D2"/>
    <w:rsid w:val="7CB41EA6"/>
    <w:rsid w:val="7CB71996"/>
    <w:rsid w:val="7CB84E1D"/>
    <w:rsid w:val="7CB85D6F"/>
    <w:rsid w:val="7CB9462B"/>
    <w:rsid w:val="7CC16371"/>
    <w:rsid w:val="7CC16D28"/>
    <w:rsid w:val="7CC378A6"/>
    <w:rsid w:val="7CC6544B"/>
    <w:rsid w:val="7CC67E33"/>
    <w:rsid w:val="7CC83BA3"/>
    <w:rsid w:val="7CC9189C"/>
    <w:rsid w:val="7CCC7CD9"/>
    <w:rsid w:val="7CCF4F32"/>
    <w:rsid w:val="7CCF5306"/>
    <w:rsid w:val="7CD07A66"/>
    <w:rsid w:val="7CD10CAA"/>
    <w:rsid w:val="7CD267D0"/>
    <w:rsid w:val="7CD364E6"/>
    <w:rsid w:val="7CD52A93"/>
    <w:rsid w:val="7CD56D24"/>
    <w:rsid w:val="7CD6006E"/>
    <w:rsid w:val="7CD63371"/>
    <w:rsid w:val="7CD667B9"/>
    <w:rsid w:val="7CD75A35"/>
    <w:rsid w:val="7CD75B94"/>
    <w:rsid w:val="7CDA1300"/>
    <w:rsid w:val="7CDA3E98"/>
    <w:rsid w:val="7CE0713F"/>
    <w:rsid w:val="7CE16A13"/>
    <w:rsid w:val="7CE24C65"/>
    <w:rsid w:val="7CE55BB4"/>
    <w:rsid w:val="7CE64029"/>
    <w:rsid w:val="7CE704CD"/>
    <w:rsid w:val="7CE82C62"/>
    <w:rsid w:val="7CEB256D"/>
    <w:rsid w:val="7CEC1AF5"/>
    <w:rsid w:val="7CF03E19"/>
    <w:rsid w:val="7CF057E2"/>
    <w:rsid w:val="7CF36E72"/>
    <w:rsid w:val="7CF404F4"/>
    <w:rsid w:val="7CF706D0"/>
    <w:rsid w:val="7CF7099A"/>
    <w:rsid w:val="7CF95B0B"/>
    <w:rsid w:val="7CFC3882"/>
    <w:rsid w:val="7CFC55FB"/>
    <w:rsid w:val="7CFF2E9E"/>
    <w:rsid w:val="7D015047"/>
    <w:rsid w:val="7D0239FF"/>
    <w:rsid w:val="7D031824"/>
    <w:rsid w:val="7D032E2D"/>
    <w:rsid w:val="7D050953"/>
    <w:rsid w:val="7D052701"/>
    <w:rsid w:val="7D07647A"/>
    <w:rsid w:val="7D083FA0"/>
    <w:rsid w:val="7D0875E2"/>
    <w:rsid w:val="7D0A5F6A"/>
    <w:rsid w:val="7D0C7F34"/>
    <w:rsid w:val="7D0D1D47"/>
    <w:rsid w:val="7D0D7808"/>
    <w:rsid w:val="7D0E20A1"/>
    <w:rsid w:val="7D101A1C"/>
    <w:rsid w:val="7D10257E"/>
    <w:rsid w:val="7D1060D1"/>
    <w:rsid w:val="7D1124A1"/>
    <w:rsid w:val="7D114EEC"/>
    <w:rsid w:val="7D11554A"/>
    <w:rsid w:val="7D126BCC"/>
    <w:rsid w:val="7D1634C9"/>
    <w:rsid w:val="7D1639A4"/>
    <w:rsid w:val="7D1741E3"/>
    <w:rsid w:val="7D1943FF"/>
    <w:rsid w:val="7D20578D"/>
    <w:rsid w:val="7D230DDA"/>
    <w:rsid w:val="7D262F2C"/>
    <w:rsid w:val="7D267FD7"/>
    <w:rsid w:val="7D276B1C"/>
    <w:rsid w:val="7D2A2D0D"/>
    <w:rsid w:val="7D31569C"/>
    <w:rsid w:val="7D3238B0"/>
    <w:rsid w:val="7D362D3A"/>
    <w:rsid w:val="7D39684F"/>
    <w:rsid w:val="7D3B6123"/>
    <w:rsid w:val="7D3C54BC"/>
    <w:rsid w:val="7D3C5A53"/>
    <w:rsid w:val="7D3D00ED"/>
    <w:rsid w:val="7D3E3E65"/>
    <w:rsid w:val="7D40373A"/>
    <w:rsid w:val="7D41003A"/>
    <w:rsid w:val="7D410C9D"/>
    <w:rsid w:val="7D4168D5"/>
    <w:rsid w:val="7D433220"/>
    <w:rsid w:val="7D46245E"/>
    <w:rsid w:val="7D480840"/>
    <w:rsid w:val="7D4C0330"/>
    <w:rsid w:val="7D4C20DE"/>
    <w:rsid w:val="7D4C6582"/>
    <w:rsid w:val="7D4D5E56"/>
    <w:rsid w:val="7D4E15A4"/>
    <w:rsid w:val="7D4F6073"/>
    <w:rsid w:val="7D5056E0"/>
    <w:rsid w:val="7D510122"/>
    <w:rsid w:val="7D513B99"/>
    <w:rsid w:val="7D520790"/>
    <w:rsid w:val="7D5316BF"/>
    <w:rsid w:val="7D577410"/>
    <w:rsid w:val="7D58521D"/>
    <w:rsid w:val="7D586CD5"/>
    <w:rsid w:val="7D592A4D"/>
    <w:rsid w:val="7D5E40CD"/>
    <w:rsid w:val="7D605B8A"/>
    <w:rsid w:val="7D611D57"/>
    <w:rsid w:val="7D637428"/>
    <w:rsid w:val="7D680D2F"/>
    <w:rsid w:val="7D697441"/>
    <w:rsid w:val="7D6B2EAC"/>
    <w:rsid w:val="7D6C2781"/>
    <w:rsid w:val="7D6F2271"/>
    <w:rsid w:val="7D733B0F"/>
    <w:rsid w:val="7D734D9E"/>
    <w:rsid w:val="7D747887"/>
    <w:rsid w:val="7D763697"/>
    <w:rsid w:val="7D787377"/>
    <w:rsid w:val="7D7B0C16"/>
    <w:rsid w:val="7D7C17D8"/>
    <w:rsid w:val="7D807FDA"/>
    <w:rsid w:val="7D82787C"/>
    <w:rsid w:val="7D831878"/>
    <w:rsid w:val="7D847770"/>
    <w:rsid w:val="7D857406"/>
    <w:rsid w:val="7D875858"/>
    <w:rsid w:val="7D8775BA"/>
    <w:rsid w:val="7D883922"/>
    <w:rsid w:val="7D884FB0"/>
    <w:rsid w:val="7D892FCB"/>
    <w:rsid w:val="7D8A0E59"/>
    <w:rsid w:val="7D8C16CC"/>
    <w:rsid w:val="7D8C2E23"/>
    <w:rsid w:val="7D8C4BD1"/>
    <w:rsid w:val="7D8C4E8F"/>
    <w:rsid w:val="7D8F646F"/>
    <w:rsid w:val="7D9070EE"/>
    <w:rsid w:val="7D937D0D"/>
    <w:rsid w:val="7D9513FE"/>
    <w:rsid w:val="7D951664"/>
    <w:rsid w:val="7D966184"/>
    <w:rsid w:val="7D9817C8"/>
    <w:rsid w:val="7D983576"/>
    <w:rsid w:val="7D9A5540"/>
    <w:rsid w:val="7D9B3BB7"/>
    <w:rsid w:val="7D9C760C"/>
    <w:rsid w:val="7D9F1541"/>
    <w:rsid w:val="7D9F66B2"/>
    <w:rsid w:val="7DA107F5"/>
    <w:rsid w:val="7DA43CC8"/>
    <w:rsid w:val="7DA6536D"/>
    <w:rsid w:val="7DA939D5"/>
    <w:rsid w:val="7DA95783"/>
    <w:rsid w:val="7DAA01DF"/>
    <w:rsid w:val="7DAA5057"/>
    <w:rsid w:val="7DAC5273"/>
    <w:rsid w:val="7DAC7021"/>
    <w:rsid w:val="7DB06B11"/>
    <w:rsid w:val="7DB12889"/>
    <w:rsid w:val="7DB14637"/>
    <w:rsid w:val="7DB27582"/>
    <w:rsid w:val="7DB34322"/>
    <w:rsid w:val="7DB36601"/>
    <w:rsid w:val="7DB859C6"/>
    <w:rsid w:val="7DBB438C"/>
    <w:rsid w:val="7DBB7264"/>
    <w:rsid w:val="7DBC3708"/>
    <w:rsid w:val="7DBF153C"/>
    <w:rsid w:val="7DBF4025"/>
    <w:rsid w:val="7DC10C9B"/>
    <w:rsid w:val="7DC4361A"/>
    <w:rsid w:val="7DC5144A"/>
    <w:rsid w:val="7DC600E3"/>
    <w:rsid w:val="7DC70717"/>
    <w:rsid w:val="7DC9372F"/>
    <w:rsid w:val="7DCB56F9"/>
    <w:rsid w:val="7DCD08C5"/>
    <w:rsid w:val="7DCD0FD4"/>
    <w:rsid w:val="7DCD56F2"/>
    <w:rsid w:val="7DCE6F97"/>
    <w:rsid w:val="7DCF6E98"/>
    <w:rsid w:val="7DD24CD9"/>
    <w:rsid w:val="7DD51FE3"/>
    <w:rsid w:val="7DD52045"/>
    <w:rsid w:val="7DD65919"/>
    <w:rsid w:val="7DD65E4C"/>
    <w:rsid w:val="7DD722F0"/>
    <w:rsid w:val="7DDF11A4"/>
    <w:rsid w:val="7DDF2F52"/>
    <w:rsid w:val="7DE02B83"/>
    <w:rsid w:val="7DE06C9C"/>
    <w:rsid w:val="7DE1494D"/>
    <w:rsid w:val="7DE20C95"/>
    <w:rsid w:val="7DE23E5B"/>
    <w:rsid w:val="7DE263AA"/>
    <w:rsid w:val="7DE670BE"/>
    <w:rsid w:val="7DE70059"/>
    <w:rsid w:val="7DEA43A0"/>
    <w:rsid w:val="7DEA626A"/>
    <w:rsid w:val="7DEB7B49"/>
    <w:rsid w:val="7DEC38C1"/>
    <w:rsid w:val="7DED1B13"/>
    <w:rsid w:val="7DED5A39"/>
    <w:rsid w:val="7DF07878"/>
    <w:rsid w:val="7DF12313"/>
    <w:rsid w:val="7DF13B34"/>
    <w:rsid w:val="7DF30E24"/>
    <w:rsid w:val="7DF410BA"/>
    <w:rsid w:val="7DF41CE6"/>
    <w:rsid w:val="7DF7257B"/>
    <w:rsid w:val="7DF804B8"/>
    <w:rsid w:val="7DFF35F5"/>
    <w:rsid w:val="7E002EC9"/>
    <w:rsid w:val="7E024E93"/>
    <w:rsid w:val="7E041BEE"/>
    <w:rsid w:val="7E057008"/>
    <w:rsid w:val="7E064983"/>
    <w:rsid w:val="7E065857"/>
    <w:rsid w:val="7E074F01"/>
    <w:rsid w:val="7E0808DD"/>
    <w:rsid w:val="7E093F74"/>
    <w:rsid w:val="7E097FCF"/>
    <w:rsid w:val="7E0A5DEF"/>
    <w:rsid w:val="7E0B5B2C"/>
    <w:rsid w:val="7E0C5B4F"/>
    <w:rsid w:val="7E0C6EC9"/>
    <w:rsid w:val="7E0E3838"/>
    <w:rsid w:val="7E10135E"/>
    <w:rsid w:val="7E1150D6"/>
    <w:rsid w:val="7E132BFC"/>
    <w:rsid w:val="7E142C45"/>
    <w:rsid w:val="7E144421"/>
    <w:rsid w:val="7E1626EC"/>
    <w:rsid w:val="7E1873C9"/>
    <w:rsid w:val="7E1A3F8B"/>
    <w:rsid w:val="7E1C1872"/>
    <w:rsid w:val="7E1D1CCD"/>
    <w:rsid w:val="7E1E7F1F"/>
    <w:rsid w:val="7E1F0E81"/>
    <w:rsid w:val="7E206F59"/>
    <w:rsid w:val="7E21233F"/>
    <w:rsid w:val="7E221091"/>
    <w:rsid w:val="7E224076"/>
    <w:rsid w:val="7E2241CF"/>
    <w:rsid w:val="7E233DC5"/>
    <w:rsid w:val="7E2911AC"/>
    <w:rsid w:val="7E292420"/>
    <w:rsid w:val="7E2929E7"/>
    <w:rsid w:val="7E2C6FCE"/>
    <w:rsid w:val="7E2D0162"/>
    <w:rsid w:val="7E3037AE"/>
    <w:rsid w:val="7E3055E9"/>
    <w:rsid w:val="7E3314F0"/>
    <w:rsid w:val="7E33737E"/>
    <w:rsid w:val="7E344A7F"/>
    <w:rsid w:val="7E355268"/>
    <w:rsid w:val="7E370FE0"/>
    <w:rsid w:val="7E372D57"/>
    <w:rsid w:val="7E3808B5"/>
    <w:rsid w:val="7E3A132F"/>
    <w:rsid w:val="7E3C06B4"/>
    <w:rsid w:val="7E3E20CA"/>
    <w:rsid w:val="7E3F53BE"/>
    <w:rsid w:val="7E413C0D"/>
    <w:rsid w:val="7E4200FC"/>
    <w:rsid w:val="7E447259"/>
    <w:rsid w:val="7E4567DE"/>
    <w:rsid w:val="7E461DF8"/>
    <w:rsid w:val="7E47154C"/>
    <w:rsid w:val="7E4B1B41"/>
    <w:rsid w:val="7E4B683A"/>
    <w:rsid w:val="7E4B77BD"/>
    <w:rsid w:val="7E4D10D4"/>
    <w:rsid w:val="7E4D25B2"/>
    <w:rsid w:val="7E4E00D8"/>
    <w:rsid w:val="7E4E719F"/>
    <w:rsid w:val="7E5020A2"/>
    <w:rsid w:val="7E505BFE"/>
    <w:rsid w:val="7E53386B"/>
    <w:rsid w:val="7E543940"/>
    <w:rsid w:val="7E552C88"/>
    <w:rsid w:val="7E572CC6"/>
    <w:rsid w:val="7E573431"/>
    <w:rsid w:val="7E5D031B"/>
    <w:rsid w:val="7E5F22E5"/>
    <w:rsid w:val="7E600DDF"/>
    <w:rsid w:val="7E6054A8"/>
    <w:rsid w:val="7E6213D1"/>
    <w:rsid w:val="7E626BA6"/>
    <w:rsid w:val="7E643B71"/>
    <w:rsid w:val="7E65205F"/>
    <w:rsid w:val="7E663674"/>
    <w:rsid w:val="7E670ED8"/>
    <w:rsid w:val="7E682F48"/>
    <w:rsid w:val="7E6836AC"/>
    <w:rsid w:val="7E694F12"/>
    <w:rsid w:val="7E6A3164"/>
    <w:rsid w:val="7E6D0858"/>
    <w:rsid w:val="7E6E2528"/>
    <w:rsid w:val="7E732C7D"/>
    <w:rsid w:val="7E73438A"/>
    <w:rsid w:val="7E7538B7"/>
    <w:rsid w:val="7E777FC9"/>
    <w:rsid w:val="7E7933A7"/>
    <w:rsid w:val="7E794575"/>
    <w:rsid w:val="7E795155"/>
    <w:rsid w:val="7E7A711F"/>
    <w:rsid w:val="7E7C2E97"/>
    <w:rsid w:val="7E7E462F"/>
    <w:rsid w:val="7E7F0DD0"/>
    <w:rsid w:val="7E7F4735"/>
    <w:rsid w:val="7E7F530E"/>
    <w:rsid w:val="7E7F5C38"/>
    <w:rsid w:val="7E801C31"/>
    <w:rsid w:val="7E823D8B"/>
    <w:rsid w:val="7E837D82"/>
    <w:rsid w:val="7E873878"/>
    <w:rsid w:val="7E885398"/>
    <w:rsid w:val="7E8B7DEB"/>
    <w:rsid w:val="7E8D0EAE"/>
    <w:rsid w:val="7E9006F1"/>
    <w:rsid w:val="7E926EA7"/>
    <w:rsid w:val="7E947FB4"/>
    <w:rsid w:val="7E966E77"/>
    <w:rsid w:val="7E9975A5"/>
    <w:rsid w:val="7E9A50CB"/>
    <w:rsid w:val="7E9C7095"/>
    <w:rsid w:val="7E9F26E2"/>
    <w:rsid w:val="7EA128FE"/>
    <w:rsid w:val="7EA174E3"/>
    <w:rsid w:val="7EA472AB"/>
    <w:rsid w:val="7EA53471"/>
    <w:rsid w:val="7EA85A3A"/>
    <w:rsid w:val="7EA903E9"/>
    <w:rsid w:val="7EA952C5"/>
    <w:rsid w:val="7EA96A1A"/>
    <w:rsid w:val="7EAA15BF"/>
    <w:rsid w:val="7EAA17B2"/>
    <w:rsid w:val="7EAA49AA"/>
    <w:rsid w:val="7EAA512E"/>
    <w:rsid w:val="7EAD12A3"/>
    <w:rsid w:val="7EB02B41"/>
    <w:rsid w:val="7EB07427"/>
    <w:rsid w:val="7EB10D93"/>
    <w:rsid w:val="7EB268B9"/>
    <w:rsid w:val="7EB50157"/>
    <w:rsid w:val="7EB549A1"/>
    <w:rsid w:val="7EB77A2B"/>
    <w:rsid w:val="7EB847E8"/>
    <w:rsid w:val="7EB930AA"/>
    <w:rsid w:val="7EBE08CF"/>
    <w:rsid w:val="7EBE2B3E"/>
    <w:rsid w:val="7EBE7381"/>
    <w:rsid w:val="7EC073B6"/>
    <w:rsid w:val="7EC5039A"/>
    <w:rsid w:val="7EC565EC"/>
    <w:rsid w:val="7EC64112"/>
    <w:rsid w:val="7EC75AE6"/>
    <w:rsid w:val="7EC81DEF"/>
    <w:rsid w:val="7EC871AE"/>
    <w:rsid w:val="7ECA1D94"/>
    <w:rsid w:val="7ECA3590"/>
    <w:rsid w:val="7ED0279B"/>
    <w:rsid w:val="7ED071B8"/>
    <w:rsid w:val="7ED3126B"/>
    <w:rsid w:val="7ED3780E"/>
    <w:rsid w:val="7ED52321"/>
    <w:rsid w:val="7ED64D7F"/>
    <w:rsid w:val="7ED72A0A"/>
    <w:rsid w:val="7ED93E46"/>
    <w:rsid w:val="7EDA7753"/>
    <w:rsid w:val="7EDC1B88"/>
    <w:rsid w:val="7EDC7FBD"/>
    <w:rsid w:val="7EE03426"/>
    <w:rsid w:val="7EE03F8C"/>
    <w:rsid w:val="7EE12261"/>
    <w:rsid w:val="7EE2719E"/>
    <w:rsid w:val="7EE822DB"/>
    <w:rsid w:val="7EE850E7"/>
    <w:rsid w:val="7EE857C4"/>
    <w:rsid w:val="7EEA5C45"/>
    <w:rsid w:val="7EEC1C2E"/>
    <w:rsid w:val="7EED0E96"/>
    <w:rsid w:val="7EED5B43"/>
    <w:rsid w:val="7EEE5895"/>
    <w:rsid w:val="7EF40C80"/>
    <w:rsid w:val="7EF42A2E"/>
    <w:rsid w:val="7EF77E99"/>
    <w:rsid w:val="7EF81716"/>
    <w:rsid w:val="7EFB3DBC"/>
    <w:rsid w:val="7EFE38AC"/>
    <w:rsid w:val="7F001CE7"/>
    <w:rsid w:val="7F01289A"/>
    <w:rsid w:val="7F01339C"/>
    <w:rsid w:val="7F016EF9"/>
    <w:rsid w:val="7F052E8D"/>
    <w:rsid w:val="7F054C3B"/>
    <w:rsid w:val="7F0762AC"/>
    <w:rsid w:val="7F085F48"/>
    <w:rsid w:val="7F0864D9"/>
    <w:rsid w:val="7F0A2251"/>
    <w:rsid w:val="7F0A525D"/>
    <w:rsid w:val="7F0A7456"/>
    <w:rsid w:val="7F0A7EBE"/>
    <w:rsid w:val="7F0B18D1"/>
    <w:rsid w:val="7F0C421B"/>
    <w:rsid w:val="7F0E41B4"/>
    <w:rsid w:val="7F0F1615"/>
    <w:rsid w:val="7F104937"/>
    <w:rsid w:val="7F115042"/>
    <w:rsid w:val="7F116BFC"/>
    <w:rsid w:val="7F121106"/>
    <w:rsid w:val="7F160BF6"/>
    <w:rsid w:val="7F167950"/>
    <w:rsid w:val="7F17671C"/>
    <w:rsid w:val="7F1C0092"/>
    <w:rsid w:val="7F1C2CED"/>
    <w:rsid w:val="7F1E08C8"/>
    <w:rsid w:val="7F1F394C"/>
    <w:rsid w:val="7F2222D6"/>
    <w:rsid w:val="7F252DDB"/>
    <w:rsid w:val="7F286B7B"/>
    <w:rsid w:val="7F2A28F3"/>
    <w:rsid w:val="7F2D4191"/>
    <w:rsid w:val="7F2E23E3"/>
    <w:rsid w:val="7F2F7F0A"/>
    <w:rsid w:val="7F30121C"/>
    <w:rsid w:val="7F315A30"/>
    <w:rsid w:val="7F3376A0"/>
    <w:rsid w:val="7F3472CE"/>
    <w:rsid w:val="7F361298"/>
    <w:rsid w:val="7F3B1E69"/>
    <w:rsid w:val="7F3B240A"/>
    <w:rsid w:val="7F3D4726"/>
    <w:rsid w:val="7F3E0913"/>
    <w:rsid w:val="7F3E60C2"/>
    <w:rsid w:val="7F3F4DA9"/>
    <w:rsid w:val="7F4514DB"/>
    <w:rsid w:val="7F4650AB"/>
    <w:rsid w:val="7F4734A5"/>
    <w:rsid w:val="7F474DD5"/>
    <w:rsid w:val="7F482D79"/>
    <w:rsid w:val="7F4A04C2"/>
    <w:rsid w:val="7F4A08A0"/>
    <w:rsid w:val="7F4A4D43"/>
    <w:rsid w:val="7F4C4618"/>
    <w:rsid w:val="7F4D27B7"/>
    <w:rsid w:val="7F4F4108"/>
    <w:rsid w:val="7F4F5EB6"/>
    <w:rsid w:val="7F5130C2"/>
    <w:rsid w:val="7F54099F"/>
    <w:rsid w:val="7F547386"/>
    <w:rsid w:val="7F577904"/>
    <w:rsid w:val="7F58120E"/>
    <w:rsid w:val="7F5931D8"/>
    <w:rsid w:val="7F596D35"/>
    <w:rsid w:val="7F5D04A8"/>
    <w:rsid w:val="7F5D23E8"/>
    <w:rsid w:val="7F5F0395"/>
    <w:rsid w:val="7F6000C3"/>
    <w:rsid w:val="7F605CA3"/>
    <w:rsid w:val="7F64448E"/>
    <w:rsid w:val="7F6454F9"/>
    <w:rsid w:val="7F6466F7"/>
    <w:rsid w:val="7F65392B"/>
    <w:rsid w:val="7F6556D9"/>
    <w:rsid w:val="7F674918"/>
    <w:rsid w:val="7F690B08"/>
    <w:rsid w:val="7F6B34DE"/>
    <w:rsid w:val="7F6F0442"/>
    <w:rsid w:val="7F730C5F"/>
    <w:rsid w:val="7F741DC0"/>
    <w:rsid w:val="7F754410"/>
    <w:rsid w:val="7F7565EE"/>
    <w:rsid w:val="7F75751B"/>
    <w:rsid w:val="7F7678E7"/>
    <w:rsid w:val="7F7706F4"/>
    <w:rsid w:val="7F7B4EFD"/>
    <w:rsid w:val="7F7D0C75"/>
    <w:rsid w:val="7F7D2A23"/>
    <w:rsid w:val="7F7E2246"/>
    <w:rsid w:val="7F802513"/>
    <w:rsid w:val="7F8042C1"/>
    <w:rsid w:val="7F8244DD"/>
    <w:rsid w:val="7F833DB1"/>
    <w:rsid w:val="7F863EFF"/>
    <w:rsid w:val="7F870D6B"/>
    <w:rsid w:val="7F882796"/>
    <w:rsid w:val="7F8850D7"/>
    <w:rsid w:val="7F8C0EB8"/>
    <w:rsid w:val="7F8D23ED"/>
    <w:rsid w:val="7F8E1095"/>
    <w:rsid w:val="7F902912"/>
    <w:rsid w:val="7F904D91"/>
    <w:rsid w:val="7F952CE7"/>
    <w:rsid w:val="7F9864AF"/>
    <w:rsid w:val="7F994342"/>
    <w:rsid w:val="7F995383"/>
    <w:rsid w:val="7F99786B"/>
    <w:rsid w:val="7F9C153D"/>
    <w:rsid w:val="7F9F7DC2"/>
    <w:rsid w:val="7FA20CEA"/>
    <w:rsid w:val="7FA41D54"/>
    <w:rsid w:val="7FA426A6"/>
    <w:rsid w:val="7FA51F7A"/>
    <w:rsid w:val="7FA93818"/>
    <w:rsid w:val="7FAA3AEF"/>
    <w:rsid w:val="7FAE0E2E"/>
    <w:rsid w:val="7FAF77AE"/>
    <w:rsid w:val="7FB01628"/>
    <w:rsid w:val="7FB042D2"/>
    <w:rsid w:val="7FB1091F"/>
    <w:rsid w:val="7FB24B9F"/>
    <w:rsid w:val="7FB517E1"/>
    <w:rsid w:val="7FB64187"/>
    <w:rsid w:val="7FB70DA5"/>
    <w:rsid w:val="7FB75B7A"/>
    <w:rsid w:val="7FB75ED7"/>
    <w:rsid w:val="7FB76A5B"/>
    <w:rsid w:val="7FB81CAD"/>
    <w:rsid w:val="7FBA3C77"/>
    <w:rsid w:val="7FBA6377"/>
    <w:rsid w:val="7FBB179D"/>
    <w:rsid w:val="7FBB329D"/>
    <w:rsid w:val="7FBC5D59"/>
    <w:rsid w:val="7FBD3767"/>
    <w:rsid w:val="7FC06DB4"/>
    <w:rsid w:val="7FC16F50"/>
    <w:rsid w:val="7FC20D7E"/>
    <w:rsid w:val="7FC2282C"/>
    <w:rsid w:val="7FC364A2"/>
    <w:rsid w:val="7FC41EAA"/>
    <w:rsid w:val="7FC543CA"/>
    <w:rsid w:val="7FC60329"/>
    <w:rsid w:val="7FC60ED9"/>
    <w:rsid w:val="7FC71EF0"/>
    <w:rsid w:val="7FC76394"/>
    <w:rsid w:val="7FC93EBA"/>
    <w:rsid w:val="7FCA0222"/>
    <w:rsid w:val="7FD05249"/>
    <w:rsid w:val="7FD058D1"/>
    <w:rsid w:val="7FD12383"/>
    <w:rsid w:val="7FD12B85"/>
    <w:rsid w:val="7FD143F8"/>
    <w:rsid w:val="7FD5285F"/>
    <w:rsid w:val="7FDD01AF"/>
    <w:rsid w:val="7FDD5BB8"/>
    <w:rsid w:val="7FDE54BC"/>
    <w:rsid w:val="7FDF548C"/>
    <w:rsid w:val="7FE1132A"/>
    <w:rsid w:val="7FE17A3D"/>
    <w:rsid w:val="7FE2279F"/>
    <w:rsid w:val="7FE42AA2"/>
    <w:rsid w:val="7FE46505"/>
    <w:rsid w:val="7FE47E50"/>
    <w:rsid w:val="7FE52AEC"/>
    <w:rsid w:val="7FE64A6C"/>
    <w:rsid w:val="7FE707E4"/>
    <w:rsid w:val="7FE71F8C"/>
    <w:rsid w:val="7FE73BA6"/>
    <w:rsid w:val="7FE9398B"/>
    <w:rsid w:val="7FEA6ACB"/>
    <w:rsid w:val="7FEB46C0"/>
    <w:rsid w:val="7FEC6CCA"/>
    <w:rsid w:val="7FF13411"/>
    <w:rsid w:val="7FF161E8"/>
    <w:rsid w:val="7FF16F6D"/>
    <w:rsid w:val="7FF56A5D"/>
    <w:rsid w:val="7FF667A0"/>
    <w:rsid w:val="7FF802FC"/>
    <w:rsid w:val="7FF90C78"/>
    <w:rsid w:val="7FF97291"/>
    <w:rsid w:val="7FFB4ADD"/>
    <w:rsid w:val="C3CD669D"/>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99"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uiPriority="99" w:name="Note Heading"/>
    <w:lsdException w:qFormat="1" w:unhideWhenUsed="0" w:uiPriority="99" w:semiHidden="0" w:name="Body Text 2"/>
    <w:lsdException w:uiPriority="99" w:name="Body Text 3"/>
    <w:lsdException w:qFormat="1" w:unhideWhenUsed="0" w:uiPriority="99" w:semiHidden="0" w:name="Body Text Indent 2"/>
    <w:lsdException w:qFormat="1" w:unhideWhenUsed="0" w:uiPriority="0" w:semiHidden="0"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5">
    <w:name w:val="heading 1"/>
    <w:basedOn w:val="1"/>
    <w:next w:val="1"/>
    <w:link w:val="33"/>
    <w:qFormat/>
    <w:uiPriority w:val="99"/>
    <w:pPr>
      <w:keepNext/>
      <w:overflowPunct w:val="0"/>
      <w:snapToGrid w:val="0"/>
      <w:spacing w:before="120" w:after="160" w:line="259" w:lineRule="auto"/>
      <w:ind w:left="432" w:hanging="432"/>
      <w:outlineLvl w:val="0"/>
    </w:pPr>
    <w:rPr>
      <w:rFonts w:eastAsia="黑体"/>
      <w:b/>
      <w:bCs/>
      <w:color w:val="000000"/>
      <w:kern w:val="44"/>
      <w:sz w:val="30"/>
      <w:szCs w:val="30"/>
    </w:rPr>
  </w:style>
  <w:style w:type="paragraph" w:styleId="6">
    <w:name w:val="heading 2"/>
    <w:basedOn w:val="1"/>
    <w:next w:val="1"/>
    <w:link w:val="34"/>
    <w:qFormat/>
    <w:uiPriority w:val="99"/>
    <w:pPr>
      <w:keepNext/>
      <w:keepLines/>
      <w:spacing w:before="260" w:after="260" w:line="416" w:lineRule="auto"/>
      <w:outlineLvl w:val="1"/>
    </w:pPr>
    <w:rPr>
      <w:rFonts w:ascii="Arial" w:hAnsi="Arial" w:eastAsia="黑体" w:cs="Arial"/>
      <w:b/>
      <w:bCs/>
      <w:sz w:val="32"/>
      <w:szCs w:val="32"/>
    </w:rPr>
  </w:style>
  <w:style w:type="paragraph" w:styleId="7">
    <w:name w:val="heading 3"/>
    <w:basedOn w:val="1"/>
    <w:next w:val="1"/>
    <w:link w:val="35"/>
    <w:qFormat/>
    <w:uiPriority w:val="99"/>
    <w:pPr>
      <w:keepNext/>
      <w:keepLines/>
      <w:spacing w:before="260" w:after="260" w:line="416" w:lineRule="auto"/>
      <w:outlineLvl w:val="2"/>
    </w:pPr>
    <w:rPr>
      <w:b/>
      <w:bCs/>
      <w:sz w:val="32"/>
      <w:szCs w:val="32"/>
    </w:rPr>
  </w:style>
  <w:style w:type="paragraph" w:styleId="8">
    <w:name w:val="heading 4"/>
    <w:basedOn w:val="1"/>
    <w:next w:val="1"/>
    <w:link w:val="36"/>
    <w:qFormat/>
    <w:uiPriority w:val="99"/>
    <w:pPr>
      <w:ind w:left="1281"/>
      <w:outlineLvl w:val="3"/>
    </w:pPr>
    <w:rPr>
      <w:rFonts w:ascii="宋体" w:hAnsi="宋体" w:cs="宋体"/>
      <w:b/>
      <w:bCs/>
      <w:sz w:val="24"/>
      <w:szCs w:val="24"/>
      <w:lang w:val="zh-CN"/>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next w:val="3"/>
    <w:link w:val="37"/>
    <w:qFormat/>
    <w:uiPriority w:val="99"/>
    <w:pPr>
      <w:spacing w:after="120"/>
      <w:ind w:left="420" w:leftChars="200"/>
    </w:pPr>
    <w:rPr>
      <w:kern w:val="0"/>
      <w:sz w:val="24"/>
      <w:szCs w:val="24"/>
    </w:rPr>
  </w:style>
  <w:style w:type="paragraph" w:styleId="3">
    <w:name w:val="Body Text Indent 2"/>
    <w:basedOn w:val="1"/>
    <w:next w:val="4"/>
    <w:link w:val="39"/>
    <w:qFormat/>
    <w:uiPriority w:val="99"/>
    <w:pPr>
      <w:spacing w:after="120" w:line="480" w:lineRule="auto"/>
      <w:ind w:left="420" w:leftChars="200"/>
    </w:pPr>
  </w:style>
  <w:style w:type="paragraph" w:styleId="4">
    <w:name w:val="Body Text First Indent 2"/>
    <w:basedOn w:val="2"/>
    <w:next w:val="1"/>
    <w:link w:val="38"/>
    <w:qFormat/>
    <w:uiPriority w:val="99"/>
    <w:pPr>
      <w:ind w:firstLine="420" w:firstLineChars="200"/>
    </w:pPr>
  </w:style>
  <w:style w:type="paragraph" w:styleId="9">
    <w:name w:val="Normal Indent"/>
    <w:basedOn w:val="1"/>
    <w:next w:val="1"/>
    <w:qFormat/>
    <w:uiPriority w:val="99"/>
    <w:pPr>
      <w:ind w:firstLine="420"/>
    </w:pPr>
    <w:rPr>
      <w:rFonts w:ascii="宋体" w:cs="宋体"/>
      <w:kern w:val="0"/>
      <w:sz w:val="26"/>
      <w:szCs w:val="26"/>
    </w:rPr>
  </w:style>
  <w:style w:type="paragraph" w:styleId="10">
    <w:name w:val="annotation text"/>
    <w:basedOn w:val="1"/>
    <w:link w:val="40"/>
    <w:semiHidden/>
    <w:qFormat/>
    <w:uiPriority w:val="99"/>
    <w:pPr>
      <w:jc w:val="left"/>
    </w:pPr>
    <w:rPr>
      <w:kern w:val="0"/>
      <w:sz w:val="24"/>
      <w:szCs w:val="24"/>
    </w:rPr>
  </w:style>
  <w:style w:type="paragraph" w:styleId="11">
    <w:name w:val="Body Text"/>
    <w:basedOn w:val="1"/>
    <w:next w:val="12"/>
    <w:link w:val="41"/>
    <w:qFormat/>
    <w:uiPriority w:val="99"/>
    <w:pPr>
      <w:widowControl/>
      <w:snapToGrid w:val="0"/>
      <w:spacing w:before="60" w:after="160" w:line="259" w:lineRule="auto"/>
      <w:ind w:right="113"/>
    </w:pPr>
    <w:rPr>
      <w:kern w:val="0"/>
      <w:sz w:val="18"/>
      <w:szCs w:val="18"/>
    </w:rPr>
  </w:style>
  <w:style w:type="paragraph" w:customStyle="1" w:styleId="12">
    <w:name w:val="xl27"/>
    <w:basedOn w:val="1"/>
    <w:next w:val="1"/>
    <w:qFormat/>
    <w:uiPriority w:val="99"/>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18030" w:hAnsi="???-18030" w:cs="???-18030"/>
      <w:kern w:val="0"/>
    </w:rPr>
  </w:style>
  <w:style w:type="paragraph" w:styleId="13">
    <w:name w:val="Date"/>
    <w:basedOn w:val="1"/>
    <w:next w:val="1"/>
    <w:link w:val="42"/>
    <w:qFormat/>
    <w:uiPriority w:val="99"/>
    <w:pPr>
      <w:ind w:left="100" w:leftChars="2500"/>
    </w:pPr>
    <w:rPr>
      <w:kern w:val="0"/>
      <w:sz w:val="24"/>
      <w:szCs w:val="24"/>
    </w:rPr>
  </w:style>
  <w:style w:type="paragraph" w:styleId="14">
    <w:name w:val="Balloon Text"/>
    <w:basedOn w:val="1"/>
    <w:link w:val="43"/>
    <w:semiHidden/>
    <w:qFormat/>
    <w:uiPriority w:val="99"/>
    <w:rPr>
      <w:kern w:val="0"/>
      <w:sz w:val="18"/>
      <w:szCs w:val="18"/>
    </w:rPr>
  </w:style>
  <w:style w:type="paragraph" w:styleId="15">
    <w:name w:val="footer"/>
    <w:basedOn w:val="1"/>
    <w:link w:val="44"/>
    <w:qFormat/>
    <w:uiPriority w:val="99"/>
    <w:pPr>
      <w:tabs>
        <w:tab w:val="center" w:pos="4153"/>
        <w:tab w:val="right" w:pos="8306"/>
      </w:tabs>
      <w:snapToGrid w:val="0"/>
      <w:jc w:val="left"/>
    </w:pPr>
    <w:rPr>
      <w:kern w:val="0"/>
      <w:sz w:val="18"/>
      <w:szCs w:val="18"/>
    </w:rPr>
  </w:style>
  <w:style w:type="paragraph" w:styleId="16">
    <w:name w:val="header"/>
    <w:basedOn w:val="1"/>
    <w:link w:val="45"/>
    <w:qFormat/>
    <w:uiPriority w:val="99"/>
    <w:pPr>
      <w:pBdr>
        <w:bottom w:val="single" w:color="auto" w:sz="6" w:space="1"/>
      </w:pBdr>
      <w:tabs>
        <w:tab w:val="center" w:pos="4153"/>
        <w:tab w:val="right" w:pos="8306"/>
      </w:tabs>
      <w:snapToGrid w:val="0"/>
      <w:jc w:val="center"/>
    </w:pPr>
    <w:rPr>
      <w:kern w:val="0"/>
      <w:sz w:val="18"/>
      <w:szCs w:val="18"/>
    </w:rPr>
  </w:style>
  <w:style w:type="paragraph" w:styleId="17">
    <w:name w:val="List"/>
    <w:basedOn w:val="1"/>
    <w:qFormat/>
    <w:uiPriority w:val="99"/>
    <w:pPr>
      <w:jc w:val="center"/>
    </w:pPr>
    <w:rPr>
      <w:kern w:val="21"/>
    </w:rPr>
  </w:style>
  <w:style w:type="paragraph" w:styleId="18">
    <w:name w:val="Body Text Indent 3"/>
    <w:basedOn w:val="1"/>
    <w:qFormat/>
    <w:uiPriority w:val="0"/>
    <w:pPr>
      <w:spacing w:after="120"/>
      <w:ind w:left="420" w:leftChars="200"/>
    </w:pPr>
    <w:rPr>
      <w:sz w:val="16"/>
      <w:szCs w:val="16"/>
      <w:lang w:val="zh-CN"/>
    </w:rPr>
  </w:style>
  <w:style w:type="paragraph" w:styleId="19">
    <w:name w:val="Body Text 2"/>
    <w:basedOn w:val="1"/>
    <w:link w:val="46"/>
    <w:qFormat/>
    <w:uiPriority w:val="99"/>
    <w:pPr>
      <w:spacing w:after="120" w:line="480" w:lineRule="auto"/>
    </w:pPr>
  </w:style>
  <w:style w:type="paragraph" w:styleId="20">
    <w:name w:val="Normal (Web)"/>
    <w:basedOn w:val="1"/>
    <w:link w:val="49"/>
    <w:qFormat/>
    <w:uiPriority w:val="99"/>
    <w:pPr>
      <w:widowControl/>
      <w:spacing w:before="100" w:beforeAutospacing="1" w:after="100" w:afterAutospacing="1"/>
      <w:jc w:val="left"/>
    </w:pPr>
    <w:rPr>
      <w:rFonts w:ascii="宋体" w:hAnsi="宋体"/>
      <w:kern w:val="0"/>
      <w:sz w:val="24"/>
      <w:szCs w:val="24"/>
    </w:rPr>
  </w:style>
  <w:style w:type="paragraph" w:styleId="21">
    <w:name w:val="annotation subject"/>
    <w:basedOn w:val="10"/>
    <w:next w:val="10"/>
    <w:link w:val="47"/>
    <w:semiHidden/>
    <w:qFormat/>
    <w:uiPriority w:val="99"/>
    <w:rPr>
      <w:b/>
      <w:bCs/>
      <w:kern w:val="2"/>
    </w:rPr>
  </w:style>
  <w:style w:type="paragraph" w:styleId="22">
    <w:name w:val="Body Text First Indent"/>
    <w:basedOn w:val="11"/>
    <w:next w:val="1"/>
    <w:link w:val="48"/>
    <w:qFormat/>
    <w:uiPriority w:val="99"/>
    <w:pPr>
      <w:spacing w:after="120" w:line="240" w:lineRule="auto"/>
      <w:ind w:firstLine="420" w:firstLineChars="100"/>
    </w:pPr>
    <w:rPr>
      <w:sz w:val="21"/>
      <w:szCs w:val="21"/>
    </w:rPr>
  </w:style>
  <w:style w:type="table" w:styleId="24">
    <w:name w:val="Table Grid"/>
    <w:basedOn w:val="23"/>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6">
    <w:name w:val="page number"/>
    <w:basedOn w:val="25"/>
    <w:qFormat/>
    <w:uiPriority w:val="99"/>
  </w:style>
  <w:style w:type="character" w:styleId="27">
    <w:name w:val="Hyperlink"/>
    <w:basedOn w:val="25"/>
    <w:qFormat/>
    <w:uiPriority w:val="99"/>
    <w:rPr>
      <w:color w:val="0000FF"/>
      <w:u w:val="single"/>
    </w:rPr>
  </w:style>
  <w:style w:type="character" w:styleId="28">
    <w:name w:val="annotation reference"/>
    <w:basedOn w:val="25"/>
    <w:semiHidden/>
    <w:qFormat/>
    <w:uiPriority w:val="99"/>
    <w:rPr>
      <w:sz w:val="21"/>
      <w:szCs w:val="21"/>
    </w:rPr>
  </w:style>
  <w:style w:type="paragraph" w:customStyle="1" w:styleId="29">
    <w:name w:val="A正文"/>
    <w:basedOn w:val="1"/>
    <w:qFormat/>
    <w:uiPriority w:val="99"/>
    <w:pPr>
      <w:widowControl/>
      <w:overflowPunct w:val="0"/>
      <w:autoSpaceDE w:val="0"/>
      <w:autoSpaceDN w:val="0"/>
      <w:jc w:val="left"/>
      <w:textAlignment w:val="baseline"/>
    </w:pPr>
  </w:style>
  <w:style w:type="paragraph" w:customStyle="1" w:styleId="30">
    <w:name w:val="Default"/>
    <w:basedOn w:val="31"/>
    <w:next w:val="32"/>
    <w:qFormat/>
    <w:uiPriority w:val="99"/>
    <w:pPr>
      <w:autoSpaceDE w:val="0"/>
      <w:autoSpaceDN w:val="0"/>
    </w:pPr>
    <w:rPr>
      <w:color w:val="000000"/>
      <w:sz w:val="24"/>
      <w:szCs w:val="24"/>
    </w:rPr>
  </w:style>
  <w:style w:type="paragraph" w:customStyle="1" w:styleId="31">
    <w:name w:val="纯文本1"/>
    <w:basedOn w:val="1"/>
    <w:qFormat/>
    <w:uiPriority w:val="99"/>
    <w:pPr>
      <w:adjustRightInd w:val="0"/>
    </w:pPr>
    <w:rPr>
      <w:rFonts w:ascii="宋体" w:hAnsi="Courier New" w:cs="宋体"/>
    </w:rPr>
  </w:style>
  <w:style w:type="paragraph" w:customStyle="1" w:styleId="32">
    <w:name w:val="正文文字 6"/>
    <w:next w:val="1"/>
    <w:qFormat/>
    <w:uiPriority w:val="99"/>
    <w:pPr>
      <w:widowControl w:val="0"/>
      <w:ind w:left="240"/>
      <w:jc w:val="both"/>
    </w:pPr>
    <w:rPr>
      <w:rFonts w:ascii="宋体" w:hAnsi="Times New Roman" w:eastAsia="宋体" w:cs="宋体"/>
      <w:b/>
      <w:bCs/>
      <w:kern w:val="2"/>
      <w:sz w:val="32"/>
      <w:szCs w:val="32"/>
      <w:lang w:val="en-US" w:eastAsia="zh-CN" w:bidi="ar-SA"/>
    </w:rPr>
  </w:style>
  <w:style w:type="character" w:customStyle="1" w:styleId="33">
    <w:name w:val="标题 1 Char"/>
    <w:basedOn w:val="25"/>
    <w:link w:val="5"/>
    <w:qFormat/>
    <w:uiPriority w:val="9"/>
    <w:rPr>
      <w:b/>
      <w:bCs/>
      <w:kern w:val="44"/>
      <w:sz w:val="44"/>
      <w:szCs w:val="44"/>
    </w:rPr>
  </w:style>
  <w:style w:type="character" w:customStyle="1" w:styleId="34">
    <w:name w:val="标题 2 Char"/>
    <w:basedOn w:val="25"/>
    <w:link w:val="6"/>
    <w:semiHidden/>
    <w:qFormat/>
    <w:uiPriority w:val="9"/>
    <w:rPr>
      <w:rFonts w:ascii="Cambria" w:hAnsi="Cambria" w:eastAsia="宋体" w:cs="Times New Roman"/>
      <w:b/>
      <w:bCs/>
      <w:sz w:val="32"/>
      <w:szCs w:val="32"/>
    </w:rPr>
  </w:style>
  <w:style w:type="character" w:customStyle="1" w:styleId="35">
    <w:name w:val="标题 3 Char"/>
    <w:basedOn w:val="25"/>
    <w:link w:val="7"/>
    <w:semiHidden/>
    <w:qFormat/>
    <w:uiPriority w:val="9"/>
    <w:rPr>
      <w:b/>
      <w:bCs/>
      <w:sz w:val="32"/>
      <w:szCs w:val="32"/>
    </w:rPr>
  </w:style>
  <w:style w:type="character" w:customStyle="1" w:styleId="36">
    <w:name w:val="标题 4 Char"/>
    <w:basedOn w:val="25"/>
    <w:link w:val="8"/>
    <w:semiHidden/>
    <w:qFormat/>
    <w:uiPriority w:val="9"/>
    <w:rPr>
      <w:rFonts w:ascii="Cambria" w:hAnsi="Cambria" w:eastAsia="宋体" w:cs="Times New Roman"/>
      <w:b/>
      <w:bCs/>
      <w:sz w:val="28"/>
      <w:szCs w:val="28"/>
    </w:rPr>
  </w:style>
  <w:style w:type="character" w:customStyle="1" w:styleId="37">
    <w:name w:val="正文文本缩进 Char"/>
    <w:basedOn w:val="25"/>
    <w:link w:val="2"/>
    <w:semiHidden/>
    <w:qFormat/>
    <w:uiPriority w:val="99"/>
    <w:rPr>
      <w:rFonts w:ascii="Times New Roman" w:hAnsi="Times New Roman" w:eastAsia="宋体" w:cs="Times New Roman"/>
      <w:sz w:val="24"/>
      <w:szCs w:val="24"/>
    </w:rPr>
  </w:style>
  <w:style w:type="character" w:customStyle="1" w:styleId="38">
    <w:name w:val="正文首行缩进 2 Char"/>
    <w:basedOn w:val="37"/>
    <w:link w:val="4"/>
    <w:semiHidden/>
    <w:qFormat/>
    <w:uiPriority w:val="99"/>
    <w:rPr>
      <w:rFonts w:ascii="Times New Roman" w:hAnsi="Times New Roman" w:eastAsia="宋体" w:cs="Times New Roman"/>
      <w:sz w:val="24"/>
      <w:szCs w:val="21"/>
    </w:rPr>
  </w:style>
  <w:style w:type="character" w:customStyle="1" w:styleId="39">
    <w:name w:val="正文文本缩进 2 Char"/>
    <w:basedOn w:val="25"/>
    <w:link w:val="3"/>
    <w:semiHidden/>
    <w:qFormat/>
    <w:uiPriority w:val="99"/>
    <w:rPr>
      <w:szCs w:val="21"/>
    </w:rPr>
  </w:style>
  <w:style w:type="character" w:customStyle="1" w:styleId="40">
    <w:name w:val="批注文字 Char"/>
    <w:basedOn w:val="25"/>
    <w:link w:val="10"/>
    <w:qFormat/>
    <w:uiPriority w:val="99"/>
    <w:rPr>
      <w:rFonts w:ascii="Times New Roman" w:hAnsi="Times New Roman" w:eastAsia="宋体" w:cs="Times New Roman"/>
      <w:sz w:val="24"/>
      <w:szCs w:val="24"/>
    </w:rPr>
  </w:style>
  <w:style w:type="character" w:customStyle="1" w:styleId="41">
    <w:name w:val="正文文本 Char"/>
    <w:basedOn w:val="25"/>
    <w:link w:val="11"/>
    <w:qFormat/>
    <w:uiPriority w:val="99"/>
    <w:rPr>
      <w:sz w:val="18"/>
      <w:szCs w:val="18"/>
    </w:rPr>
  </w:style>
  <w:style w:type="character" w:customStyle="1" w:styleId="42">
    <w:name w:val="日期 Char"/>
    <w:basedOn w:val="25"/>
    <w:link w:val="13"/>
    <w:qFormat/>
    <w:uiPriority w:val="99"/>
    <w:rPr>
      <w:rFonts w:ascii="Times New Roman" w:hAnsi="Times New Roman" w:eastAsia="宋体" w:cs="Times New Roman"/>
      <w:sz w:val="24"/>
      <w:szCs w:val="24"/>
    </w:rPr>
  </w:style>
  <w:style w:type="character" w:customStyle="1" w:styleId="43">
    <w:name w:val="批注框文本 Char"/>
    <w:basedOn w:val="25"/>
    <w:link w:val="14"/>
    <w:semiHidden/>
    <w:qFormat/>
    <w:uiPriority w:val="99"/>
    <w:rPr>
      <w:rFonts w:ascii="Times New Roman" w:hAnsi="Times New Roman" w:eastAsia="宋体" w:cs="Times New Roman"/>
      <w:sz w:val="18"/>
      <w:szCs w:val="18"/>
    </w:rPr>
  </w:style>
  <w:style w:type="character" w:customStyle="1" w:styleId="44">
    <w:name w:val="页脚 Char"/>
    <w:basedOn w:val="25"/>
    <w:link w:val="15"/>
    <w:qFormat/>
    <w:uiPriority w:val="99"/>
    <w:rPr>
      <w:sz w:val="18"/>
      <w:szCs w:val="18"/>
    </w:rPr>
  </w:style>
  <w:style w:type="character" w:customStyle="1" w:styleId="45">
    <w:name w:val="页眉 Char"/>
    <w:basedOn w:val="25"/>
    <w:link w:val="16"/>
    <w:qFormat/>
    <w:uiPriority w:val="99"/>
    <w:rPr>
      <w:sz w:val="18"/>
      <w:szCs w:val="18"/>
    </w:rPr>
  </w:style>
  <w:style w:type="character" w:customStyle="1" w:styleId="46">
    <w:name w:val="正文文本 2 Char"/>
    <w:basedOn w:val="25"/>
    <w:link w:val="19"/>
    <w:semiHidden/>
    <w:qFormat/>
    <w:uiPriority w:val="99"/>
    <w:rPr>
      <w:szCs w:val="21"/>
    </w:rPr>
  </w:style>
  <w:style w:type="character" w:customStyle="1" w:styleId="47">
    <w:name w:val="批注主题 Char"/>
    <w:basedOn w:val="40"/>
    <w:link w:val="21"/>
    <w:semiHidden/>
    <w:qFormat/>
    <w:uiPriority w:val="99"/>
    <w:rPr>
      <w:rFonts w:ascii="Times New Roman" w:hAnsi="Times New Roman" w:eastAsia="宋体" w:cs="Times New Roman"/>
      <w:b/>
      <w:bCs/>
      <w:kern w:val="2"/>
      <w:sz w:val="24"/>
      <w:szCs w:val="24"/>
    </w:rPr>
  </w:style>
  <w:style w:type="character" w:customStyle="1" w:styleId="48">
    <w:name w:val="正文首行缩进 Char"/>
    <w:basedOn w:val="41"/>
    <w:link w:val="22"/>
    <w:semiHidden/>
    <w:qFormat/>
    <w:uiPriority w:val="99"/>
    <w:rPr>
      <w:sz w:val="18"/>
      <w:szCs w:val="21"/>
    </w:rPr>
  </w:style>
  <w:style w:type="character" w:customStyle="1" w:styleId="49">
    <w:name w:val="普通(网站) Char"/>
    <w:link w:val="20"/>
    <w:qFormat/>
    <w:uiPriority w:val="99"/>
    <w:rPr>
      <w:rFonts w:ascii="宋体" w:hAnsi="宋体" w:eastAsia="宋体" w:cs="宋体"/>
      <w:sz w:val="24"/>
      <w:szCs w:val="24"/>
    </w:rPr>
  </w:style>
  <w:style w:type="character" w:customStyle="1" w:styleId="50">
    <w:name w:val="页脚 字符"/>
    <w:qFormat/>
    <w:uiPriority w:val="99"/>
  </w:style>
  <w:style w:type="character" w:customStyle="1" w:styleId="51">
    <w:name w:val="正文文本 字符1"/>
    <w:semiHidden/>
    <w:qFormat/>
    <w:uiPriority w:val="99"/>
    <w:rPr>
      <w:rFonts w:ascii="Times New Roman" w:hAnsi="Times New Roman" w:eastAsia="宋体" w:cs="Times New Roman"/>
      <w:sz w:val="24"/>
      <w:szCs w:val="24"/>
    </w:rPr>
  </w:style>
  <w:style w:type="character" w:customStyle="1" w:styleId="52">
    <w:name w:val="表格 Char"/>
    <w:link w:val="53"/>
    <w:qFormat/>
    <w:uiPriority w:val="99"/>
    <w:rPr>
      <w:rFonts w:ascii="宋体" w:cs="宋体"/>
      <w:sz w:val="21"/>
      <w:szCs w:val="21"/>
    </w:rPr>
  </w:style>
  <w:style w:type="paragraph" w:customStyle="1" w:styleId="53">
    <w:name w:val="表格"/>
    <w:basedOn w:val="1"/>
    <w:next w:val="1"/>
    <w:link w:val="52"/>
    <w:qFormat/>
    <w:uiPriority w:val="99"/>
    <w:pPr>
      <w:adjustRightInd w:val="0"/>
      <w:snapToGrid w:val="0"/>
      <w:spacing w:beforeLines="10" w:afterLines="10" w:line="259" w:lineRule="auto"/>
      <w:jc w:val="center"/>
    </w:pPr>
    <w:rPr>
      <w:rFonts w:ascii="宋体"/>
      <w:kern w:val="0"/>
    </w:rPr>
  </w:style>
  <w:style w:type="character" w:customStyle="1" w:styleId="54">
    <w:name w:val="日期 字符"/>
    <w:semiHidden/>
    <w:qFormat/>
    <w:uiPriority w:val="99"/>
    <w:rPr>
      <w:rFonts w:ascii="Times New Roman" w:hAnsi="Times New Roman" w:eastAsia="宋体" w:cs="Times New Roman"/>
      <w:sz w:val="24"/>
      <w:szCs w:val="24"/>
    </w:rPr>
  </w:style>
  <w:style w:type="character" w:customStyle="1" w:styleId="55">
    <w:name w:val="批注文字 字符1"/>
    <w:semiHidden/>
    <w:qFormat/>
    <w:uiPriority w:val="99"/>
    <w:rPr>
      <w:rFonts w:ascii="Times New Roman" w:hAnsi="Times New Roman" w:eastAsia="宋体" w:cs="Times New Roman"/>
      <w:sz w:val="24"/>
      <w:szCs w:val="24"/>
    </w:rPr>
  </w:style>
  <w:style w:type="paragraph" w:customStyle="1" w:styleId="56">
    <w:name w:val="正文_10"/>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57">
    <w:name w:val="普通(网站)2"/>
    <w:basedOn w:val="1"/>
    <w:qFormat/>
    <w:uiPriority w:val="99"/>
    <w:pPr>
      <w:widowControl/>
      <w:spacing w:before="100" w:beforeAutospacing="1" w:after="100" w:afterAutospacing="1"/>
      <w:jc w:val="left"/>
    </w:pPr>
    <w:rPr>
      <w:rFonts w:ascii="宋体" w:hAnsi="宋体" w:cs="宋体"/>
      <w:sz w:val="24"/>
      <w:szCs w:val="24"/>
    </w:rPr>
  </w:style>
  <w:style w:type="paragraph" w:customStyle="1" w:styleId="58">
    <w:name w:val="p0"/>
    <w:basedOn w:val="1"/>
    <w:qFormat/>
    <w:uiPriority w:val="99"/>
    <w:pPr>
      <w:widowControl/>
    </w:pPr>
    <w:rPr>
      <w:kern w:val="0"/>
    </w:rPr>
  </w:style>
  <w:style w:type="paragraph" w:customStyle="1" w:styleId="59">
    <w:name w:val="报告表正文"/>
    <w:basedOn w:val="1"/>
    <w:qFormat/>
    <w:uiPriority w:val="99"/>
    <w:pPr>
      <w:spacing w:line="360" w:lineRule="auto"/>
      <w:ind w:firstLine="640" w:firstLineChars="200"/>
    </w:pPr>
    <w:rPr>
      <w:sz w:val="24"/>
      <w:szCs w:val="24"/>
    </w:rPr>
  </w:style>
  <w:style w:type="paragraph" w:customStyle="1" w:styleId="60">
    <w:name w:val="正文3"/>
    <w:qFormat/>
    <w:uiPriority w:val="99"/>
    <w:pPr>
      <w:jc w:val="both"/>
    </w:pPr>
    <w:rPr>
      <w:rFonts w:ascii="Times New Roman" w:hAnsi="Times New Roman" w:eastAsia="宋体" w:cs="Times New Roman"/>
      <w:kern w:val="2"/>
      <w:sz w:val="21"/>
      <w:szCs w:val="21"/>
      <w:lang w:val="en-US" w:eastAsia="zh-CN" w:bidi="ar-SA"/>
    </w:rPr>
  </w:style>
  <w:style w:type="paragraph" w:customStyle="1" w:styleId="61">
    <w:name w:val="列出段落1"/>
    <w:basedOn w:val="1"/>
    <w:qFormat/>
    <w:uiPriority w:val="99"/>
    <w:pPr>
      <w:ind w:firstLine="420" w:firstLineChars="200"/>
    </w:pPr>
    <w:rPr>
      <w:rFonts w:ascii="Calibri" w:hAnsi="Calibri" w:cs="Calibri"/>
    </w:rPr>
  </w:style>
  <w:style w:type="paragraph" w:customStyle="1" w:styleId="62">
    <w:name w:val="4正文"/>
    <w:basedOn w:val="1"/>
    <w:qFormat/>
    <w:uiPriority w:val="99"/>
    <w:pPr>
      <w:adjustRightInd w:val="0"/>
      <w:snapToGrid w:val="0"/>
      <w:ind w:firstLine="200" w:firstLineChars="200"/>
    </w:pPr>
    <w:rPr>
      <w:kern w:val="0"/>
    </w:rPr>
  </w:style>
  <w:style w:type="paragraph" w:customStyle="1" w:styleId="63">
    <w:name w:val="表文"/>
    <w:qFormat/>
    <w:uiPriority w:val="99"/>
    <w:pPr>
      <w:widowControl w:val="0"/>
      <w:adjustRightInd w:val="0"/>
      <w:jc w:val="center"/>
    </w:pPr>
    <w:rPr>
      <w:rFonts w:ascii="Times New Roman" w:hAnsi="Times New Roman" w:eastAsia="宋体" w:cs="Times New Roman"/>
      <w:kern w:val="2"/>
      <w:sz w:val="21"/>
      <w:szCs w:val="21"/>
      <w:lang w:val="en-US" w:eastAsia="zh-CN" w:bidi="ar-SA"/>
    </w:rPr>
  </w:style>
  <w:style w:type="paragraph" w:customStyle="1" w:styleId="64">
    <w:name w:val="表格、图表名称"/>
    <w:basedOn w:val="65"/>
    <w:qFormat/>
    <w:uiPriority w:val="99"/>
    <w:pPr>
      <w:numPr>
        <w:numId w:val="0"/>
      </w:numPr>
      <w:jc w:val="center"/>
    </w:pPr>
    <w:rPr>
      <w:b/>
      <w:bCs/>
    </w:rPr>
  </w:style>
  <w:style w:type="paragraph" w:customStyle="1" w:styleId="65">
    <w:name w:val="5级标题"/>
    <w:basedOn w:val="1"/>
    <w:semiHidden/>
    <w:qFormat/>
    <w:uiPriority w:val="99"/>
    <w:pPr>
      <w:numPr>
        <w:ilvl w:val="0"/>
        <w:numId w:val="1"/>
      </w:numPr>
      <w:jc w:val="left"/>
    </w:pPr>
  </w:style>
  <w:style w:type="paragraph" w:customStyle="1" w:styleId="66">
    <w:name w:val="A标准格式"/>
    <w:basedOn w:val="1"/>
    <w:qFormat/>
    <w:uiPriority w:val="99"/>
    <w:pPr>
      <w:adjustRightInd w:val="0"/>
      <w:spacing w:line="440" w:lineRule="exact"/>
      <w:ind w:firstLine="480" w:firstLineChars="200"/>
      <w:textAlignment w:val="baseline"/>
    </w:pPr>
    <w:rPr>
      <w:sz w:val="24"/>
      <w:szCs w:val="24"/>
    </w:rPr>
  </w:style>
  <w:style w:type="paragraph" w:customStyle="1" w:styleId="67">
    <w:name w:val="1"/>
    <w:basedOn w:val="1"/>
    <w:next w:val="9"/>
    <w:qFormat/>
    <w:uiPriority w:val="99"/>
    <w:pPr>
      <w:ind w:firstLine="420"/>
    </w:pPr>
    <w:rPr>
      <w:rFonts w:ascii="宋体" w:cs="宋体"/>
      <w:sz w:val="26"/>
      <w:szCs w:val="26"/>
    </w:rPr>
  </w:style>
  <w:style w:type="paragraph" w:customStyle="1" w:styleId="68">
    <w:name w:val="样式13"/>
    <w:basedOn w:val="1"/>
    <w:qFormat/>
    <w:uiPriority w:val="99"/>
    <w:pPr>
      <w:spacing w:line="360" w:lineRule="auto"/>
      <w:ind w:firstLine="480" w:firstLineChars="200"/>
    </w:pPr>
    <w:rPr>
      <w:color w:val="000000"/>
      <w:sz w:val="24"/>
      <w:szCs w:val="24"/>
    </w:rPr>
  </w:style>
  <w:style w:type="paragraph" w:styleId="69">
    <w:name w:val="No Spacing"/>
    <w:qFormat/>
    <w:uiPriority w:val="99"/>
    <w:pPr>
      <w:widowControl w:val="0"/>
      <w:jc w:val="both"/>
    </w:pPr>
    <w:rPr>
      <w:rFonts w:ascii="Times New Roman" w:hAnsi="Times New Roman" w:eastAsia="宋体" w:cs="Times New Roman"/>
      <w:kern w:val="2"/>
      <w:sz w:val="24"/>
      <w:szCs w:val="24"/>
      <w:lang w:val="en-US" w:eastAsia="zh-CN" w:bidi="ar-SA"/>
    </w:rPr>
  </w:style>
  <w:style w:type="paragraph" w:customStyle="1" w:styleId="70">
    <w:name w:val="样式12"/>
    <w:basedOn w:val="1"/>
    <w:qFormat/>
    <w:uiPriority w:val="99"/>
    <w:pPr>
      <w:jc w:val="center"/>
    </w:pPr>
  </w:style>
  <w:style w:type="paragraph" w:customStyle="1" w:styleId="71">
    <w:name w:val="正文 + 仿宋_GB2312"/>
    <w:basedOn w:val="1"/>
    <w:qFormat/>
    <w:uiPriority w:val="99"/>
    <w:pPr>
      <w:ind w:firstLine="480" w:firstLineChars="200"/>
    </w:pPr>
    <w:rPr>
      <w:rFonts w:ascii="仿宋_GB2312" w:hAnsi="Calibri" w:eastAsia="仿宋_GB2312" w:cs="仿宋_GB2312"/>
      <w:sz w:val="24"/>
      <w:szCs w:val="24"/>
    </w:rPr>
  </w:style>
  <w:style w:type="paragraph" w:customStyle="1" w:styleId="72">
    <w:name w:val="1正文段落"/>
    <w:basedOn w:val="1"/>
    <w:qFormat/>
    <w:uiPriority w:val="99"/>
    <w:pPr>
      <w:spacing w:line="360" w:lineRule="auto"/>
      <w:ind w:firstLine="480" w:firstLineChars="200"/>
      <w:jc w:val="left"/>
    </w:pPr>
    <w:rPr>
      <w:kern w:val="0"/>
      <w:sz w:val="24"/>
      <w:szCs w:val="24"/>
    </w:rPr>
  </w:style>
  <w:style w:type="paragraph" w:customStyle="1" w:styleId="73">
    <w:name w:val="表格内容"/>
    <w:basedOn w:val="1"/>
    <w:next w:val="1"/>
    <w:qFormat/>
    <w:uiPriority w:val="99"/>
    <w:pPr>
      <w:spacing w:line="240" w:lineRule="atLeast"/>
      <w:jc w:val="center"/>
    </w:pPr>
  </w:style>
  <w:style w:type="paragraph" w:customStyle="1" w:styleId="74">
    <w:name w:val="Table Paragraph"/>
    <w:basedOn w:val="1"/>
    <w:qFormat/>
    <w:uiPriority w:val="99"/>
    <w:pPr>
      <w:autoSpaceDE w:val="0"/>
      <w:autoSpaceDN w:val="0"/>
      <w:adjustRightInd w:val="0"/>
      <w:jc w:val="left"/>
    </w:pPr>
    <w:rPr>
      <w:kern w:val="0"/>
      <w:sz w:val="24"/>
      <w:szCs w:val="24"/>
    </w:rPr>
  </w:style>
  <w:style w:type="character" w:customStyle="1" w:styleId="75">
    <w:name w:val="font11"/>
    <w:qFormat/>
    <w:uiPriority w:val="99"/>
    <w:rPr>
      <w:rFonts w:ascii="Tahoma" w:hAnsi="Tahoma" w:eastAsia="Times New Roman" w:cs="Tahoma"/>
      <w:color w:val="000000"/>
      <w:sz w:val="22"/>
      <w:szCs w:val="22"/>
      <w:u w:val="none"/>
    </w:rPr>
  </w:style>
  <w:style w:type="character" w:customStyle="1" w:styleId="76">
    <w:name w:val="font21"/>
    <w:basedOn w:val="25"/>
    <w:qFormat/>
    <w:uiPriority w:val="99"/>
    <w:rPr>
      <w:rFonts w:ascii="Times New Roman" w:hAnsi="Times New Roman" w:cs="Times New Roman"/>
      <w:color w:val="000000"/>
      <w:sz w:val="21"/>
      <w:szCs w:val="21"/>
      <w:u w:val="none"/>
    </w:rPr>
  </w:style>
  <w:style w:type="paragraph" w:customStyle="1" w:styleId="77">
    <w:name w:val="表格正文"/>
    <w:basedOn w:val="1"/>
    <w:qFormat/>
    <w:uiPriority w:val="99"/>
    <w:pPr>
      <w:adjustRightInd w:val="0"/>
      <w:spacing w:line="460" w:lineRule="exact"/>
      <w:ind w:firstLine="200" w:firstLineChars="200"/>
      <w:jc w:val="left"/>
      <w:textAlignment w:val="baseline"/>
    </w:pPr>
    <w:rPr>
      <w:kern w:val="0"/>
      <w:sz w:val="24"/>
      <w:szCs w:val="24"/>
    </w:rPr>
  </w:style>
  <w:style w:type="paragraph" w:customStyle="1" w:styleId="78">
    <w:name w:val="正式文本"/>
    <w:basedOn w:val="1"/>
    <w:qFormat/>
    <w:uiPriority w:val="99"/>
    <w:pPr>
      <w:adjustRightInd w:val="0"/>
      <w:snapToGrid w:val="0"/>
      <w:spacing w:line="360" w:lineRule="auto"/>
      <w:ind w:firstLine="420" w:firstLineChars="200"/>
      <w:jc w:val="left"/>
    </w:pPr>
  </w:style>
  <w:style w:type="character" w:customStyle="1" w:styleId="79">
    <w:name w:val="fontstyle11"/>
    <w:qFormat/>
    <w:uiPriority w:val="99"/>
    <w:rPr>
      <w:rFonts w:ascii="Times New Roman" w:hAnsi="Times New Roman" w:cs="Times New Roman"/>
      <w:b/>
      <w:bCs/>
      <w:color w:val="000000"/>
      <w:sz w:val="22"/>
      <w:szCs w:val="22"/>
    </w:rPr>
  </w:style>
  <w:style w:type="paragraph" w:customStyle="1" w:styleId="80">
    <w:name w:val="正文 首行缩进:  2 字符"/>
    <w:qFormat/>
    <w:uiPriority w:val="99"/>
    <w:pPr>
      <w:widowControl w:val="0"/>
      <w:spacing w:beforeLines="50" w:line="360" w:lineRule="auto"/>
      <w:ind w:firstLine="420" w:firstLineChars="200"/>
      <w:jc w:val="both"/>
    </w:pPr>
    <w:rPr>
      <w:rFonts w:ascii="宋体" w:hAnsi="宋体" w:eastAsia="宋体" w:cs="宋体"/>
      <w:color w:val="000000"/>
      <w:kern w:val="2"/>
      <w:sz w:val="21"/>
      <w:szCs w:val="21"/>
      <w:lang w:val="en-US" w:eastAsia="zh-CN" w:bidi="ar-SA"/>
    </w:rPr>
  </w:style>
  <w:style w:type="character" w:customStyle="1" w:styleId="81">
    <w:name w:val="fontstyle01"/>
    <w:qFormat/>
    <w:uiPriority w:val="99"/>
    <w:rPr>
      <w:rFonts w:ascii="宋体" w:hAnsi="宋体" w:eastAsia="宋体" w:cs="宋体"/>
      <w:color w:val="000000"/>
      <w:sz w:val="24"/>
      <w:szCs w:val="24"/>
    </w:rPr>
  </w:style>
  <w:style w:type="paragraph" w:customStyle="1" w:styleId="82">
    <w:name w:val="正文01"/>
    <w:basedOn w:val="6"/>
    <w:qFormat/>
    <w:uiPriority w:val="99"/>
    <w:pPr>
      <w:keepNext w:val="0"/>
      <w:keepLines w:val="0"/>
      <w:spacing w:before="60" w:after="0" w:line="460" w:lineRule="exact"/>
      <w:ind w:firstLine="200" w:firstLineChars="200"/>
      <w:outlineLvl w:val="9"/>
    </w:pPr>
    <w:rPr>
      <w:rFonts w:ascii="Times New Roman" w:hAnsi="Times New Roman" w:eastAsia="宋体" w:cs="Times New Roman"/>
      <w:b w:val="0"/>
      <w:bCs w:val="0"/>
      <w:sz w:val="24"/>
      <w:szCs w:val="24"/>
    </w:rPr>
  </w:style>
  <w:style w:type="character" w:customStyle="1" w:styleId="83">
    <w:name w:val="font01"/>
    <w:basedOn w:val="25"/>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5" Type="http://schemas.openxmlformats.org/officeDocument/2006/relationships/fontTable" Target="fontTable.xml"/><Relationship Id="rId24" Type="http://schemas.openxmlformats.org/officeDocument/2006/relationships/numbering" Target="numbering.xml"/><Relationship Id="rId23" Type="http://schemas.openxmlformats.org/officeDocument/2006/relationships/image" Target="media/image13.wmf"/><Relationship Id="rId22" Type="http://schemas.openxmlformats.org/officeDocument/2006/relationships/oleObject" Target="embeddings/oleObject3.bin"/><Relationship Id="rId21" Type="http://schemas.openxmlformats.org/officeDocument/2006/relationships/image" Target="media/image12.png"/><Relationship Id="rId20" Type="http://schemas.openxmlformats.org/officeDocument/2006/relationships/image" Target="media/image11.png"/><Relationship Id="rId2" Type="http://schemas.openxmlformats.org/officeDocument/2006/relationships/settings" Target="settings.xml"/><Relationship Id="rId19" Type="http://schemas.openxmlformats.org/officeDocument/2006/relationships/image" Target="media/image10.png"/><Relationship Id="rId18" Type="http://schemas.openxmlformats.org/officeDocument/2006/relationships/image" Target="media/image9.png"/><Relationship Id="rId17" Type="http://schemas.openxmlformats.org/officeDocument/2006/relationships/image" Target="media/image8.png"/><Relationship Id="rId16" Type="http://schemas.openxmlformats.org/officeDocument/2006/relationships/image" Target="media/image7.wmf"/><Relationship Id="rId15" Type="http://schemas.openxmlformats.org/officeDocument/2006/relationships/oleObject" Target="embeddings/oleObject2.bin"/><Relationship Id="rId14" Type="http://schemas.openxmlformats.org/officeDocument/2006/relationships/image" Target="media/image6.wmf"/><Relationship Id="rId13" Type="http://schemas.openxmlformats.org/officeDocument/2006/relationships/oleObject" Target="embeddings/oleObject1.bin"/><Relationship Id="rId12" Type="http://schemas.openxmlformats.org/officeDocument/2006/relationships/image" Target="media/image5.png"/><Relationship Id="rId11" Type="http://schemas.openxmlformats.org/officeDocument/2006/relationships/image" Target="media/image4.png"/><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80</Pages>
  <Words>45444</Words>
  <Characters>52434</Characters>
  <Lines>401</Lines>
  <Paragraphs>113</Paragraphs>
  <TotalTime>8</TotalTime>
  <ScaleCrop>false</ScaleCrop>
  <LinksUpToDate>false</LinksUpToDate>
  <CharactersWithSpaces>52655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2022-04-24T16:44:00Z</dcterms:created>
  <dc:creator>lhj</dc:creator>
  <cp:lastModifiedBy>文档存本地丢失不负责</cp:lastModifiedBy>
  <cp:lastPrinted>2020-12-29T10:43:00Z</cp:lastPrinted>
  <dcterms:modified xsi:type="dcterms:W3CDTF">2023-02-28T03:30:01Z</dcterms:modified>
  <dc:title>附件2</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96D692464F5D48B28CFF8131E9E67D3E</vt:lpwstr>
  </property>
</Properties>
</file>